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698">
      <w:pPr>
        <w:keepNext w:val="0"/>
        <w:keepLines w:val="0"/>
        <w:pageBreakBefore w:val="0"/>
        <w:widowControl w:val="0"/>
        <w:kinsoku/>
        <w:wordWrap/>
        <w:overflowPunct/>
        <w:topLinePunct w:val="0"/>
        <w:autoSpaceDE/>
        <w:autoSpaceDN/>
        <w:bidi w:val="0"/>
        <w:spacing w:line="240" w:lineRule="auto"/>
        <w:ind w:left="-540" w:leftChars="-257" w:firstLine="964" w:firstLineChars="4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附件 </w:t>
      </w:r>
    </w:p>
    <w:p w14:paraId="480F29CB">
      <w:pPr>
        <w:keepNext w:val="0"/>
        <w:keepLines w:val="0"/>
        <w:pageBreakBefore w:val="0"/>
        <w:widowControl w:val="0"/>
        <w:kinsoku/>
        <w:wordWrap/>
        <w:overflowPunct/>
        <w:topLinePunct w:val="0"/>
        <w:autoSpaceDE/>
        <w:autoSpaceDN/>
        <w:bidi w:val="0"/>
        <w:spacing w:line="240" w:lineRule="auto"/>
        <w:ind w:left="-540" w:leftChars="-257" w:firstLine="964" w:firstLineChars="400"/>
        <w:jc w:val="center"/>
        <w:textAlignment w:val="auto"/>
        <w:rPr>
          <w:rFonts w:hint="default" w:ascii="宋体" w:hAnsi="宋体" w:cs="宋体"/>
          <w:b/>
          <w:bCs/>
          <w:color w:val="auto"/>
          <w:sz w:val="24"/>
          <w:szCs w:val="24"/>
          <w:highlight w:val="none"/>
          <w:lang w:val="en-US" w:eastAsia="zh-CN"/>
        </w:rPr>
      </w:pPr>
      <w:bookmarkStart w:id="0" w:name="_GoBack"/>
      <w:r>
        <w:rPr>
          <w:rFonts w:hint="eastAsia" w:ascii="宋体" w:hAnsi="宋体" w:cs="宋体"/>
          <w:b/>
          <w:bCs/>
          <w:color w:val="auto"/>
          <w:sz w:val="24"/>
          <w:szCs w:val="24"/>
          <w:highlight w:val="none"/>
          <w:lang w:val="en-US" w:eastAsia="zh-CN"/>
        </w:rPr>
        <w:t>信息化项目简介-儿童健康大楼项目（信息化部分）</w:t>
      </w:r>
    </w:p>
    <w:bookmarkEnd w:id="0"/>
    <w:p w14:paraId="025B8E4F">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本次项目作为儿童健康大楼建设的重要信息化配套设施，根据《惠州市医疗卫生服务体系“十四五”规划》的内容，根据《全国医院信息化建设标准规范》、《关于进一步推进以电子病历为核心的医疗机构信息化建设工作的通知》信息化建设要求，开展儿童健康大楼信息化建设。实现以下建设目标：</w:t>
      </w:r>
    </w:p>
    <w:p w14:paraId="20E1BFB1">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一是通过开展大楼配套信息系统建设，项目完成机房设备、存储设备、网络设备及无线网络覆盖等建设，完成儿童健康大楼正常投入使用的配套系统建设，提高医院的医疗服务能力、运营管理水平，提升患者体验等，实现数字医院建设的总体绩效目标。</w:t>
      </w:r>
    </w:p>
    <w:p w14:paraId="6B52D4B4">
      <w:pPr>
        <w:pStyle w:val="11"/>
        <w:keepNext w:val="0"/>
        <w:keepLines w:val="0"/>
        <w:pageBreakBefore w:val="0"/>
        <w:widowControl/>
        <w:kinsoku/>
        <w:wordWrap/>
        <w:overflowPunct/>
        <w:topLinePunct w:val="0"/>
        <w:autoSpaceDE/>
        <w:autoSpaceDN/>
        <w:bidi w:val="0"/>
        <w:adjustRightInd/>
        <w:snapToGrid/>
        <w:spacing w:line="240" w:lineRule="auto"/>
        <w:ind w:left="0" w:leftChars="0" w:firstLine="480"/>
        <w:textAlignment w:val="auto"/>
        <w:outlineLvl w:val="9"/>
        <w:rPr>
          <w:rFonts w:hint="eastAsia" w:asciiTheme="minorEastAsia" w:hAnsiTheme="minorEastAsia" w:eastAsiaTheme="minorEastAsia" w:cstheme="minorEastAsia"/>
          <w:b w:val="0"/>
          <w:bCs w:val="0"/>
          <w:kern w:val="0"/>
          <w:sz w:val="21"/>
          <w:szCs w:val="21"/>
          <w:lang w:val="en-US" w:eastAsia="zh-CN" w:bidi="ar-SA"/>
        </w:rPr>
      </w:pPr>
      <w:r>
        <w:rPr>
          <w:rFonts w:hint="eastAsia" w:asciiTheme="minorEastAsia" w:hAnsiTheme="minorEastAsia" w:eastAsiaTheme="minorEastAsia" w:cstheme="minorEastAsia"/>
          <w:b w:val="0"/>
          <w:bCs w:val="0"/>
          <w:kern w:val="0"/>
          <w:sz w:val="21"/>
          <w:szCs w:val="21"/>
          <w:lang w:val="en-US" w:eastAsia="zh-CN" w:bidi="ar-SA"/>
        </w:rPr>
        <w:t>二是通过开展哮喘病历云软件信息系统建设，进一步提升医院信息化建设水平，通过建设先进的信息技术，促进医院儿童健康医疗服务业务发展，有效保障区域儿童健康服务的可及性、有效性和规范性，降低儿童死亡率，提高儿童健康水平和儿童医疗保障，以解决惠州市儿科医疗服务现状存在的问题，满足惠州市儿童的医疗和康复保健需求。</w:t>
      </w:r>
    </w:p>
    <w:p w14:paraId="22A1245E">
      <w:pPr>
        <w:keepNext w:val="0"/>
        <w:keepLines w:val="0"/>
        <w:pageBreakBefore w:val="0"/>
        <w:widowControl w:val="0"/>
        <w:numPr>
          <w:ilvl w:val="-1"/>
          <w:numId w:val="0"/>
        </w:numPr>
        <w:kinsoku/>
        <w:wordWrap/>
        <w:overflowPunct/>
        <w:topLinePunct w:val="0"/>
        <w:autoSpaceDE/>
        <w:autoSpaceDN/>
        <w:bidi w:val="0"/>
        <w:spacing w:line="240" w:lineRule="auto"/>
        <w:ind w:left="0"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硬件部分：</w:t>
      </w:r>
    </w:p>
    <w:tbl>
      <w:tblPr>
        <w:tblStyle w:val="3"/>
        <w:tblW w:w="4997"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0"/>
        <w:gridCol w:w="1840"/>
        <w:gridCol w:w="4920"/>
        <w:gridCol w:w="1307"/>
      </w:tblGrid>
      <w:tr w14:paraId="389D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61" w:type="pct"/>
            <w:vAlign w:val="center"/>
          </w:tcPr>
          <w:p w14:paraId="54B5E531">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序号</w:t>
            </w:r>
          </w:p>
        </w:tc>
        <w:tc>
          <w:tcPr>
            <w:tcW w:w="1012" w:type="pct"/>
            <w:vAlign w:val="center"/>
          </w:tcPr>
          <w:p w14:paraId="1E2CFB6E">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设备及软件名称</w:t>
            </w:r>
          </w:p>
        </w:tc>
        <w:tc>
          <w:tcPr>
            <w:tcW w:w="2706" w:type="pct"/>
            <w:vAlign w:val="center"/>
          </w:tcPr>
          <w:p w14:paraId="7C55E666">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主要性能指标、配置参数，软件许可数量</w:t>
            </w:r>
          </w:p>
        </w:tc>
        <w:tc>
          <w:tcPr>
            <w:tcW w:w="719" w:type="pct"/>
            <w:vAlign w:val="center"/>
          </w:tcPr>
          <w:p w14:paraId="7CAEE698">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数量</w:t>
            </w:r>
          </w:p>
        </w:tc>
      </w:tr>
      <w:tr w14:paraId="2602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F113AC5">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一</w:t>
            </w:r>
          </w:p>
        </w:tc>
        <w:tc>
          <w:tcPr>
            <w:tcW w:w="1012" w:type="pct"/>
            <w:vAlign w:val="center"/>
          </w:tcPr>
          <w:p w14:paraId="466C096A">
            <w:pPr>
              <w:spacing w:line="240" w:lineRule="auto"/>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网络设备系统</w:t>
            </w:r>
          </w:p>
        </w:tc>
        <w:tc>
          <w:tcPr>
            <w:tcW w:w="2706" w:type="pct"/>
            <w:vAlign w:val="center"/>
          </w:tcPr>
          <w:p w14:paraId="57BAFD01">
            <w:pPr>
              <w:spacing w:line="240" w:lineRule="auto"/>
              <w:ind w:left="0" w:leftChars="0" w:firstLine="0" w:firstLineChars="0"/>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5455F310">
            <w:pPr>
              <w:spacing w:line="240" w:lineRule="auto"/>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52F3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2EA3B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50533FA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24口接入交换机</w:t>
            </w:r>
          </w:p>
        </w:tc>
        <w:tc>
          <w:tcPr>
            <w:tcW w:w="2706" w:type="pct"/>
            <w:vAlign w:val="center"/>
          </w:tcPr>
          <w:p w14:paraId="551BD2B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交换容量≥672Gbps，包转发率≥171Mpps；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提供≥24个10/100/1000BASE-T电口，提供≥4个1/10GE SFP+端口；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支持基于端口的VLAN，支持基于协议的VLAN；</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支持IPv4/IPV6双栈管理和转发，支持静态路由协议和RIP、OSPF等路由协议，支持丰富的管理和安全特性；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06E0A6B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r>
      <w:tr w14:paraId="623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77E44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695B9BA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48口接入交换机</w:t>
            </w:r>
          </w:p>
        </w:tc>
        <w:tc>
          <w:tcPr>
            <w:tcW w:w="2706" w:type="pct"/>
            <w:vAlign w:val="center"/>
          </w:tcPr>
          <w:p w14:paraId="2E43002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交换容量≥672Gbps，包转发率≥207Mpps；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提供≥48个10/100/1000BASE-T电口，提供≥4个1/10GE SFP+端口；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支持基于端口的VLAN，支持基于协议的VLAN；</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支持IPv4/IPV6双栈管理和转发，支持静态路由协议和RIP、OSPF等路由协议，支持丰富的管理和安全特性；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1BEA6A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36</w:t>
            </w:r>
          </w:p>
        </w:tc>
      </w:tr>
      <w:tr w14:paraId="66D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CE65DE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4546206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汇聚交换机（含热备线缆）</w:t>
            </w:r>
          </w:p>
        </w:tc>
        <w:tc>
          <w:tcPr>
            <w:tcW w:w="2706" w:type="pct"/>
            <w:vAlign w:val="center"/>
          </w:tcPr>
          <w:p w14:paraId="3498F9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交换容量≥4.8Tbps，包转发率≥2000Mpps，支持≥2个电源插槽,≥2个风扇插槽；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提供≥48个1/10G SFP+端口，≥4个QSFP+端口；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12C5D3E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14B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63F3B9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71B3107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万兆多模光模块</w:t>
            </w:r>
          </w:p>
        </w:tc>
        <w:tc>
          <w:tcPr>
            <w:tcW w:w="2706" w:type="pct"/>
            <w:vAlign w:val="center"/>
          </w:tcPr>
          <w:p w14:paraId="5F1CB8D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速率：10G，波长850nm，传输距离300m，接口类型:LC，提供3年原厂质保服务</w:t>
            </w:r>
          </w:p>
        </w:tc>
        <w:tc>
          <w:tcPr>
            <w:tcW w:w="719" w:type="pct"/>
            <w:vAlign w:val="center"/>
          </w:tcPr>
          <w:p w14:paraId="4EED5B2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270</w:t>
            </w:r>
          </w:p>
        </w:tc>
      </w:tr>
      <w:tr w14:paraId="7DFB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17907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0B05836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核心交换机（热备线缆）</w:t>
            </w:r>
          </w:p>
        </w:tc>
        <w:tc>
          <w:tcPr>
            <w:tcW w:w="2706" w:type="pct"/>
            <w:vAlign w:val="center"/>
          </w:tcPr>
          <w:p w14:paraId="3C591BE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交换容量≥51Tbps 包转发率≥38400Mpps、主控槽位数≥2、槽位数量≥3；</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配置双主控，双电源，48个10G以太网光接口，24个千兆以太网电接口；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5EEB332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72B4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588FF6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48B69DC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16口语音网关</w:t>
            </w:r>
          </w:p>
        </w:tc>
        <w:tc>
          <w:tcPr>
            <w:tcW w:w="2706" w:type="pct"/>
            <w:vAlign w:val="center"/>
          </w:tcPr>
          <w:p w14:paraId="27A23E0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语音口≥16路语音FXS；WAN侧PON接口≥1路EPON/GPON自适应口；同时支持SIP、H.248及IMS-SIP语音协议；支持G.711a/u、G.723、G.726、G.729语音编解码自动协商；设备支持内部短号呼叫功能，并可并入已有短号网络；</w:t>
            </w:r>
          </w:p>
        </w:tc>
        <w:tc>
          <w:tcPr>
            <w:tcW w:w="719" w:type="pct"/>
            <w:vAlign w:val="center"/>
          </w:tcPr>
          <w:p w14:paraId="3CFFF1A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r>
      <w:tr w14:paraId="1B98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0F50C2D">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二</w:t>
            </w:r>
          </w:p>
        </w:tc>
        <w:tc>
          <w:tcPr>
            <w:tcW w:w="1012" w:type="pct"/>
            <w:vAlign w:val="center"/>
          </w:tcPr>
          <w:p w14:paraId="4F0990BD">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无线网络覆盖系统</w:t>
            </w:r>
          </w:p>
        </w:tc>
        <w:tc>
          <w:tcPr>
            <w:tcW w:w="2706" w:type="pct"/>
            <w:vAlign w:val="center"/>
          </w:tcPr>
          <w:p w14:paraId="63B27FFA">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76D651EB">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2FC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BB4A38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2CE664D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吸顶AP</w:t>
            </w:r>
          </w:p>
        </w:tc>
        <w:tc>
          <w:tcPr>
            <w:tcW w:w="2706" w:type="pct"/>
            <w:vAlign w:val="center"/>
          </w:tcPr>
          <w:p w14:paraId="1507263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支持802.11ax 协议，兼容802.11a/b/g/n/ac协议；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整机采用三射频设计，整机最大传输速率≥3Gbps；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千兆以太网口≥1个；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支持虚拟AP技术，单射频SSID数量最高支持≥16，整机≥32；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支持集中转发和本地转发两种数据转发模式，同一个AP上基于SSID选择本地转发或者集中转发；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074A4D4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w:t>
            </w:r>
          </w:p>
        </w:tc>
      </w:tr>
      <w:tr w14:paraId="458C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5BC07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0B87731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高密吸顶AP</w:t>
            </w:r>
          </w:p>
        </w:tc>
        <w:tc>
          <w:tcPr>
            <w:tcW w:w="2706" w:type="pct"/>
            <w:vAlign w:val="center"/>
          </w:tcPr>
          <w:p w14:paraId="3C8C1CB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支持802.11ax 协议，兼容802.11a/b/g/n/ac协议；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整机采用四射频设计，整机最大传输速率≥6.2Gbps；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千兆以太网口≥1个，2.5G上行电口≥1个；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支持自行对无线网络提供的服务进行检测，包括网络接入、DHCP、网关、DNS、网络地址等阶段的时延和质量检测；</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支持无线网络环境指标检测功能，包括信道总利用率、Wi-Fi信道利用率、非Wi-Fi信道利用率、同频AP数量等，以便对网络质量进行排查；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03F8F2F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r>
      <w:tr w14:paraId="0768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8000C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754E76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24口POE接入交换机</w:t>
            </w:r>
          </w:p>
        </w:tc>
        <w:tc>
          <w:tcPr>
            <w:tcW w:w="2706" w:type="pct"/>
            <w:vAlign w:val="center"/>
          </w:tcPr>
          <w:p w14:paraId="0DF63B1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具备千兆POE电口≥24个， 1G/2.5G光口≥4个；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支持IEEE 802.3af/at供电标准，整机最大输出功率≥370W</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交换性能≥600Gbps，包转发率≥150Mpps；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支持端口聚合，支持手工和静态LACP；</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1B2C09B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r>
      <w:tr w14:paraId="6FC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824FD3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22D250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AC控制器（含授权）</w:t>
            </w:r>
          </w:p>
        </w:tc>
        <w:tc>
          <w:tcPr>
            <w:tcW w:w="2706" w:type="pct"/>
            <w:vAlign w:val="center"/>
          </w:tcPr>
          <w:p w14:paraId="4EF297B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具备千兆以太网口数≥5个；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设备最大可管理AP数≥500个；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支持对802.11a/b/g/n/ac/ax AP进行统一控制；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支持WIPS、WIDS安全防护功能；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支持MAC认证、WEB认证、802.1X认证等多种认证方式，也可支持多因素绑定认证，保证只有合法的用户才能进入网络；</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支持自动发现交换机和无线AP，并自动生成网络拓扑；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支持网络自动化部署，实现网络设备自动化配置下发，实现网络快速业务上线；</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配置100个AP接入License；</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76DC0D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6360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9EE4F4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05957B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六类网线</w:t>
            </w:r>
          </w:p>
        </w:tc>
        <w:tc>
          <w:tcPr>
            <w:tcW w:w="2706" w:type="pct"/>
            <w:vAlign w:val="center"/>
          </w:tcPr>
          <w:p w14:paraId="1D76270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符合标准：YD/T1019，ANSI∕TIA-568.2-D，ISO/IEC 11801，线缆阻抗：100±15Ω，支持采用CM等级PVC料，通过标准最高传输频率250MHz测试，直流电阻不平衡：≤2.5%</w:t>
            </w:r>
          </w:p>
        </w:tc>
        <w:tc>
          <w:tcPr>
            <w:tcW w:w="719" w:type="pct"/>
            <w:vAlign w:val="center"/>
          </w:tcPr>
          <w:p w14:paraId="7FE615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6930</w:t>
            </w:r>
          </w:p>
        </w:tc>
      </w:tr>
      <w:tr w14:paraId="007B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A47BC7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211ECD1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JDG线管</w:t>
            </w:r>
          </w:p>
        </w:tc>
        <w:tc>
          <w:tcPr>
            <w:tcW w:w="2706" w:type="pct"/>
            <w:vAlign w:val="center"/>
          </w:tcPr>
          <w:p w14:paraId="709CBD3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套接紧定式镀锌钢导线管，JDG20/JDG25,厚度1.5MM，含杯梳、吊杆、螺丝、底盒等配件</w:t>
            </w:r>
          </w:p>
        </w:tc>
        <w:tc>
          <w:tcPr>
            <w:tcW w:w="719" w:type="pct"/>
            <w:vAlign w:val="center"/>
          </w:tcPr>
          <w:p w14:paraId="360D66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792</w:t>
            </w:r>
          </w:p>
        </w:tc>
      </w:tr>
      <w:tr w14:paraId="6FED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E909E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012" w:type="pct"/>
            <w:vAlign w:val="center"/>
          </w:tcPr>
          <w:p w14:paraId="5AF5051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辅材</w:t>
            </w:r>
          </w:p>
        </w:tc>
        <w:tc>
          <w:tcPr>
            <w:tcW w:w="2706" w:type="pct"/>
            <w:vAlign w:val="center"/>
          </w:tcPr>
          <w:p w14:paraId="1CF6A2A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含标签、扎带、电工胶布、水晶头等</w:t>
            </w:r>
          </w:p>
        </w:tc>
        <w:tc>
          <w:tcPr>
            <w:tcW w:w="719" w:type="pct"/>
            <w:vAlign w:val="center"/>
          </w:tcPr>
          <w:p w14:paraId="17E4D43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91B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D31C73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三</w:t>
            </w:r>
          </w:p>
        </w:tc>
        <w:tc>
          <w:tcPr>
            <w:tcW w:w="1012" w:type="pct"/>
            <w:vAlign w:val="center"/>
          </w:tcPr>
          <w:p w14:paraId="50041368">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存储设备系统</w:t>
            </w:r>
          </w:p>
        </w:tc>
        <w:tc>
          <w:tcPr>
            <w:tcW w:w="2706" w:type="pct"/>
            <w:vAlign w:val="center"/>
          </w:tcPr>
          <w:p w14:paraId="486F25B1">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c>
          <w:tcPr>
            <w:tcW w:w="719" w:type="pct"/>
            <w:vAlign w:val="center"/>
          </w:tcPr>
          <w:p w14:paraId="3EABF094">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r w14:paraId="0C68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D1CC18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2B367FC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双活SAN存储</w:t>
            </w:r>
          </w:p>
        </w:tc>
        <w:tc>
          <w:tcPr>
            <w:tcW w:w="2706" w:type="pct"/>
            <w:vAlign w:val="center"/>
          </w:tcPr>
          <w:p w14:paraId="5F2BF09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全闪存储：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1、控制器数量：双控；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2、缓存：≥128GB缓存；</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3、硬盘：配置≥32*3.84TB SSD SAS硬盘单元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4、接口：配置≥8*1Gb+4*10Gb+8*16Gb FC（含光模块）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5、电源：冗余电源</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6、软件：配置高级SAN软件特性包license，提供包括但不限于快照、克隆、多路径、免网关A-A双活、缓存分区、远程复制、异构虚拟化、精简配置、Qos等特性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7、提供3年维保服务及软件订阅服务</w:t>
            </w:r>
          </w:p>
        </w:tc>
        <w:tc>
          <w:tcPr>
            <w:tcW w:w="719" w:type="pct"/>
            <w:vAlign w:val="center"/>
          </w:tcPr>
          <w:p w14:paraId="19D3B8E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57D8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C0EBE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4DA593E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光纤交换机单模模块</w:t>
            </w:r>
          </w:p>
        </w:tc>
        <w:tc>
          <w:tcPr>
            <w:tcW w:w="2706" w:type="pct"/>
            <w:vAlign w:val="center"/>
          </w:tcPr>
          <w:p w14:paraId="6772D25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光纤交换机-FC单模光模块-16Gbps-10KM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05DFE0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r>
      <w:tr w14:paraId="070A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A32DEB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629F435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超融合一体机（含软件）</w:t>
            </w:r>
          </w:p>
        </w:tc>
        <w:tc>
          <w:tcPr>
            <w:tcW w:w="2706" w:type="pct"/>
            <w:vAlign w:val="center"/>
          </w:tcPr>
          <w:p w14:paraId="6576FB2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硬件参数：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CPU：2颗国产芯片，≥2.5GHz；内存：16*32GB DDR5 ；系统盘：≥2*480GB SATA；缓存盘：≥4个* 固态硬盘-1.92T-SATA-SSD（读密集型）；数据盘：≥8个* 机械硬盘8T；电源：冗余电源；接口：≥4千兆电口+4万兆光口。</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软件配置：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2套* 云计算管理软件高级版;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2套* 计算虚拟化组件;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2套* 网络虚拟化组件;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2套* 存储虚拟化组件;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1套* 国产内核OS授权;</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5年* 基础运维服务（一体机版）；</w:t>
            </w:r>
          </w:p>
        </w:tc>
        <w:tc>
          <w:tcPr>
            <w:tcW w:w="719" w:type="pct"/>
            <w:vAlign w:val="center"/>
          </w:tcPr>
          <w:p w14:paraId="4211B33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r>
      <w:tr w14:paraId="258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85486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5B2A5D2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超融合集群交换机（含光模块）</w:t>
            </w:r>
          </w:p>
        </w:tc>
        <w:tc>
          <w:tcPr>
            <w:tcW w:w="2706" w:type="pct"/>
            <w:vAlign w:val="center"/>
          </w:tcPr>
          <w:p w14:paraId="042831D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采用自主可控芯片设计，16个10/100/1000Base-T以太网口，8个万兆SFP+光口，8个10G/25G SFP28光口，2个40G QSFP光口，可插拔双交流电源冗余，默认配置两个AC电源；交换容量≥2.56Tbps/25.6Tbps，包转发率≥1476Mpps；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含：标准维保5年;</w:t>
            </w:r>
          </w:p>
        </w:tc>
        <w:tc>
          <w:tcPr>
            <w:tcW w:w="719" w:type="pct"/>
            <w:vAlign w:val="center"/>
          </w:tcPr>
          <w:p w14:paraId="57A4537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0F2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9AA5D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四</w:t>
            </w:r>
          </w:p>
        </w:tc>
        <w:tc>
          <w:tcPr>
            <w:tcW w:w="1012" w:type="pct"/>
            <w:vAlign w:val="center"/>
          </w:tcPr>
          <w:p w14:paraId="4585738E">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机房设备系统</w:t>
            </w:r>
          </w:p>
        </w:tc>
        <w:tc>
          <w:tcPr>
            <w:tcW w:w="2706" w:type="pct"/>
            <w:vAlign w:val="center"/>
          </w:tcPr>
          <w:p w14:paraId="17F18136">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719" w:type="pct"/>
            <w:vAlign w:val="center"/>
          </w:tcPr>
          <w:p w14:paraId="65A0F789">
            <w:pPr>
              <w:spacing w:line="240" w:lineRule="auto"/>
              <w:ind w:left="0" w:leftChars="0" w:firstLine="0" w:firstLineChars="0"/>
              <w:jc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14:paraId="68D0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E871FE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012" w:type="pct"/>
            <w:vAlign w:val="center"/>
          </w:tcPr>
          <w:p w14:paraId="539415A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防静电地板</w:t>
            </w:r>
          </w:p>
        </w:tc>
        <w:tc>
          <w:tcPr>
            <w:tcW w:w="2706" w:type="pct"/>
            <w:vAlign w:val="center"/>
          </w:tcPr>
          <w:p w14:paraId="781C49D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轻型全钢防静电地板，600×600×35mm，均布载荷≥1275.5kg/m²，集中载荷≥301kg，含250mm支架及安装附件</w:t>
            </w:r>
          </w:p>
        </w:tc>
        <w:tc>
          <w:tcPr>
            <w:tcW w:w="719" w:type="pct"/>
            <w:vAlign w:val="center"/>
          </w:tcPr>
          <w:p w14:paraId="1BD798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48</w:t>
            </w:r>
          </w:p>
        </w:tc>
      </w:tr>
      <w:tr w14:paraId="703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8F827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012" w:type="pct"/>
            <w:vAlign w:val="center"/>
          </w:tcPr>
          <w:p w14:paraId="0914C53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微孔吸音铝合金天花</w:t>
            </w:r>
          </w:p>
        </w:tc>
        <w:tc>
          <w:tcPr>
            <w:tcW w:w="2706" w:type="pct"/>
            <w:vAlign w:val="center"/>
          </w:tcPr>
          <w:p w14:paraId="1FEFC7A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微孔吸音铝合金天花，600×600mm，孔径1.8mm，厚度≥1.0mm，符合A级防火标准，含勾搭式或龙骨系统安装附件</w:t>
            </w:r>
          </w:p>
        </w:tc>
        <w:tc>
          <w:tcPr>
            <w:tcW w:w="719" w:type="pct"/>
            <w:vAlign w:val="center"/>
          </w:tcPr>
          <w:p w14:paraId="7FA221E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52</w:t>
            </w:r>
          </w:p>
        </w:tc>
      </w:tr>
      <w:tr w14:paraId="471D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1869CE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012" w:type="pct"/>
            <w:vAlign w:val="center"/>
          </w:tcPr>
          <w:p w14:paraId="2066ABF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墙面处理</w:t>
            </w:r>
          </w:p>
        </w:tc>
        <w:tc>
          <w:tcPr>
            <w:tcW w:w="2706" w:type="pct"/>
            <w:vAlign w:val="center"/>
          </w:tcPr>
          <w:p w14:paraId="7D0A1C9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约160平方米墙面平整与清理，防潮、防尘处理，刷环保漆等处理</w:t>
            </w:r>
          </w:p>
        </w:tc>
        <w:tc>
          <w:tcPr>
            <w:tcW w:w="719" w:type="pct"/>
            <w:vAlign w:val="center"/>
          </w:tcPr>
          <w:p w14:paraId="6C95D27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7F3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548ED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c>
          <w:tcPr>
            <w:tcW w:w="1012" w:type="pct"/>
            <w:vAlign w:val="center"/>
          </w:tcPr>
          <w:p w14:paraId="720CFC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天面、地面处理</w:t>
            </w:r>
          </w:p>
        </w:tc>
        <w:tc>
          <w:tcPr>
            <w:tcW w:w="2706" w:type="pct"/>
            <w:vAlign w:val="center"/>
          </w:tcPr>
          <w:p w14:paraId="7BC9D13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约90平米，天面防尘、地面防尘、地面防水处理</w:t>
            </w:r>
          </w:p>
        </w:tc>
        <w:tc>
          <w:tcPr>
            <w:tcW w:w="719" w:type="pct"/>
            <w:vAlign w:val="center"/>
          </w:tcPr>
          <w:p w14:paraId="0E54E7D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4A00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73E10B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012" w:type="pct"/>
            <w:vAlign w:val="center"/>
          </w:tcPr>
          <w:p w14:paraId="4FD06CC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强弱电线槽</w:t>
            </w:r>
          </w:p>
        </w:tc>
        <w:tc>
          <w:tcPr>
            <w:tcW w:w="2706" w:type="pct"/>
            <w:vAlign w:val="center"/>
          </w:tcPr>
          <w:p w14:paraId="477E48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热浸镀锌金属线槽，200*100*2.0mm，含安装附件</w:t>
            </w:r>
          </w:p>
        </w:tc>
        <w:tc>
          <w:tcPr>
            <w:tcW w:w="719" w:type="pct"/>
            <w:vAlign w:val="center"/>
          </w:tcPr>
          <w:p w14:paraId="3FDA201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w:t>
            </w:r>
          </w:p>
        </w:tc>
      </w:tr>
      <w:tr w14:paraId="7154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DC80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012" w:type="pct"/>
            <w:vAlign w:val="center"/>
          </w:tcPr>
          <w:p w14:paraId="1BEC14C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玻璃隔断</w:t>
            </w:r>
          </w:p>
        </w:tc>
        <w:tc>
          <w:tcPr>
            <w:tcW w:w="2706" w:type="pct"/>
            <w:vAlign w:val="center"/>
          </w:tcPr>
          <w:p w14:paraId="4178E12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约8平方米防火玻璃隔断，≥80mm不锈钢方通框架，12mm防火玻璃，耐火120分钟，含800×2400mm防火玻璃门</w:t>
            </w:r>
          </w:p>
        </w:tc>
        <w:tc>
          <w:tcPr>
            <w:tcW w:w="719" w:type="pct"/>
            <w:vAlign w:val="center"/>
          </w:tcPr>
          <w:p w14:paraId="739A77E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5489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DFE0D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012" w:type="pct"/>
            <w:vAlign w:val="center"/>
          </w:tcPr>
          <w:p w14:paraId="768E49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边界防火墙</w:t>
            </w:r>
          </w:p>
        </w:tc>
        <w:tc>
          <w:tcPr>
            <w:tcW w:w="2706" w:type="pct"/>
            <w:vAlign w:val="center"/>
          </w:tcPr>
          <w:p w14:paraId="79D82D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性能参数：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网络层吞吐量：40G，应用层吞吐量：25G，防病毒吞吐量：4G，IPS吞吐量：3.5G，全威胁吞吐量：2G，并发连接数：420万，HTTP新建连接数：19万，SSL VPN推荐用户数（单独购买）：35，SSL VPN最大用户数（单独购买）：150，SSL VPN最大理论加密流量（单独购买）：320M，IPSec VPN 最大接入数：6000，IPSec  VPN吞吐量：1.5G。</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硬件参数：</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规格：2U，内存大小：16G，硬盘容量：128G SSD+480G SSD，电源：冗余电源，接口：16千兆电口+6万兆光口SFP+。</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软件配置：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1套* 防火墙软件基础级;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1套* 防火墙软件增强级模块;</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3套* 云智订阅软件;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2个* 光纤线-多模-LC-LC-5M;</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2个* 万兆多模-850-300m-双纤;</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3年* 软件升级;</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3年* 产品质保（标准版）。</w:t>
            </w:r>
          </w:p>
        </w:tc>
        <w:tc>
          <w:tcPr>
            <w:tcW w:w="719" w:type="pct"/>
            <w:vAlign w:val="center"/>
          </w:tcPr>
          <w:p w14:paraId="49E750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022A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00892A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w:t>
            </w:r>
          </w:p>
        </w:tc>
        <w:tc>
          <w:tcPr>
            <w:tcW w:w="1012" w:type="pct"/>
            <w:vAlign w:val="center"/>
          </w:tcPr>
          <w:p w14:paraId="35F4144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服务器机柜</w:t>
            </w:r>
          </w:p>
        </w:tc>
        <w:tc>
          <w:tcPr>
            <w:tcW w:w="2706" w:type="pct"/>
            <w:vAlign w:val="center"/>
          </w:tcPr>
          <w:p w14:paraId="7803C08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M型机架-800mm(W)*1200mm(D)*2000mm(H)-42U，前单后双高密网孔门，带通匙机械锁。机柜为标准19英寸制式，含柜体侧板、顶板、底板，机柜带单侧侧板并柜。</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单柜配置：3对L型轻载滑道、3块固定托盘、2个1U水平理线架、20块1U盲板、2条机柜PDU电源（32A输入-20*10A+4*16A国标插座输出）。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前后门采用网孔门且 开孔率不小于 80%。</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机柜静态承载能力≥2100Kg。</w:t>
            </w:r>
          </w:p>
        </w:tc>
        <w:tc>
          <w:tcPr>
            <w:tcW w:w="719" w:type="pct"/>
            <w:vAlign w:val="center"/>
          </w:tcPr>
          <w:p w14:paraId="33484A9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r>
      <w:tr w14:paraId="15B4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555ADC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w:t>
            </w:r>
          </w:p>
        </w:tc>
        <w:tc>
          <w:tcPr>
            <w:tcW w:w="1012" w:type="pct"/>
            <w:vAlign w:val="center"/>
          </w:tcPr>
          <w:p w14:paraId="66AC2E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密闭通道组件</w:t>
            </w:r>
          </w:p>
        </w:tc>
        <w:tc>
          <w:tcPr>
            <w:tcW w:w="2706" w:type="pct"/>
            <w:vAlign w:val="center"/>
          </w:tcPr>
          <w:p w14:paraId="58D61B3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1200mm宽密闭通道系统组件，通道长度6800mm，匹配微模块机柜数量设计。含控制天窗、全玻璃无框活动天窗、自动门等整体封闭组件，配置机柜顶槽式配线架，顶部活动天窗支持消防联动开启功能。</w:t>
            </w:r>
          </w:p>
        </w:tc>
        <w:tc>
          <w:tcPr>
            <w:tcW w:w="719" w:type="pct"/>
            <w:vAlign w:val="center"/>
          </w:tcPr>
          <w:p w14:paraId="783E1E1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B43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5F767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012" w:type="pct"/>
            <w:vAlign w:val="center"/>
          </w:tcPr>
          <w:p w14:paraId="71C8FB1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行级精密空调</w:t>
            </w:r>
          </w:p>
        </w:tc>
        <w:tc>
          <w:tcPr>
            <w:tcW w:w="2706" w:type="pct"/>
            <w:vAlign w:val="center"/>
          </w:tcPr>
          <w:p w14:paraId="3854D97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行级送风空调，制冷量≥25kw，显冷量≥25kW；恒温恒湿机组，水平送风模式，风量≥5000m3/h，全变频架构+EC风机，带≥7寸全彩触摸屏。</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空调内机支持双路供电自切换功能，主路供电中断可自动切换到辅路供电。</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可以实现在≤15%显热制冷量且室内高湿度情况下稳定除湿功能（除湿量≥6kg/h），降低高湿环境下数据中心低载运行的设备结露风险。</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风机供电单元采用1+1高效直流电源模块，可直接进行在线插拔式维护，单电源模块维护不需停机。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需具备完善的电源监控功能，有电源反相、缺相、过压、欠压、高频、低频等报警及故障诊断，告警记录功能，自动保护，自动恢复，自动重启动等功能。</w:t>
            </w:r>
          </w:p>
        </w:tc>
        <w:tc>
          <w:tcPr>
            <w:tcW w:w="719" w:type="pct"/>
            <w:vAlign w:val="center"/>
          </w:tcPr>
          <w:p w14:paraId="516C30C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r>
      <w:tr w14:paraId="6257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672C5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w:t>
            </w:r>
          </w:p>
        </w:tc>
        <w:tc>
          <w:tcPr>
            <w:tcW w:w="1012" w:type="pct"/>
            <w:vAlign w:val="center"/>
          </w:tcPr>
          <w:p w14:paraId="70286CB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空调安装附件</w:t>
            </w:r>
          </w:p>
        </w:tc>
        <w:tc>
          <w:tcPr>
            <w:tcW w:w="2706" w:type="pct"/>
            <w:vAlign w:val="center"/>
          </w:tcPr>
          <w:p w14:paraId="5932EE0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铜管、制冷剂、室外机电源线、加湿水管等</w:t>
            </w:r>
          </w:p>
        </w:tc>
        <w:tc>
          <w:tcPr>
            <w:tcW w:w="719" w:type="pct"/>
            <w:vAlign w:val="center"/>
          </w:tcPr>
          <w:p w14:paraId="2C1DFA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49EE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65836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w:t>
            </w:r>
          </w:p>
        </w:tc>
        <w:tc>
          <w:tcPr>
            <w:tcW w:w="1012" w:type="pct"/>
            <w:vAlign w:val="center"/>
          </w:tcPr>
          <w:p w14:paraId="3ECAB10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一体化UPS柜（含UPS主机、配电柜）</w:t>
            </w:r>
          </w:p>
        </w:tc>
        <w:tc>
          <w:tcPr>
            <w:tcW w:w="2706" w:type="pct"/>
            <w:vAlign w:val="center"/>
          </w:tcPr>
          <w:p w14:paraId="41DC29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一体化集成UPS、UPS配电、IT配电、空调配电等；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尺寸：600mm(W)*1200mm(D)*2000mm(H)；</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120KVA机框，本期配置3个30KVA功率模块，2+1冗余配置；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输入容量：单路3P/250A输入；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空调配电：4*3P/C63A输出；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IT配电：24*1P/C32A输出；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UPS配电：3*3P/200A UPS输入、输出、维修开关；</w:t>
            </w:r>
          </w:p>
        </w:tc>
        <w:tc>
          <w:tcPr>
            <w:tcW w:w="719" w:type="pct"/>
            <w:vAlign w:val="center"/>
          </w:tcPr>
          <w:p w14:paraId="2289BF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5B40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734B52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w:t>
            </w:r>
          </w:p>
        </w:tc>
        <w:tc>
          <w:tcPr>
            <w:tcW w:w="1012" w:type="pct"/>
            <w:vAlign w:val="center"/>
          </w:tcPr>
          <w:p w14:paraId="4EDEC55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蓄电池</w:t>
            </w:r>
          </w:p>
        </w:tc>
        <w:tc>
          <w:tcPr>
            <w:tcW w:w="2706" w:type="pct"/>
            <w:vAlign w:val="center"/>
          </w:tcPr>
          <w:p w14:paraId="11BE2F2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阀控式密封铅酸蓄电池，200AH/12V，尺寸：522*240*220*226，净重55Kg</w:t>
            </w:r>
          </w:p>
        </w:tc>
        <w:tc>
          <w:tcPr>
            <w:tcW w:w="719" w:type="pct"/>
            <w:vAlign w:val="center"/>
          </w:tcPr>
          <w:p w14:paraId="4BC7849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w:t>
            </w:r>
          </w:p>
        </w:tc>
      </w:tr>
      <w:tr w14:paraId="7BD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2C3A56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w:t>
            </w:r>
          </w:p>
        </w:tc>
        <w:tc>
          <w:tcPr>
            <w:tcW w:w="1012" w:type="pct"/>
            <w:vAlign w:val="center"/>
          </w:tcPr>
          <w:p w14:paraId="07765C9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电池架</w:t>
            </w:r>
          </w:p>
        </w:tc>
        <w:tc>
          <w:tcPr>
            <w:tcW w:w="2706" w:type="pct"/>
            <w:vAlign w:val="center"/>
          </w:tcPr>
          <w:p w14:paraId="12D69D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可放置40节200AH/12V酸蓄电池，尺寸：2700*650*1500，含电池连接线及开关箱</w:t>
            </w:r>
          </w:p>
        </w:tc>
        <w:tc>
          <w:tcPr>
            <w:tcW w:w="719" w:type="pct"/>
            <w:vAlign w:val="center"/>
          </w:tcPr>
          <w:p w14:paraId="6916792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11C9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15BCB2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c>
          <w:tcPr>
            <w:tcW w:w="1012" w:type="pct"/>
            <w:vAlign w:val="center"/>
          </w:tcPr>
          <w:p w14:paraId="0273C76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动环系统专用交换机</w:t>
            </w:r>
          </w:p>
        </w:tc>
        <w:tc>
          <w:tcPr>
            <w:tcW w:w="2706" w:type="pct"/>
            <w:vAlign w:val="center"/>
          </w:tcPr>
          <w:p w14:paraId="5530FF6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具备千兆POE电口≥24个， 1G/2.5G光口≥4个；</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支持IEEE 802.3af/at供电标准，整机最大输出功率≥370W</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交换性能≥600Gbps，包转发率≥150Mpps；</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支持端口聚合，支持手工和静态LACP；</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提供3年原厂质保服务；</w:t>
            </w:r>
          </w:p>
        </w:tc>
        <w:tc>
          <w:tcPr>
            <w:tcW w:w="719" w:type="pct"/>
            <w:vAlign w:val="center"/>
          </w:tcPr>
          <w:p w14:paraId="5718099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17D4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7E8CB1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16</w:t>
            </w:r>
          </w:p>
        </w:tc>
        <w:tc>
          <w:tcPr>
            <w:tcW w:w="1012" w:type="pct"/>
            <w:vAlign w:val="center"/>
          </w:tcPr>
          <w:p w14:paraId="27A93F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动环监控组件</w:t>
            </w:r>
          </w:p>
        </w:tc>
        <w:tc>
          <w:tcPr>
            <w:tcW w:w="2706" w:type="pct"/>
            <w:vAlign w:val="center"/>
          </w:tcPr>
          <w:p w14:paraId="1AA4599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微模块本地监控系统，配置有精密空调、UPS等数据采集监控功能模块，及相关监控系统联动执行器、信号线缆等组件。</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至少配置1套微模块数据采集控制器、1台10寸PAD、4个烟感传感器、2套漏水监测模块、2个通道指纹密码刷卡门禁系统、1套声光报警器、4个温湿度传感器。</w:t>
            </w:r>
          </w:p>
        </w:tc>
        <w:tc>
          <w:tcPr>
            <w:tcW w:w="719" w:type="pct"/>
            <w:vAlign w:val="center"/>
          </w:tcPr>
          <w:p w14:paraId="66D9440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339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C1F75D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17</w:t>
            </w:r>
          </w:p>
        </w:tc>
        <w:tc>
          <w:tcPr>
            <w:tcW w:w="1012" w:type="pct"/>
            <w:vAlign w:val="center"/>
          </w:tcPr>
          <w:p w14:paraId="01813F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国密门禁设备（读卡器+控制器）</w:t>
            </w:r>
          </w:p>
        </w:tc>
        <w:tc>
          <w:tcPr>
            <w:tcW w:w="2706" w:type="pct"/>
            <w:vAlign w:val="center"/>
          </w:tcPr>
          <w:p w14:paraId="38221B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认证方式：刷卡、刷卡+指纹+密码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读卡频率：13.56MHz</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可识别卡：国密CPU卡(含加密功能)</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按键方式：实体按键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管控门数：1门；</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存储容量：10万人（含20万张卡、10万个密码、1万枚指纹），60万条事件记录；</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可接读卡器：RS485读卡器*2、Wiegand读卡器*2；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通讯加密：采用SM2、SM3进行信息通信加密；</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通信接口：网口*1、RS485*7、韦根*2；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门相关接口：门锁*1，门磁*1，开门按钮*1；</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报警接口：报警输入*2，报警输出*2；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其他接口：带消防联动继电器接口、接蓄电池功能接口；</w:t>
            </w:r>
          </w:p>
        </w:tc>
        <w:tc>
          <w:tcPr>
            <w:tcW w:w="719" w:type="pct"/>
            <w:vAlign w:val="center"/>
          </w:tcPr>
          <w:p w14:paraId="3CF4FE9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r>
      <w:tr w14:paraId="28E6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7D90F0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18</w:t>
            </w:r>
          </w:p>
        </w:tc>
        <w:tc>
          <w:tcPr>
            <w:tcW w:w="1012" w:type="pct"/>
            <w:vAlign w:val="center"/>
          </w:tcPr>
          <w:p w14:paraId="2527496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国密视频监控摄像机</w:t>
            </w:r>
          </w:p>
        </w:tc>
        <w:tc>
          <w:tcPr>
            <w:tcW w:w="2706" w:type="pct"/>
            <w:vAlign w:val="center"/>
          </w:tcPr>
          <w:p w14:paraId="46EA131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400万星光级1/2.7"CMOS智能半球网络摄像机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内置通过国家密码局检测认证的安全芯片，支持SM1/SM2/SM3/SM4等国家商用密码算法</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最小照度: 0.005Lux @(F1.2,AGC ON) ,0 Lux with IR</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电源供应: DC12V±25% / PoE(802.3af)</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红外照射距离: 最远可达30米</w:t>
            </w:r>
          </w:p>
        </w:tc>
        <w:tc>
          <w:tcPr>
            <w:tcW w:w="719" w:type="pct"/>
            <w:vAlign w:val="center"/>
          </w:tcPr>
          <w:p w14:paraId="28D49E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w:t>
            </w:r>
          </w:p>
        </w:tc>
      </w:tr>
      <w:tr w14:paraId="5DB4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27C010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19</w:t>
            </w:r>
          </w:p>
        </w:tc>
        <w:tc>
          <w:tcPr>
            <w:tcW w:w="1012" w:type="pct"/>
            <w:vAlign w:val="center"/>
          </w:tcPr>
          <w:p w14:paraId="188EB6D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一体化配电柜主电源线</w:t>
            </w:r>
          </w:p>
        </w:tc>
        <w:tc>
          <w:tcPr>
            <w:tcW w:w="2706" w:type="pct"/>
            <w:vAlign w:val="center"/>
          </w:tcPr>
          <w:p w14:paraId="76C3A1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YJV-0.6/1kv-4×95+1×50mm²</w:t>
            </w:r>
          </w:p>
        </w:tc>
        <w:tc>
          <w:tcPr>
            <w:tcW w:w="719" w:type="pct"/>
            <w:vAlign w:val="center"/>
          </w:tcPr>
          <w:p w14:paraId="757668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w:t>
            </w:r>
          </w:p>
        </w:tc>
      </w:tr>
      <w:tr w14:paraId="2AE7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DDF3F2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12" w:type="pct"/>
            <w:vAlign w:val="center"/>
          </w:tcPr>
          <w:p w14:paraId="476D01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机柜PDU电源线</w:t>
            </w:r>
          </w:p>
        </w:tc>
        <w:tc>
          <w:tcPr>
            <w:tcW w:w="2706" w:type="pct"/>
            <w:vAlign w:val="center"/>
          </w:tcPr>
          <w:p w14:paraId="38178ED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ZA-RVV-3x6mm²</w:t>
            </w:r>
          </w:p>
        </w:tc>
        <w:tc>
          <w:tcPr>
            <w:tcW w:w="719" w:type="pct"/>
            <w:vAlign w:val="center"/>
          </w:tcPr>
          <w:p w14:paraId="799D3BB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7137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43BF5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12" w:type="pct"/>
            <w:vAlign w:val="center"/>
          </w:tcPr>
          <w:p w14:paraId="3A6B70B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空调电源线</w:t>
            </w:r>
          </w:p>
        </w:tc>
        <w:tc>
          <w:tcPr>
            <w:tcW w:w="2706" w:type="pct"/>
            <w:vAlign w:val="center"/>
          </w:tcPr>
          <w:p w14:paraId="15EF913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ZA-RVV-5x10mm²</w:t>
            </w:r>
          </w:p>
        </w:tc>
        <w:tc>
          <w:tcPr>
            <w:tcW w:w="719" w:type="pct"/>
            <w:vAlign w:val="center"/>
          </w:tcPr>
          <w:p w14:paraId="2D0A4DF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6610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474BBA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12" w:type="pct"/>
            <w:vAlign w:val="center"/>
          </w:tcPr>
          <w:p w14:paraId="3662A7D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设备承重架</w:t>
            </w:r>
          </w:p>
        </w:tc>
        <w:tc>
          <w:tcPr>
            <w:tcW w:w="2706" w:type="pct"/>
            <w:vAlign w:val="center"/>
          </w:tcPr>
          <w:p w14:paraId="7FC1B99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定制，机柜*7、空调室内机*2/室外机*2、一体化UPS*1、电池架*1</w:t>
            </w:r>
          </w:p>
        </w:tc>
        <w:tc>
          <w:tcPr>
            <w:tcW w:w="719" w:type="pct"/>
            <w:vAlign w:val="center"/>
          </w:tcPr>
          <w:p w14:paraId="345ECF1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A8C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50C6F0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12" w:type="pct"/>
            <w:vAlign w:val="center"/>
          </w:tcPr>
          <w:p w14:paraId="586456E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落地网络机柜</w:t>
            </w:r>
          </w:p>
        </w:tc>
        <w:tc>
          <w:tcPr>
            <w:tcW w:w="2706" w:type="pct"/>
            <w:vAlign w:val="center"/>
          </w:tcPr>
          <w:p w14:paraId="4B2EA7C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42U，600*600*2000MM，含PDU、安装配件等</w:t>
            </w:r>
          </w:p>
        </w:tc>
        <w:tc>
          <w:tcPr>
            <w:tcW w:w="719" w:type="pct"/>
            <w:vAlign w:val="center"/>
          </w:tcPr>
          <w:p w14:paraId="3103F2B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r>
      <w:tr w14:paraId="0CBB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1547F8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12" w:type="pct"/>
            <w:vAlign w:val="center"/>
          </w:tcPr>
          <w:p w14:paraId="3595C3F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壁挂网络机柜</w:t>
            </w:r>
          </w:p>
        </w:tc>
        <w:tc>
          <w:tcPr>
            <w:tcW w:w="2706" w:type="pct"/>
            <w:vAlign w:val="center"/>
          </w:tcPr>
          <w:p w14:paraId="494F1C1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18U，600*600*1000MM，含PDU、安装配件等</w:t>
            </w:r>
          </w:p>
        </w:tc>
        <w:tc>
          <w:tcPr>
            <w:tcW w:w="719" w:type="pct"/>
            <w:vAlign w:val="center"/>
          </w:tcPr>
          <w:p w14:paraId="059EF60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6D3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928AD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12" w:type="pct"/>
            <w:vAlign w:val="center"/>
          </w:tcPr>
          <w:p w14:paraId="28A119E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机柜PDU</w:t>
            </w:r>
          </w:p>
        </w:tc>
        <w:tc>
          <w:tcPr>
            <w:tcW w:w="2706" w:type="pct"/>
            <w:vAlign w:val="center"/>
          </w:tcPr>
          <w:p w14:paraId="504B252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16A输入-10*10A国标插座输出</w:t>
            </w:r>
          </w:p>
        </w:tc>
        <w:tc>
          <w:tcPr>
            <w:tcW w:w="719" w:type="pct"/>
            <w:vAlign w:val="center"/>
          </w:tcPr>
          <w:p w14:paraId="316A8D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6BB3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C7FC7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12" w:type="pct"/>
            <w:vAlign w:val="center"/>
          </w:tcPr>
          <w:p w14:paraId="49707D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弱电井配电箱</w:t>
            </w:r>
          </w:p>
        </w:tc>
        <w:tc>
          <w:tcPr>
            <w:tcW w:w="2706" w:type="pct"/>
            <w:vAlign w:val="center"/>
          </w:tcPr>
          <w:p w14:paraId="031023A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定制，含空开、接线柱、箱体等</w:t>
            </w:r>
          </w:p>
        </w:tc>
        <w:tc>
          <w:tcPr>
            <w:tcW w:w="719" w:type="pct"/>
            <w:vAlign w:val="center"/>
          </w:tcPr>
          <w:p w14:paraId="72215FA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r>
      <w:tr w14:paraId="5152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3D72322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12" w:type="pct"/>
            <w:vAlign w:val="center"/>
          </w:tcPr>
          <w:p w14:paraId="20A22FC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主干配电线缆</w:t>
            </w:r>
          </w:p>
        </w:tc>
        <w:tc>
          <w:tcPr>
            <w:tcW w:w="2706" w:type="pct"/>
            <w:vAlign w:val="center"/>
          </w:tcPr>
          <w:p w14:paraId="1197B5D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ZA-RVV-3x6mm²</w:t>
            </w:r>
          </w:p>
        </w:tc>
        <w:tc>
          <w:tcPr>
            <w:tcW w:w="719" w:type="pct"/>
            <w:vAlign w:val="center"/>
          </w:tcPr>
          <w:p w14:paraId="0D48E68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36C1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06924C8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12" w:type="pct"/>
            <w:vAlign w:val="center"/>
          </w:tcPr>
          <w:p w14:paraId="0B84BA4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配电线缆</w:t>
            </w:r>
          </w:p>
        </w:tc>
        <w:tc>
          <w:tcPr>
            <w:tcW w:w="2706" w:type="pct"/>
            <w:vAlign w:val="center"/>
          </w:tcPr>
          <w:p w14:paraId="2FC0B00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ZA-RVV-3x4mm²</w:t>
            </w:r>
          </w:p>
        </w:tc>
        <w:tc>
          <w:tcPr>
            <w:tcW w:w="719" w:type="pct"/>
            <w:vAlign w:val="center"/>
          </w:tcPr>
          <w:p w14:paraId="30CF874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r>
      <w:tr w14:paraId="7A7A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D7C1A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12" w:type="pct"/>
            <w:vAlign w:val="center"/>
          </w:tcPr>
          <w:p w14:paraId="318290D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JDG线管</w:t>
            </w:r>
          </w:p>
        </w:tc>
        <w:tc>
          <w:tcPr>
            <w:tcW w:w="2706" w:type="pct"/>
            <w:vAlign w:val="center"/>
          </w:tcPr>
          <w:p w14:paraId="65ABEDA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套接紧定式镀锌钢导线管，JDG20/JDG25,厚度1.5MM，含杯梳、吊杆、螺丝、底盒等配件</w:t>
            </w:r>
          </w:p>
        </w:tc>
        <w:tc>
          <w:tcPr>
            <w:tcW w:w="719" w:type="pct"/>
            <w:vAlign w:val="center"/>
          </w:tcPr>
          <w:p w14:paraId="36887D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635D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2443D12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12" w:type="pct"/>
            <w:vAlign w:val="center"/>
          </w:tcPr>
          <w:p w14:paraId="18B7AC8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辅材</w:t>
            </w:r>
          </w:p>
        </w:tc>
        <w:tc>
          <w:tcPr>
            <w:tcW w:w="2706" w:type="pct"/>
            <w:vAlign w:val="center"/>
          </w:tcPr>
          <w:p w14:paraId="628DB21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含标签、扎带、电工胶布、接地线缆等</w:t>
            </w:r>
          </w:p>
        </w:tc>
        <w:tc>
          <w:tcPr>
            <w:tcW w:w="719" w:type="pct"/>
            <w:vAlign w:val="center"/>
          </w:tcPr>
          <w:p w14:paraId="1A066D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D8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61" w:type="pct"/>
            <w:vAlign w:val="center"/>
          </w:tcPr>
          <w:p w14:paraId="639BD40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12" w:type="pct"/>
            <w:vAlign w:val="center"/>
          </w:tcPr>
          <w:p w14:paraId="23188C1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第三方验收测评服务</w:t>
            </w:r>
          </w:p>
        </w:tc>
        <w:tc>
          <w:tcPr>
            <w:tcW w:w="2706" w:type="pct"/>
            <w:vAlign w:val="center"/>
          </w:tcPr>
          <w:p w14:paraId="7378C30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核查灾备机房实施成果相对设计内容的内容符合性、功能完备性、性能合格性、实施规范性等方面</w:t>
            </w:r>
          </w:p>
        </w:tc>
        <w:tc>
          <w:tcPr>
            <w:tcW w:w="719" w:type="pct"/>
            <w:vAlign w:val="center"/>
          </w:tcPr>
          <w:p w14:paraId="4E9E39A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61B615A7">
      <w:pPr>
        <w:keepNext w:val="0"/>
        <w:keepLines w:val="0"/>
        <w:pageBreakBefore w:val="0"/>
        <w:widowControl w:val="0"/>
        <w:numPr>
          <w:ilvl w:val="0"/>
          <w:numId w:val="0"/>
        </w:numPr>
        <w:kinsoku/>
        <w:wordWrap/>
        <w:overflowPunct/>
        <w:topLinePunct w:val="0"/>
        <w:autoSpaceDE/>
        <w:autoSpaceDN/>
        <w:bidi w:val="0"/>
        <w:spacing w:line="240" w:lineRule="auto"/>
        <w:ind w:leftChars="0"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软件部分：</w:t>
      </w:r>
    </w:p>
    <w:tbl>
      <w:tblPr>
        <w:tblStyle w:val="3"/>
        <w:tblW w:w="4999" w:type="pct"/>
        <w:jc w:val="center"/>
        <w:tblLayout w:type="autofit"/>
        <w:tblCellMar>
          <w:top w:w="0" w:type="dxa"/>
          <w:left w:w="108" w:type="dxa"/>
          <w:bottom w:w="0" w:type="dxa"/>
          <w:right w:w="108" w:type="dxa"/>
        </w:tblCellMar>
      </w:tblPr>
      <w:tblGrid>
        <w:gridCol w:w="1993"/>
        <w:gridCol w:w="2831"/>
        <w:gridCol w:w="4462"/>
      </w:tblGrid>
      <w:tr w14:paraId="4797C90D">
        <w:tblPrEx>
          <w:tblCellMar>
            <w:top w:w="0" w:type="dxa"/>
            <w:left w:w="108" w:type="dxa"/>
            <w:bottom w:w="0" w:type="dxa"/>
            <w:right w:w="108" w:type="dxa"/>
          </w:tblCellMar>
        </w:tblPrEx>
        <w:trPr>
          <w:trHeight w:val="552" w:hRule="atLeast"/>
          <w:jc w:val="center"/>
        </w:trPr>
        <w:tc>
          <w:tcPr>
            <w:tcW w:w="10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4998E">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编号</w:t>
            </w:r>
          </w:p>
        </w:tc>
        <w:tc>
          <w:tcPr>
            <w:tcW w:w="15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3E0FC">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子系统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8743E">
            <w:pPr>
              <w:widowControl/>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t>模块</w:t>
            </w:r>
          </w:p>
        </w:tc>
      </w:tr>
      <w:tr w14:paraId="099E0047">
        <w:tblPrEx>
          <w:tblCellMar>
            <w:top w:w="0" w:type="dxa"/>
            <w:left w:w="108" w:type="dxa"/>
            <w:bottom w:w="0" w:type="dxa"/>
            <w:right w:w="108" w:type="dxa"/>
          </w:tblCellMar>
        </w:tblPrEx>
        <w:trPr>
          <w:trHeight w:val="173"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FF10B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9D05C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儿童哮喘标准化病历管理基础支撑平台</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6504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1.1用户管理</w:t>
            </w:r>
          </w:p>
        </w:tc>
      </w:tr>
      <w:tr w14:paraId="68038CDD">
        <w:tblPrEx>
          <w:tblCellMar>
            <w:top w:w="0" w:type="dxa"/>
            <w:left w:w="108" w:type="dxa"/>
            <w:bottom w:w="0" w:type="dxa"/>
            <w:right w:w="108" w:type="dxa"/>
          </w:tblCellMar>
        </w:tblPrEx>
        <w:trPr>
          <w:trHeight w:val="216"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4EBC9">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446F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9675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1.2角色管理</w:t>
            </w:r>
          </w:p>
        </w:tc>
      </w:tr>
      <w:tr w14:paraId="2243DAF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5876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B286E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870A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1.3组织机构管理</w:t>
            </w:r>
          </w:p>
        </w:tc>
      </w:tr>
      <w:tr w14:paraId="1F8EF4F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F1DA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D265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0765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1.4药械数据</w:t>
            </w:r>
          </w:p>
        </w:tc>
      </w:tr>
      <w:tr w14:paraId="045C52F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4D5EA">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D94A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6B7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1.5模版管理</w:t>
            </w:r>
          </w:p>
        </w:tc>
      </w:tr>
      <w:tr w14:paraId="3F089A6B">
        <w:tblPrEx>
          <w:tblCellMar>
            <w:top w:w="0" w:type="dxa"/>
            <w:left w:w="108" w:type="dxa"/>
            <w:bottom w:w="0" w:type="dxa"/>
            <w:right w:w="108" w:type="dxa"/>
          </w:tblCellMar>
        </w:tblPrEx>
        <w:trPr>
          <w:trHeight w:val="30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56E5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DDBC7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标准化病历管理系统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D150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2.1病历建档及查询</w:t>
            </w:r>
          </w:p>
        </w:tc>
      </w:tr>
      <w:tr w14:paraId="49363D3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E426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A6B2B">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40416">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2.2智能风险初筛</w:t>
            </w:r>
          </w:p>
        </w:tc>
      </w:tr>
      <w:tr w14:paraId="225C1BA7">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4C6C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18EA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A83B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2.3智能问诊</w:t>
            </w:r>
          </w:p>
        </w:tc>
      </w:tr>
      <w:tr w14:paraId="4F739A61">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5FA6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B9FE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17C8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2.4智能化治疗方案</w:t>
            </w:r>
          </w:p>
        </w:tc>
      </w:tr>
      <w:tr w14:paraId="7827052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CCA0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147D7">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CE5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2.5智能化行动计划</w:t>
            </w:r>
          </w:p>
        </w:tc>
      </w:tr>
      <w:tr w14:paraId="5596522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1358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F3AA5">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F21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2.6在线课程</w:t>
            </w:r>
          </w:p>
        </w:tc>
      </w:tr>
      <w:tr w14:paraId="62C9F0D9">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22249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2ED2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49D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2.7统计分析</w:t>
            </w:r>
          </w:p>
        </w:tc>
      </w:tr>
      <w:tr w14:paraId="28383BCA">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F92287">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E1EFB">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4F6B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2.8远程复诊</w:t>
            </w:r>
          </w:p>
        </w:tc>
      </w:tr>
      <w:tr w14:paraId="2F631CD4">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A2FF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E6E3C">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0251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2.9智能化评估</w:t>
            </w:r>
          </w:p>
        </w:tc>
      </w:tr>
      <w:tr w14:paraId="7A5BA594">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B232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C43BB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0AF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kern w:val="0"/>
                <w:sz w:val="21"/>
                <w:szCs w:val="21"/>
                <w:lang w:eastAsia="en-US"/>
              </w:rPr>
            </w:pPr>
            <w:r>
              <w:rPr>
                <w:rFonts w:hint="eastAsia" w:asciiTheme="minorEastAsia" w:hAnsiTheme="minorEastAsia" w:eastAsiaTheme="minorEastAsia" w:cstheme="minorEastAsia"/>
                <w:i w:val="0"/>
                <w:iCs w:val="0"/>
                <w:color w:val="000000"/>
                <w:kern w:val="0"/>
                <w:sz w:val="21"/>
                <w:szCs w:val="21"/>
                <w:u w:val="none"/>
                <w:lang w:val="en-US" w:eastAsia="zh-CN" w:bidi="ar"/>
              </w:rPr>
              <w:t>2.10智能化随访</w:t>
            </w:r>
          </w:p>
        </w:tc>
      </w:tr>
      <w:tr w14:paraId="094CDA8D">
        <w:tblPrEx>
          <w:tblCellMar>
            <w:top w:w="0" w:type="dxa"/>
            <w:left w:w="108" w:type="dxa"/>
            <w:bottom w:w="0" w:type="dxa"/>
            <w:right w:w="108" w:type="dxa"/>
          </w:tblCellMar>
        </w:tblPrEx>
        <w:trPr>
          <w:trHeight w:val="300" w:hRule="atLeast"/>
          <w:jc w:val="center"/>
        </w:trPr>
        <w:tc>
          <w:tcPr>
            <w:tcW w:w="107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86C3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5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10EA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患者随访系统</w:t>
            </w: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88BC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3.1健康档案</w:t>
            </w:r>
          </w:p>
        </w:tc>
      </w:tr>
      <w:tr w14:paraId="0C7A95D8">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AA6BE">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95B36">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6258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3.2智能化哮喘控制评估</w:t>
            </w:r>
          </w:p>
        </w:tc>
      </w:tr>
      <w:tr w14:paraId="4BD538C3">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6105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F9C0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C5BB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3.3哮喘日记</w:t>
            </w:r>
          </w:p>
        </w:tc>
      </w:tr>
      <w:tr w14:paraId="7B7085CB">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37F03">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569FD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A09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3.4用药打卡记录及同步至医护端</w:t>
            </w:r>
          </w:p>
        </w:tc>
      </w:tr>
      <w:tr w14:paraId="485A8A3D">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30683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B2CA4">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63A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3.5音视频上传同步至医护端</w:t>
            </w:r>
          </w:p>
        </w:tc>
      </w:tr>
      <w:tr w14:paraId="0E2D527F">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7F7C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B4E58">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CA14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3.6科普资讯</w:t>
            </w:r>
          </w:p>
        </w:tc>
      </w:tr>
      <w:tr w14:paraId="301B9B0A">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B216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0FB6BA">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9810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3.7远程复诊申请</w:t>
            </w:r>
          </w:p>
        </w:tc>
      </w:tr>
      <w:tr w14:paraId="77E8F2D7">
        <w:tblPrEx>
          <w:tblCellMar>
            <w:top w:w="0" w:type="dxa"/>
            <w:left w:w="108" w:type="dxa"/>
            <w:bottom w:w="0" w:type="dxa"/>
            <w:right w:w="108" w:type="dxa"/>
          </w:tblCellMar>
        </w:tblPrEx>
        <w:trPr>
          <w:trHeight w:val="300" w:hRule="atLeast"/>
          <w:jc w:val="center"/>
        </w:trPr>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01C6FF">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15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EF0C2">
            <w:pPr>
              <w:spacing w:line="240" w:lineRule="auto"/>
              <w:jc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p>
        </w:tc>
        <w:tc>
          <w:tcPr>
            <w:tcW w:w="24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1F19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themeColor="text1"/>
                <w:sz w:val="21"/>
                <w:szCs w:val="21"/>
                <w:lang w:eastAsia="en-US" w:bidi="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3.8健康分析</w:t>
            </w:r>
          </w:p>
        </w:tc>
      </w:tr>
    </w:tbl>
    <w:p w14:paraId="39669BF8">
      <w:pPr>
        <w:keepNext w:val="0"/>
        <w:keepLines w:val="0"/>
        <w:pageBreakBefore w:val="0"/>
        <w:widowControl w:val="0"/>
        <w:numPr>
          <w:ilvl w:val="0"/>
          <w:numId w:val="0"/>
        </w:numPr>
        <w:kinsoku/>
        <w:wordWrap/>
        <w:overflowPunct/>
        <w:topLinePunct w:val="0"/>
        <w:autoSpaceDE/>
        <w:autoSpaceDN/>
        <w:bidi w:val="0"/>
        <w:spacing w:line="240" w:lineRule="auto"/>
        <w:ind w:leftChars="143"/>
        <w:jc w:val="left"/>
        <w:textAlignment w:val="auto"/>
        <w:rPr>
          <w:rFonts w:hint="default" w:ascii="宋体" w:hAnsi="宋体" w:cs="宋体"/>
          <w:color w:val="auto"/>
          <w:sz w:val="24"/>
          <w:szCs w:val="24"/>
          <w:highlight w:val="none"/>
          <w:lang w:val="en-US" w:eastAsia="zh-CN"/>
        </w:rPr>
      </w:pPr>
    </w:p>
    <w:p w14:paraId="0835800A"/>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2D9D"/>
    <w:rsid w:val="113E2D9D"/>
    <w:rsid w:val="3C863456"/>
    <w:rsid w:val="7A8A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无缩)"/>
    <w:basedOn w:val="1"/>
    <w:qFormat/>
    <w:uiPriority w:val="0"/>
    <w:pPr>
      <w:spacing w:line="288" w:lineRule="auto"/>
      <w:ind w:firstLine="0" w:firstLineChars="0"/>
    </w:pPr>
    <w:rPr>
      <w:rFonts w:cs="Times New Roman"/>
      <w:sz w:val="21"/>
      <w:szCs w:val="21"/>
      <w14:ligatures w14:val="none"/>
    </w:rPr>
  </w:style>
  <w:style w:type="character" w:customStyle="1" w:styleId="7">
    <w:name w:val="font21"/>
    <w:basedOn w:val="5"/>
    <w:qFormat/>
    <w:uiPriority w:val="0"/>
    <w:rPr>
      <w:rFonts w:ascii="Calibri" w:hAnsi="Calibri" w:cs="Calibri"/>
      <w:color w:val="000000"/>
      <w:sz w:val="21"/>
      <w:szCs w:val="21"/>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 w:type="table" w:customStyle="1" w:styleId="9">
    <w:name w:val="网格型8"/>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表格文字"/>
    <w:basedOn w:val="1"/>
    <w:qFormat/>
    <w:uiPriority w:val="0"/>
    <w:pPr>
      <w:ind w:firstLine="0" w:firstLineChars="0"/>
    </w:pPr>
    <w:rPr>
      <w:rFonts w:ascii="Times New Roman" w:hAnsi="Times New Roman" w:cs="Times New Roman"/>
      <w:kern w:val="0"/>
      <w:sz w:val="21"/>
      <w:szCs w:val="24"/>
      <w14:ligatures w14:val="none"/>
    </w:rPr>
  </w:style>
  <w:style w:type="paragraph" w:customStyle="1" w:styleId="11">
    <w:name w:val="公文正文"/>
    <w:qFormat/>
    <w:uiPriority w:val="0"/>
    <w:pPr>
      <w:widowControl/>
      <w:tabs>
        <w:tab w:val="left" w:pos="420"/>
      </w:tabs>
      <w:bidi w:val="0"/>
      <w:spacing w:line="400" w:lineRule="exact"/>
      <w:ind w:left="0" w:leftChars="0" w:firstLine="640" w:firstLineChars="200"/>
      <w:jc w:val="both"/>
      <w:outlineLvl w:val="9"/>
    </w:pPr>
    <w:rPr>
      <w:rFonts w:ascii="仿宋_GB2312" w:hAnsi="仿宋_GB2312" w:eastAsia="仿宋_GB2312" w:cs="黑体"/>
      <w:color w:val="000000"/>
      <w:kern w:val="0"/>
      <w:sz w:val="24"/>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4712</Words>
  <Characters>6018</Characters>
  <Lines>0</Lines>
  <Paragraphs>0</Paragraphs>
  <TotalTime>0</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2025-10-11T01:22:00Z</dcterms:created>
  <dc:creator>何舒晨</dc:creator>
  <cp:lastModifiedBy>何舒晨</cp:lastModifiedBy>
  <dcterms:modified xsi:type="dcterms:W3CDTF">2025-10-11T09:49:36Z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E997CC9FB6A14640940DD754B8AAA2CB_13</vt:lpwstr>
  </property>
  <property fmtid="{D5CDD505-2E9C-101B-9397-08002B2CF9AE}" pid="4" name="KSOTemplateDocerSaveRecord">
    <vt:lpwstr>eyJoZGlkIjoiNDlmZjk0MTBkNjA1MzY3NzA4ZWQ1MDIyZjczODg0MzAiLCJ1c2VySWQiOiIxOTU4NTc0OTQifQ==</vt:lpwstr>
  </property>
</Properties>
</file>