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Times New Roman"/>
          <w:b/>
          <w:bCs/>
          <w:sz w:val="36"/>
          <w:szCs w:val="36"/>
          <w:lang w:val="en-US" w:eastAsia="zh-CN"/>
        </w:rPr>
      </w:pPr>
      <w:r>
        <w:rPr>
          <w:rFonts w:hint="eastAsia" w:ascii="仿宋" w:hAnsi="仿宋" w:eastAsia="仿宋" w:cs="Times New Roman"/>
          <w:b/>
          <w:bCs/>
          <w:sz w:val="36"/>
          <w:szCs w:val="36"/>
          <w:lang w:val="en-US" w:eastAsia="zh-CN"/>
        </w:rPr>
        <w:t>2026-2028年病媒生物防制服务项目</w:t>
      </w:r>
    </w:p>
    <w:p>
      <w:pPr>
        <w:jc w:val="center"/>
        <w:rPr>
          <w:rFonts w:hint="eastAsia" w:ascii="仿宋" w:hAnsi="仿宋" w:eastAsia="仿宋" w:cs="Times New Roman"/>
          <w:b/>
          <w:bCs/>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一、项目基本内容：</w:t>
      </w:r>
    </w:p>
    <w:p>
      <w:pPr>
        <w:pStyle w:val="7"/>
        <w:numPr>
          <w:ilvl w:val="0"/>
          <w:numId w:val="0"/>
        </w:num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1、项目名称：2026</w:t>
      </w:r>
      <w:r>
        <w:rPr>
          <w:rFonts w:hint="eastAsia" w:eastAsia="仿宋" w:cs="仿宋"/>
          <w:sz w:val="24"/>
          <w:szCs w:val="24"/>
          <w:lang w:val="en-US" w:eastAsia="zh-CN"/>
        </w:rPr>
        <w:t>-2028</w:t>
      </w:r>
      <w:bookmarkStart w:id="0" w:name="_GoBack"/>
      <w:bookmarkEnd w:id="0"/>
      <w:r>
        <w:rPr>
          <w:rFonts w:hint="eastAsia" w:ascii="仿宋" w:hAnsi="仿宋" w:eastAsia="仿宋" w:cs="仿宋"/>
          <w:sz w:val="24"/>
          <w:szCs w:val="24"/>
          <w:lang w:val="en-US" w:eastAsia="zh-CN"/>
        </w:rPr>
        <w:t>年病媒生物防制服务项目</w:t>
      </w:r>
    </w:p>
    <w:p>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2、项目预算：120000元</w:t>
      </w:r>
    </w:p>
    <w:p>
      <w:pPr>
        <w:pStyle w:val="2"/>
        <w:ind w:firstLine="56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3、惠州市第一妇幼保健院</w:t>
      </w:r>
      <w:r>
        <w:rPr>
          <w:rFonts w:hint="eastAsia" w:ascii="仿宋" w:hAnsi="仿宋" w:eastAsia="仿宋" w:cs="仿宋"/>
          <w:sz w:val="24"/>
          <w:szCs w:val="24"/>
          <w:lang w:val="zh-CN" w:eastAsia="zh-CN"/>
        </w:rPr>
        <w:t>总建筑面积约为</w:t>
      </w:r>
      <w:r>
        <w:rPr>
          <w:rFonts w:hint="eastAsia" w:ascii="仿宋" w:hAnsi="仿宋" w:eastAsia="仿宋" w:cs="仿宋"/>
          <w:sz w:val="24"/>
          <w:szCs w:val="24"/>
          <w:lang w:val="en-US" w:eastAsia="zh-CN"/>
        </w:rPr>
        <w:t>8.5万</w:t>
      </w:r>
      <w:r>
        <w:rPr>
          <w:rFonts w:hint="eastAsia" w:ascii="仿宋" w:hAnsi="仿宋" w:eastAsia="仿宋" w:cs="仿宋"/>
          <w:sz w:val="24"/>
          <w:szCs w:val="24"/>
          <w:lang w:val="zh-CN" w:eastAsia="zh-CN"/>
        </w:rPr>
        <w:t>平方米（包含在建</w:t>
      </w:r>
      <w:r>
        <w:rPr>
          <w:rFonts w:hint="eastAsia" w:ascii="仿宋" w:hAnsi="仿宋" w:eastAsia="仿宋" w:cs="仿宋"/>
          <w:sz w:val="24"/>
          <w:szCs w:val="24"/>
          <w:lang w:val="en-US" w:eastAsia="zh-CN"/>
        </w:rPr>
        <w:t>2.9万平方米于2027年底交付使用）</w:t>
      </w:r>
    </w:p>
    <w:p>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r>
        <w:rPr>
          <w:rFonts w:hint="eastAsia" w:ascii="仿宋" w:hAnsi="仿宋" w:eastAsia="仿宋" w:cs="仿宋"/>
          <w:kern w:val="2"/>
          <w:sz w:val="24"/>
          <w:szCs w:val="24"/>
          <w:lang w:val="en-US" w:eastAsia="zh-CN" w:bidi="ar-SA"/>
        </w:rPr>
        <w:t>服务范围：</w:t>
      </w:r>
      <w:r>
        <w:rPr>
          <w:rFonts w:hint="eastAsia" w:ascii="仿宋" w:hAnsi="仿宋" w:eastAsia="仿宋" w:cs="仿宋"/>
          <w:kern w:val="2"/>
          <w:sz w:val="24"/>
          <w:szCs w:val="24"/>
          <w:lang w:val="zh-CN" w:eastAsia="zh-CN" w:bidi="ar-SA"/>
        </w:rPr>
        <w:t>惠州市第一</w:t>
      </w:r>
      <w:r>
        <w:rPr>
          <w:rFonts w:hint="eastAsia" w:ascii="仿宋" w:hAnsi="仿宋" w:eastAsia="仿宋" w:cs="仿宋"/>
          <w:kern w:val="2"/>
          <w:sz w:val="24"/>
          <w:szCs w:val="24"/>
          <w:lang w:val="en-US" w:eastAsia="zh-CN" w:bidi="ar-SA"/>
        </w:rPr>
        <w:t>妇幼保健</w:t>
      </w:r>
      <w:r>
        <w:rPr>
          <w:rFonts w:hint="eastAsia" w:ascii="仿宋" w:hAnsi="仿宋" w:eastAsia="仿宋" w:cs="仿宋"/>
          <w:kern w:val="2"/>
          <w:sz w:val="24"/>
          <w:szCs w:val="24"/>
          <w:lang w:val="zh-CN" w:eastAsia="zh-CN" w:bidi="ar-SA"/>
        </w:rPr>
        <w:t>院院区内建筑物内外的附属物、绿化带及其树木的病媒生物（是指能够将病原体从人或者其他动物传播给人的、危害人类健康的鼠、蚊、蝇、蟑螂、蚤类、白蚁等生物）防制。</w:t>
      </w:r>
    </w:p>
    <w:p>
      <w:pPr>
        <w:pStyle w:val="7"/>
        <w:ind w:left="0" w:leftChars="0"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5、服务期限：</w:t>
      </w:r>
      <w:r>
        <w:rPr>
          <w:rFonts w:hint="eastAsia" w:eastAsia="仿宋" w:cs="仿宋"/>
          <w:sz w:val="24"/>
          <w:szCs w:val="24"/>
          <w:lang w:val="en-US" w:eastAsia="zh-CN"/>
        </w:rPr>
        <w:t>3</w:t>
      </w:r>
      <w:r>
        <w:rPr>
          <w:rFonts w:hint="eastAsia" w:ascii="仿宋" w:hAnsi="仿宋" w:eastAsia="仿宋" w:cs="仿宋"/>
          <w:sz w:val="24"/>
          <w:szCs w:val="24"/>
          <w:lang w:val="en-US" w:eastAsia="zh-CN"/>
        </w:rPr>
        <w:t>年</w:t>
      </w:r>
    </w:p>
    <w:p>
      <w:pPr>
        <w:pStyle w:val="7"/>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二、供应商资格要求</w:t>
      </w:r>
    </w:p>
    <w:p>
      <w:pPr>
        <w:tabs>
          <w:tab w:val="left" w:pos="0"/>
        </w:tabs>
        <w:wordWrap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1.具备《政府采购法》第二十二条规定的条件,且提供以下证明文件：</w:t>
      </w:r>
    </w:p>
    <w:p>
      <w:pPr>
        <w:tabs>
          <w:tab w:val="left" w:pos="0"/>
        </w:tabs>
        <w:wordWrap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（1）在中华人民共和国境内注册的具有独立承担民事责任能力的法人或其他组织（提供营业执照等证明文件）；</w:t>
      </w:r>
    </w:p>
    <w:p>
      <w:pPr>
        <w:tabs>
          <w:tab w:val="left" w:pos="0"/>
        </w:tabs>
        <w:wordWrap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具有良好的商业信誉和健全的财务会计制度：投标人必须具有良好的商业信誉和健全的财务会计制度。可提供：①2019至2021年度任意一年经审计的审计报告复印件（包含审计报告中所涉及的财务报表和报表附注）；或②2019年至2021年度任意一年投标人内部的财务报表复印件（新成立公司提供成立至今的月或季度财务报表复印件）；或③截至投标文件递交截止日一年内银行出具的资信证明（复印件）。</w:t>
      </w:r>
    </w:p>
    <w:p>
      <w:pPr>
        <w:tabs>
          <w:tab w:val="left" w:pos="0"/>
        </w:tabs>
        <w:wordWrap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比价</w:t>
      </w:r>
      <w:r>
        <w:rPr>
          <w:rFonts w:hint="eastAsia" w:ascii="仿宋" w:hAnsi="仿宋" w:eastAsia="仿宋" w:cs="仿宋"/>
          <w:color w:val="auto"/>
          <w:sz w:val="24"/>
          <w:highlight w:val="none"/>
        </w:rPr>
        <w:t>截止时间前一年内任意一个月的依法缴纳税收证明材料（如依法免税，则须提供相应文件证明其依法免税）；</w:t>
      </w:r>
    </w:p>
    <w:p>
      <w:pPr>
        <w:tabs>
          <w:tab w:val="left" w:pos="0"/>
        </w:tabs>
        <w:wordWrap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r>
        <w:rPr>
          <w:rFonts w:hint="eastAsia" w:ascii="仿宋" w:hAnsi="仿宋" w:eastAsia="仿宋" w:cs="仿宋"/>
          <w:color w:val="auto"/>
          <w:sz w:val="24"/>
          <w:highlight w:val="none"/>
          <w:lang w:val="en-US" w:eastAsia="zh-CN"/>
        </w:rPr>
        <w:t>比价</w:t>
      </w:r>
      <w:r>
        <w:rPr>
          <w:rFonts w:hint="eastAsia" w:ascii="仿宋" w:hAnsi="仿宋" w:eastAsia="仿宋" w:cs="仿宋"/>
          <w:color w:val="auto"/>
          <w:sz w:val="24"/>
          <w:highlight w:val="none"/>
        </w:rPr>
        <w:t>截止时间前一年内任意一个月的依法缴纳社会保险凭据（如依法不需要缴纳社保，则须提供相应文件证明其依法不需要缴纳）；</w:t>
      </w:r>
    </w:p>
    <w:p>
      <w:pPr>
        <w:tabs>
          <w:tab w:val="left" w:pos="0"/>
        </w:tabs>
        <w:wordWrap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（5）履行合同所必需的设备和专业技术能力的证明材料或书面声明；</w:t>
      </w:r>
    </w:p>
    <w:p>
      <w:pPr>
        <w:tabs>
          <w:tab w:val="left" w:pos="0"/>
        </w:tabs>
        <w:wordWrap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（6）参加政府采购活动前3年内在经营活动中没有重大违法记录的书面声明。</w:t>
      </w:r>
    </w:p>
    <w:p>
      <w:pPr>
        <w:tabs>
          <w:tab w:val="left" w:pos="0"/>
        </w:tabs>
        <w:wordWrap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没有被列入失信被执行人、重大税收违法案件当事人名单、政府采购严重违法失信行为记录名单及其他不符合规定条件的供应商。[根据信用中国网站（www.creditchina.gov.cn）、中国政府采购网（www.ccgp.gov.cn）主体信用记录信息进行查询]。</w:t>
      </w:r>
    </w:p>
    <w:p>
      <w:pPr>
        <w:tabs>
          <w:tab w:val="left" w:pos="0"/>
        </w:tabs>
        <w:wordWrap w:val="0"/>
        <w:spacing w:line="360" w:lineRule="auto"/>
        <w:ind w:firstLine="480" w:firstLineChars="200"/>
        <w:jc w:val="lef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3.单位负责人为同一人或者存在直接控股、管理关系的不同供应商，不得参加同一包号</w:t>
      </w:r>
      <w:r>
        <w:rPr>
          <w:rFonts w:hint="eastAsia" w:ascii="仿宋" w:hAnsi="仿宋" w:eastAsia="仿宋" w:cs="仿宋"/>
          <w:color w:val="auto"/>
          <w:sz w:val="24"/>
          <w:highlight w:val="none"/>
          <w:lang w:val="en-US" w:eastAsia="zh-CN"/>
        </w:rPr>
        <w:t>比价</w:t>
      </w:r>
      <w:r>
        <w:rPr>
          <w:rFonts w:hint="eastAsia" w:ascii="仿宋" w:hAnsi="仿宋" w:eastAsia="仿宋" w:cs="仿宋"/>
          <w:color w:val="auto"/>
          <w:sz w:val="24"/>
          <w:highlight w:val="none"/>
          <w:lang w:val="zh-CN"/>
        </w:rPr>
        <w:t>或者未划分包号的同一采购项目。(供应商出具声明函)</w:t>
      </w:r>
    </w:p>
    <w:p>
      <w:pPr>
        <w:tabs>
          <w:tab w:val="left" w:pos="0"/>
        </w:tabs>
        <w:wordWrap w:val="0"/>
        <w:spacing w:line="360" w:lineRule="auto"/>
        <w:ind w:firstLine="480" w:firstLineChars="200"/>
        <w:jc w:val="lef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4.为采购项目提供整体设计、规范编制或者项目管理、监理、检测等服务的供应商，不得再参加该采购项目的其他采购活动。(供应商出具声明函)</w:t>
      </w:r>
    </w:p>
    <w:p>
      <w:pPr>
        <w:tabs>
          <w:tab w:val="left" w:pos="0"/>
        </w:tabs>
        <w:wordWrap w:val="0"/>
        <w:spacing w:line="360" w:lineRule="auto"/>
        <w:ind w:firstLine="480" w:firstLineChars="200"/>
        <w:jc w:val="lef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5.</w:t>
      </w:r>
      <w:r>
        <w:rPr>
          <w:rFonts w:hint="eastAsia" w:ascii="仿宋" w:hAnsi="仿宋" w:eastAsia="仿宋" w:cs="仿宋"/>
          <w:color w:val="auto"/>
          <w:sz w:val="24"/>
          <w:highlight w:val="none"/>
          <w:lang w:val="en-US" w:eastAsia="zh-CN"/>
        </w:rPr>
        <w:t>本</w:t>
      </w:r>
      <w:r>
        <w:rPr>
          <w:rFonts w:hint="eastAsia" w:ascii="仿宋" w:hAnsi="仿宋" w:eastAsia="仿宋" w:cs="仿宋"/>
          <w:color w:val="auto"/>
          <w:sz w:val="24"/>
          <w:highlight w:val="none"/>
          <w:lang w:val="zh-CN"/>
        </w:rPr>
        <w:t>项目均不接受联合体参加投标，不允许响应供应商对各招标项目包进行分包或转包。</w:t>
      </w:r>
    </w:p>
    <w:p>
      <w:pPr>
        <w:pStyle w:val="2"/>
        <w:numPr>
          <w:ilvl w:val="0"/>
          <w:numId w:val="0"/>
        </w:numPr>
        <w:ind w:leftChars="0"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6.本项目不接受联合体参加比价。</w:t>
      </w:r>
    </w:p>
    <w:p>
      <w:pPr>
        <w:pStyle w:val="2"/>
        <w:numPr>
          <w:ilvl w:val="0"/>
          <w:numId w:val="0"/>
        </w:numPr>
        <w:ind w:leftChars="0"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7.本项目整体面向中小企业。</w:t>
      </w:r>
    </w:p>
    <w:p>
      <w:pPr>
        <w:numPr>
          <w:ilvl w:val="0"/>
          <w:numId w:val="0"/>
        </w:numPr>
        <w:spacing w:line="420" w:lineRule="exact"/>
        <w:jc w:val="left"/>
        <w:rPr>
          <w:rFonts w:hint="eastAsia" w:ascii="仿宋" w:hAnsi="仿宋" w:eastAsia="仿宋" w:cs="仿宋"/>
          <w:color w:val="000000"/>
          <w:sz w:val="24"/>
          <w:szCs w:val="24"/>
          <w:lang w:val="en-US" w:eastAsia="zh-CN" w:bidi="ar"/>
        </w:rPr>
      </w:pPr>
      <w:r>
        <w:rPr>
          <w:rFonts w:hint="eastAsia" w:ascii="仿宋" w:hAnsi="仿宋" w:eastAsia="仿宋" w:cs="仿宋"/>
          <w:color w:val="000000"/>
          <w:sz w:val="24"/>
          <w:szCs w:val="24"/>
          <w:lang w:val="en-US" w:eastAsia="zh-CN" w:bidi="ar"/>
        </w:rPr>
        <w:t>三、采购项目技术服务内容及要求：</w:t>
      </w:r>
    </w:p>
    <w:p>
      <w:pPr>
        <w:numPr>
          <w:ilvl w:val="0"/>
          <w:numId w:val="0"/>
        </w:numPr>
        <w:spacing w:line="420" w:lineRule="exact"/>
        <w:ind w:firstLine="241" w:firstLineChars="100"/>
        <w:jc w:val="left"/>
        <w:rPr>
          <w:rFonts w:hint="eastAsia" w:ascii="仿宋" w:hAnsi="仿宋" w:eastAsia="仿宋" w:cs="仿宋"/>
          <w:color w:val="000000"/>
          <w:sz w:val="24"/>
          <w:szCs w:val="24"/>
          <w:lang w:bidi="ar"/>
        </w:rPr>
      </w:pPr>
      <w:r>
        <w:rPr>
          <w:rFonts w:hint="eastAsia" w:ascii="仿宋" w:hAnsi="仿宋" w:eastAsia="仿宋" w:cs="仿宋"/>
          <w:b/>
          <w:sz w:val="24"/>
          <w:szCs w:val="24"/>
          <w:lang w:val="hr-HR"/>
        </w:rPr>
        <w:t>▲</w:t>
      </w:r>
      <w:r>
        <w:rPr>
          <w:rFonts w:hint="eastAsia" w:ascii="仿宋" w:hAnsi="仿宋" w:eastAsia="仿宋" w:cs="仿宋"/>
          <w:sz w:val="24"/>
          <w:szCs w:val="24"/>
        </w:rPr>
        <w:t>1、</w:t>
      </w:r>
      <w:r>
        <w:rPr>
          <w:rFonts w:hint="eastAsia" w:ascii="仿宋" w:hAnsi="仿宋" w:eastAsia="仿宋" w:cs="仿宋"/>
          <w:color w:val="000000"/>
          <w:sz w:val="24"/>
          <w:szCs w:val="24"/>
          <w:lang w:eastAsia="zh-CN" w:bidi="ar"/>
        </w:rPr>
        <w:t>在采购人协助下</w:t>
      </w:r>
      <w:r>
        <w:rPr>
          <w:rFonts w:hint="eastAsia" w:ascii="仿宋" w:hAnsi="仿宋" w:eastAsia="仿宋" w:cs="仿宋"/>
          <w:color w:val="000000"/>
          <w:sz w:val="24"/>
          <w:szCs w:val="24"/>
          <w:lang w:bidi="ar"/>
        </w:rPr>
        <w:t>，每季度开展查清“四害”</w:t>
      </w:r>
      <w:r>
        <w:rPr>
          <w:rFonts w:hint="eastAsia" w:ascii="仿宋" w:hAnsi="仿宋" w:eastAsia="仿宋" w:cs="仿宋"/>
          <w:sz w:val="24"/>
        </w:rPr>
        <w:t>“白蚁”</w:t>
      </w:r>
      <w:r>
        <w:rPr>
          <w:rFonts w:hint="eastAsia" w:ascii="仿宋" w:hAnsi="仿宋" w:eastAsia="仿宋" w:cs="仿宋"/>
          <w:color w:val="000000"/>
          <w:sz w:val="24"/>
          <w:szCs w:val="24"/>
          <w:lang w:bidi="ar"/>
        </w:rPr>
        <w:t>情况，测定密度活动范围的行动，为除“四害”</w:t>
      </w:r>
      <w:r>
        <w:rPr>
          <w:rFonts w:hint="eastAsia" w:ascii="仿宋" w:hAnsi="仿宋" w:eastAsia="仿宋" w:cs="仿宋"/>
          <w:sz w:val="24"/>
        </w:rPr>
        <w:t>“白蚁”</w:t>
      </w:r>
      <w:r>
        <w:rPr>
          <w:rFonts w:hint="eastAsia" w:ascii="仿宋" w:hAnsi="仿宋" w:eastAsia="仿宋" w:cs="仿宋"/>
          <w:color w:val="000000"/>
          <w:sz w:val="24"/>
          <w:szCs w:val="24"/>
          <w:lang w:bidi="ar"/>
        </w:rPr>
        <w:t>提供较为准确的依据，并给出分析报告，内容包含目前医院四害状况及下一步的方案，每季度给出书面的工作情况报告；</w:t>
      </w:r>
    </w:p>
    <w:p>
      <w:pPr>
        <w:numPr>
          <w:ilvl w:val="0"/>
          <w:numId w:val="0"/>
        </w:numPr>
        <w:spacing w:line="420" w:lineRule="exact"/>
        <w:ind w:firstLine="480" w:firstLineChars="200"/>
        <w:jc w:val="left"/>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2、为确保达到预期消杀效果，投标人必须确保至少投入以下数量的消杀设备</w:t>
      </w:r>
      <w:r>
        <w:rPr>
          <w:rFonts w:hint="eastAsia" w:ascii="仿宋" w:hAnsi="仿宋" w:eastAsia="仿宋" w:cs="仿宋"/>
          <w:color w:val="000000"/>
          <w:sz w:val="24"/>
          <w:szCs w:val="24"/>
          <w:lang w:eastAsia="zh-CN" w:bidi="ar"/>
        </w:rPr>
        <w:t>（</w:t>
      </w:r>
      <w:r>
        <w:rPr>
          <w:rFonts w:hint="eastAsia" w:ascii="仿宋" w:hAnsi="仿宋" w:eastAsia="仿宋" w:cs="仿宋"/>
          <w:color w:val="auto"/>
          <w:sz w:val="24"/>
          <w:szCs w:val="24"/>
          <w:highlight w:val="none"/>
          <w:lang w:bidi="ar"/>
        </w:rPr>
        <w:t>所有设备必须</w:t>
      </w:r>
      <w:r>
        <w:rPr>
          <w:rFonts w:hint="eastAsia" w:ascii="仿宋" w:hAnsi="仿宋" w:eastAsia="仿宋" w:cs="仿宋"/>
          <w:b/>
          <w:bCs/>
          <w:color w:val="auto"/>
          <w:sz w:val="24"/>
          <w:szCs w:val="24"/>
          <w:highlight w:val="none"/>
          <w:lang w:bidi="ar"/>
        </w:rPr>
        <w:t>提供照片（用水印相机拍照，含时间地点），有条件的附发票，相关合同等证明材料</w:t>
      </w:r>
      <w:r>
        <w:rPr>
          <w:rFonts w:hint="eastAsia" w:ascii="仿宋" w:hAnsi="仿宋" w:eastAsia="仿宋" w:cs="仿宋"/>
          <w:b/>
          <w:bCs/>
          <w:color w:val="auto"/>
          <w:sz w:val="24"/>
          <w:szCs w:val="24"/>
          <w:highlight w:val="none"/>
          <w:lang w:eastAsia="zh-CN" w:bidi="ar"/>
        </w:rPr>
        <w:t>）</w:t>
      </w:r>
      <w:r>
        <w:rPr>
          <w:rFonts w:hint="eastAsia" w:ascii="仿宋" w:hAnsi="仿宋" w:eastAsia="仿宋" w:cs="仿宋"/>
          <w:color w:val="000000"/>
          <w:sz w:val="24"/>
          <w:szCs w:val="24"/>
          <w:lang w:bidi="ar"/>
        </w:rPr>
        <w:t>：</w:t>
      </w:r>
    </w:p>
    <w:p>
      <w:pPr>
        <w:numPr>
          <w:ilvl w:val="0"/>
          <w:numId w:val="0"/>
        </w:numPr>
        <w:spacing w:line="420" w:lineRule="exact"/>
        <w:ind w:firstLine="480" w:firstLineChars="200"/>
        <w:jc w:val="left"/>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（1）背负式喷雾机（器）3台；</w:t>
      </w:r>
    </w:p>
    <w:p>
      <w:pPr>
        <w:numPr>
          <w:ilvl w:val="0"/>
          <w:numId w:val="0"/>
        </w:numPr>
        <w:spacing w:line="420" w:lineRule="exact"/>
        <w:ind w:firstLine="480" w:firstLineChars="200"/>
        <w:jc w:val="left"/>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（2）热烟雾机2台；</w:t>
      </w:r>
    </w:p>
    <w:p>
      <w:pPr>
        <w:numPr>
          <w:ilvl w:val="0"/>
          <w:numId w:val="0"/>
        </w:numPr>
        <w:spacing w:line="420" w:lineRule="exact"/>
        <w:ind w:firstLine="480" w:firstLineChars="200"/>
        <w:jc w:val="left"/>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（3）手推式喷雾机1台；</w:t>
      </w:r>
    </w:p>
    <w:p>
      <w:pPr>
        <w:numPr>
          <w:ilvl w:val="0"/>
          <w:numId w:val="0"/>
        </w:numPr>
        <w:spacing w:line="420" w:lineRule="exact"/>
        <w:ind w:firstLine="480" w:firstLineChars="200"/>
        <w:jc w:val="left"/>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（4）超低容量喷雾机2台；</w:t>
      </w:r>
    </w:p>
    <w:p>
      <w:pPr>
        <w:numPr>
          <w:ilvl w:val="0"/>
          <w:numId w:val="0"/>
        </w:numPr>
        <w:spacing w:line="420" w:lineRule="exact"/>
        <w:ind w:firstLine="480" w:firstLineChars="200"/>
        <w:jc w:val="left"/>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（5）手动/电动喷粉枪3支；</w:t>
      </w:r>
    </w:p>
    <w:p>
      <w:pPr>
        <w:numPr>
          <w:ilvl w:val="0"/>
          <w:numId w:val="0"/>
        </w:numPr>
        <w:spacing w:line="420" w:lineRule="exact"/>
        <w:ind w:firstLine="240" w:firstLineChars="100"/>
        <w:jc w:val="left"/>
        <w:rPr>
          <w:rFonts w:hint="eastAsia" w:ascii="仿宋" w:hAnsi="仿宋" w:eastAsia="仿宋" w:cs="仿宋"/>
          <w:color w:val="000000"/>
          <w:sz w:val="24"/>
          <w:szCs w:val="24"/>
          <w:lang w:eastAsia="zh-CN" w:bidi="ar"/>
        </w:rPr>
      </w:pPr>
      <w:r>
        <w:rPr>
          <w:rFonts w:hint="eastAsia" w:ascii="仿宋" w:hAnsi="仿宋" w:eastAsia="仿宋" w:cs="仿宋"/>
          <w:color w:val="000000"/>
          <w:sz w:val="24"/>
          <w:szCs w:val="24"/>
          <w:lang w:bidi="ar"/>
        </w:rPr>
        <w:t>★3、</w:t>
      </w:r>
      <w:r>
        <w:rPr>
          <w:rFonts w:hint="eastAsia" w:ascii="仿宋" w:hAnsi="仿宋" w:eastAsia="仿宋" w:cs="仿宋"/>
          <w:color w:val="000000"/>
          <w:sz w:val="24"/>
          <w:szCs w:val="24"/>
          <w:lang w:eastAsia="zh-CN" w:bidi="ar"/>
        </w:rPr>
        <w:t>成交供应商</w:t>
      </w:r>
      <w:r>
        <w:rPr>
          <w:rFonts w:hint="eastAsia" w:ascii="仿宋" w:hAnsi="仿宋" w:eastAsia="仿宋" w:cs="仿宋"/>
          <w:color w:val="000000"/>
          <w:sz w:val="24"/>
          <w:szCs w:val="24"/>
          <w:lang w:bidi="ar"/>
        </w:rPr>
        <w:t>应确保在人、畜安全的情况下开展相关工作。在开展相关工作活动时不准使用国家禁用的药物，应以长效药物为主，且必须符合国家和省及市相关规定与标准</w:t>
      </w:r>
      <w:r>
        <w:rPr>
          <w:rFonts w:hint="eastAsia" w:ascii="仿宋" w:hAnsi="仿宋" w:eastAsia="仿宋" w:cs="仿宋"/>
          <w:color w:val="000000"/>
          <w:sz w:val="24"/>
          <w:szCs w:val="24"/>
          <w:lang w:eastAsia="zh-CN" w:bidi="ar"/>
        </w:rPr>
        <w:t>。</w:t>
      </w:r>
    </w:p>
    <w:p>
      <w:pPr>
        <w:numPr>
          <w:ilvl w:val="0"/>
          <w:numId w:val="0"/>
        </w:numPr>
        <w:spacing w:line="420" w:lineRule="exact"/>
        <w:ind w:firstLine="480" w:firstLineChars="200"/>
        <w:jc w:val="left"/>
        <w:rPr>
          <w:rFonts w:hint="eastAsia" w:ascii="仿宋" w:hAnsi="仿宋" w:eastAsia="仿宋" w:cs="仿宋"/>
          <w:color w:val="000000"/>
          <w:sz w:val="24"/>
          <w:szCs w:val="24"/>
          <w:lang w:bidi="ar"/>
        </w:rPr>
      </w:pPr>
      <w:r>
        <w:rPr>
          <w:rFonts w:hint="eastAsia" w:ascii="仿宋" w:hAnsi="仿宋" w:eastAsia="仿宋" w:cs="仿宋"/>
          <w:color w:val="000000"/>
          <w:sz w:val="24"/>
          <w:szCs w:val="24"/>
          <w:lang w:val="hr-HR" w:bidi="ar"/>
        </w:rPr>
        <w:t>▲</w:t>
      </w:r>
      <w:r>
        <w:rPr>
          <w:rFonts w:hint="eastAsia" w:ascii="仿宋" w:hAnsi="仿宋" w:eastAsia="仿宋" w:cs="仿宋"/>
          <w:color w:val="000000"/>
          <w:sz w:val="24"/>
          <w:szCs w:val="24"/>
          <w:lang w:bidi="ar"/>
        </w:rPr>
        <w:t>灭鼠：每年4月至10月老鼠繁殖的高峰期，每月全院大范围投药次数不少于3次，其余月份全院大范围投药次数不少于2次，老鼠频繁出没的重点科室</w:t>
      </w:r>
      <w:r>
        <w:rPr>
          <w:rFonts w:hint="eastAsia" w:ascii="仿宋" w:hAnsi="仿宋" w:eastAsia="仿宋" w:cs="仿宋"/>
          <w:color w:val="000000"/>
          <w:sz w:val="24"/>
          <w:szCs w:val="24"/>
          <w:lang w:eastAsia="zh-CN" w:bidi="ar"/>
        </w:rPr>
        <w:t>、区域</w:t>
      </w:r>
      <w:r>
        <w:rPr>
          <w:rFonts w:hint="eastAsia" w:ascii="仿宋" w:hAnsi="仿宋" w:eastAsia="仿宋" w:cs="仿宋"/>
          <w:color w:val="000000"/>
          <w:sz w:val="24"/>
          <w:szCs w:val="24"/>
          <w:lang w:bidi="ar"/>
        </w:rPr>
        <w:t>必须加强采取物理有效灭鼠方法（采用老鼠贴等）。</w:t>
      </w:r>
    </w:p>
    <w:p>
      <w:pPr>
        <w:numPr>
          <w:ilvl w:val="0"/>
          <w:numId w:val="0"/>
        </w:numPr>
        <w:spacing w:line="420" w:lineRule="exact"/>
        <w:ind w:firstLine="480" w:firstLineChars="200"/>
        <w:jc w:val="left"/>
        <w:rPr>
          <w:rFonts w:hint="eastAsia" w:ascii="仿宋" w:hAnsi="仿宋" w:eastAsia="仿宋" w:cs="仿宋"/>
          <w:color w:val="000000"/>
          <w:sz w:val="24"/>
          <w:szCs w:val="24"/>
          <w:lang w:bidi="ar"/>
        </w:rPr>
      </w:pPr>
      <w:r>
        <w:rPr>
          <w:rFonts w:hint="eastAsia" w:ascii="仿宋" w:hAnsi="仿宋" w:eastAsia="仿宋" w:cs="仿宋"/>
          <w:color w:val="000000"/>
          <w:sz w:val="24"/>
          <w:szCs w:val="24"/>
          <w:lang w:val="hr-HR" w:bidi="ar"/>
        </w:rPr>
        <w:t>▲</w:t>
      </w:r>
      <w:r>
        <w:rPr>
          <w:rFonts w:hint="eastAsia" w:ascii="仿宋" w:hAnsi="仿宋" w:eastAsia="仿宋" w:cs="仿宋"/>
          <w:color w:val="000000"/>
          <w:sz w:val="24"/>
          <w:szCs w:val="24"/>
          <w:lang w:bidi="ar"/>
        </w:rPr>
        <w:t>灭蚊：根据季节特性高峰期主要出现在4月至10月，每月全院大范围消杀次数不少于3次，其余月份全院大范围消杀次数不少于2次。</w:t>
      </w:r>
    </w:p>
    <w:p>
      <w:pPr>
        <w:numPr>
          <w:ilvl w:val="0"/>
          <w:numId w:val="0"/>
        </w:numPr>
        <w:spacing w:line="420" w:lineRule="exact"/>
        <w:ind w:firstLine="480" w:firstLineChars="200"/>
        <w:jc w:val="left"/>
        <w:rPr>
          <w:rFonts w:hint="eastAsia" w:ascii="仿宋" w:hAnsi="仿宋" w:eastAsia="仿宋" w:cs="仿宋"/>
          <w:color w:val="000000"/>
          <w:sz w:val="24"/>
          <w:szCs w:val="24"/>
          <w:lang w:bidi="ar"/>
        </w:rPr>
      </w:pPr>
      <w:r>
        <w:rPr>
          <w:rFonts w:hint="eastAsia" w:ascii="仿宋" w:hAnsi="仿宋" w:eastAsia="仿宋" w:cs="仿宋"/>
          <w:color w:val="000000"/>
          <w:sz w:val="24"/>
          <w:szCs w:val="24"/>
          <w:lang w:val="hr-HR" w:bidi="ar"/>
        </w:rPr>
        <w:t>▲</w:t>
      </w:r>
      <w:r>
        <w:rPr>
          <w:rFonts w:hint="eastAsia" w:ascii="仿宋" w:hAnsi="仿宋" w:eastAsia="仿宋" w:cs="仿宋"/>
          <w:color w:val="000000"/>
          <w:sz w:val="24"/>
          <w:szCs w:val="24"/>
          <w:lang w:bidi="ar"/>
        </w:rPr>
        <w:t>灭蟑、灭蝇：化粪池，下水道 ，垃圾转运点等每月进行烟雾消杀灭蟑、灭蝇等。协助清理下水道的多处积水。每月全院大范围消杀次数不少于1次。</w:t>
      </w:r>
    </w:p>
    <w:p>
      <w:pPr>
        <w:spacing w:line="360" w:lineRule="auto"/>
        <w:ind w:firstLine="241" w:firstLineChars="100"/>
        <w:rPr>
          <w:rFonts w:hint="eastAsia" w:ascii="仿宋" w:hAnsi="仿宋" w:eastAsia="仿宋" w:cs="宋体"/>
          <w:kern w:val="0"/>
          <w:sz w:val="24"/>
        </w:rPr>
      </w:pPr>
      <w:r>
        <w:rPr>
          <w:rFonts w:hint="eastAsia" w:ascii="仿宋" w:hAnsi="仿宋" w:eastAsia="仿宋" w:cs="仿宋"/>
          <w:b/>
          <w:sz w:val="24"/>
          <w:lang w:val="hr-HR"/>
        </w:rPr>
        <w:t>▲</w:t>
      </w:r>
      <w:r>
        <w:rPr>
          <w:rFonts w:hint="eastAsia" w:ascii="仿宋" w:hAnsi="仿宋" w:eastAsia="仿宋" w:cs="宋体"/>
          <w:kern w:val="0"/>
          <w:sz w:val="24"/>
        </w:rPr>
        <w:t>白蚁防治：每年4月至7月白蚁繁殖高峰期，针对不同场所的活体白蚁采用喷施隐性药粉、诱杀、熏杀、等方式进行白蚁灭治，每月不少于2次。每季度定期一次全面检查工作，使用全方位白蚁探测仪进行探查，全面查清白蚁危害隐患以进行针对性的处理，根据排查的情况做好登记，采取不同的灭治措施，最终达到防治目的。</w:t>
      </w:r>
    </w:p>
    <w:p>
      <w:pPr>
        <w:numPr>
          <w:ilvl w:val="0"/>
          <w:numId w:val="0"/>
        </w:numPr>
        <w:spacing w:line="420" w:lineRule="exact"/>
        <w:ind w:firstLine="480" w:firstLineChars="200"/>
        <w:jc w:val="left"/>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此外，</w:t>
      </w:r>
      <w:r>
        <w:rPr>
          <w:rFonts w:hint="eastAsia" w:ascii="仿宋" w:hAnsi="仿宋" w:eastAsia="仿宋" w:cs="仿宋"/>
          <w:color w:val="000000"/>
          <w:sz w:val="24"/>
          <w:szCs w:val="24"/>
          <w:lang w:eastAsia="zh-CN" w:bidi="ar"/>
        </w:rPr>
        <w:t>成交供应商</w:t>
      </w:r>
      <w:r>
        <w:rPr>
          <w:rFonts w:hint="eastAsia" w:ascii="仿宋" w:hAnsi="仿宋" w:eastAsia="仿宋" w:cs="仿宋"/>
          <w:color w:val="000000"/>
          <w:sz w:val="24"/>
          <w:szCs w:val="24"/>
          <w:lang w:bidi="ar"/>
        </w:rPr>
        <w:t>必须无条件配合院方开展专项查杀（包括：科室提出要求的、传染病易发或高发期等）。</w:t>
      </w:r>
    </w:p>
    <w:p>
      <w:pPr>
        <w:numPr>
          <w:ilvl w:val="0"/>
          <w:numId w:val="0"/>
        </w:numPr>
        <w:spacing w:line="420" w:lineRule="exact"/>
        <w:ind w:firstLine="480" w:firstLineChars="200"/>
        <w:jc w:val="left"/>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用药标准：</w:t>
      </w:r>
      <w:r>
        <w:rPr>
          <w:rFonts w:hint="eastAsia" w:ascii="仿宋" w:hAnsi="仿宋" w:eastAsia="仿宋" w:cs="仿宋"/>
          <w:color w:val="000000"/>
          <w:sz w:val="24"/>
          <w:szCs w:val="24"/>
          <w:lang w:eastAsia="zh-CN" w:bidi="ar"/>
        </w:rPr>
        <w:t>成交供应商</w:t>
      </w:r>
      <w:r>
        <w:rPr>
          <w:rFonts w:hint="eastAsia" w:ascii="仿宋" w:hAnsi="仿宋" w:eastAsia="仿宋" w:cs="仿宋"/>
          <w:color w:val="000000"/>
          <w:sz w:val="24"/>
          <w:szCs w:val="24"/>
          <w:lang w:bidi="ar"/>
        </w:rPr>
        <w:t>必须注重科学合理用药，不能使用假药、国家禁用的药物。</w:t>
      </w:r>
    </w:p>
    <w:p>
      <w:pPr>
        <w:numPr>
          <w:ilvl w:val="0"/>
          <w:numId w:val="0"/>
        </w:numPr>
        <w:spacing w:line="420" w:lineRule="exact"/>
        <w:ind w:firstLine="480" w:firstLineChars="200"/>
        <w:jc w:val="left"/>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以上所投产品的有效成分、含量、剂型不能低于国家/省/市规定的标准要求，必须具有农药“三证”（即农药登记证、农药生产许可证、农药产品标准证。须提供三证扫描件或复印件）。</w:t>
      </w:r>
    </w:p>
    <w:p>
      <w:pPr>
        <w:numPr>
          <w:ilvl w:val="0"/>
          <w:numId w:val="0"/>
        </w:numPr>
        <w:spacing w:line="420" w:lineRule="exact"/>
        <w:ind w:firstLine="480" w:firstLineChars="200"/>
        <w:jc w:val="left"/>
        <w:rPr>
          <w:rFonts w:hint="eastAsia" w:ascii="仿宋" w:hAnsi="仿宋" w:eastAsia="仿宋" w:cs="仿宋"/>
          <w:color w:val="000000"/>
          <w:sz w:val="24"/>
          <w:szCs w:val="24"/>
          <w:lang w:val="hr-HR" w:bidi="ar"/>
        </w:rPr>
      </w:pPr>
      <w:r>
        <w:rPr>
          <w:rFonts w:hint="eastAsia" w:ascii="仿宋" w:hAnsi="仿宋" w:eastAsia="仿宋" w:cs="仿宋"/>
          <w:color w:val="000000"/>
          <w:sz w:val="24"/>
          <w:szCs w:val="24"/>
          <w:lang w:bidi="ar"/>
        </w:rPr>
        <w:t>4、</w:t>
      </w:r>
      <w:r>
        <w:rPr>
          <w:rFonts w:hint="eastAsia" w:ascii="仿宋" w:hAnsi="仿宋" w:eastAsia="仿宋" w:cs="仿宋"/>
          <w:color w:val="000000"/>
          <w:sz w:val="24"/>
          <w:szCs w:val="24"/>
          <w:lang w:val="hr-HR" w:eastAsia="zh-CN" w:bidi="ar"/>
        </w:rPr>
        <w:t>成交供应商</w:t>
      </w:r>
      <w:r>
        <w:rPr>
          <w:rFonts w:hint="eastAsia" w:ascii="仿宋" w:hAnsi="仿宋" w:eastAsia="仿宋" w:cs="仿宋"/>
          <w:color w:val="000000"/>
          <w:sz w:val="24"/>
          <w:szCs w:val="24"/>
          <w:lang w:val="hr-HR" w:bidi="ar"/>
        </w:rPr>
        <w:t>应文明施工，统一着装，佩带工作证，并维护现场的安全。服务过程中必须严格采取得当的安全防护措施，确保人身安全，如在服务过程中防护不当而发生事故、造成工作人员伤害及其他人员伤害，</w:t>
      </w:r>
      <w:r>
        <w:rPr>
          <w:rFonts w:hint="eastAsia" w:ascii="仿宋" w:hAnsi="仿宋" w:eastAsia="仿宋" w:cs="仿宋"/>
          <w:color w:val="000000"/>
          <w:sz w:val="24"/>
          <w:szCs w:val="24"/>
          <w:lang w:val="hr-HR" w:eastAsia="zh-CN" w:bidi="ar"/>
        </w:rPr>
        <w:t>成交供应商</w:t>
      </w:r>
      <w:r>
        <w:rPr>
          <w:rFonts w:hint="eastAsia" w:ascii="仿宋" w:hAnsi="仿宋" w:eastAsia="仿宋" w:cs="仿宋"/>
          <w:color w:val="000000"/>
          <w:sz w:val="24"/>
          <w:szCs w:val="24"/>
          <w:lang w:val="hr-HR" w:bidi="ar"/>
        </w:rPr>
        <w:t>须承担全部责任，采购人不负任何责任。</w:t>
      </w:r>
    </w:p>
    <w:p>
      <w:pPr>
        <w:numPr>
          <w:ilvl w:val="0"/>
          <w:numId w:val="0"/>
        </w:numPr>
        <w:spacing w:line="420" w:lineRule="exact"/>
        <w:ind w:firstLine="480" w:firstLineChars="200"/>
        <w:jc w:val="left"/>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5、</w:t>
      </w:r>
      <w:r>
        <w:rPr>
          <w:rFonts w:hint="eastAsia" w:ascii="仿宋" w:hAnsi="仿宋" w:eastAsia="仿宋" w:cs="仿宋"/>
          <w:color w:val="000000"/>
          <w:sz w:val="24"/>
          <w:szCs w:val="24"/>
          <w:lang w:val="hr-HR" w:eastAsia="zh-CN" w:bidi="ar"/>
        </w:rPr>
        <w:t>成交供应商</w:t>
      </w:r>
      <w:r>
        <w:rPr>
          <w:rFonts w:hint="eastAsia" w:ascii="仿宋" w:hAnsi="仿宋" w:eastAsia="仿宋" w:cs="仿宋"/>
          <w:color w:val="000000"/>
          <w:sz w:val="24"/>
          <w:szCs w:val="24"/>
          <w:lang w:bidi="ar"/>
        </w:rPr>
        <w:t>负责对科室人员提供防“四害” 科普知识。</w:t>
      </w:r>
    </w:p>
    <w:p>
      <w:pPr>
        <w:numPr>
          <w:ilvl w:val="0"/>
          <w:numId w:val="0"/>
        </w:numPr>
        <w:spacing w:line="420" w:lineRule="exact"/>
        <w:ind w:firstLine="480" w:firstLineChars="200"/>
        <w:jc w:val="left"/>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6</w:t>
      </w:r>
      <w:r>
        <w:rPr>
          <w:rFonts w:hint="eastAsia" w:ascii="仿宋" w:hAnsi="仿宋" w:eastAsia="仿宋" w:cs="仿宋"/>
          <w:color w:val="000000"/>
          <w:sz w:val="24"/>
          <w:szCs w:val="24"/>
          <w:lang w:val="hr-HR" w:bidi="ar"/>
        </w:rPr>
        <w:t>、</w:t>
      </w:r>
      <w:r>
        <w:rPr>
          <w:rFonts w:hint="eastAsia" w:ascii="仿宋" w:hAnsi="仿宋" w:eastAsia="仿宋" w:cs="仿宋"/>
          <w:color w:val="000000"/>
          <w:sz w:val="24"/>
          <w:szCs w:val="24"/>
          <w:lang w:val="hr-HR" w:eastAsia="zh-CN" w:bidi="ar"/>
        </w:rPr>
        <w:t>成交供应商</w:t>
      </w:r>
      <w:r>
        <w:rPr>
          <w:rFonts w:hint="eastAsia" w:ascii="仿宋" w:hAnsi="仿宋" w:eastAsia="仿宋" w:cs="仿宋"/>
          <w:color w:val="000000"/>
          <w:sz w:val="24"/>
          <w:szCs w:val="24"/>
          <w:lang w:val="hr-HR" w:bidi="ar"/>
        </w:rPr>
        <w:t>服务人员每次消杀服务完成后，需采购人部门负责人当场确认签字为准。</w:t>
      </w:r>
    </w:p>
    <w:p>
      <w:pPr>
        <w:numPr>
          <w:ilvl w:val="0"/>
          <w:numId w:val="0"/>
        </w:numPr>
        <w:spacing w:line="420" w:lineRule="exact"/>
        <w:ind w:firstLine="240" w:firstLineChars="100"/>
        <w:jc w:val="left"/>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★7、病媒生物密度必须符合广东省省病媒生物预防控制标准。</w:t>
      </w:r>
    </w:p>
    <w:p>
      <w:pPr>
        <w:numPr>
          <w:ilvl w:val="0"/>
          <w:numId w:val="0"/>
        </w:numPr>
        <w:spacing w:line="420" w:lineRule="exact"/>
        <w:ind w:firstLine="480" w:firstLineChars="200"/>
        <w:jc w:val="left"/>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8、协助</w:t>
      </w:r>
      <w:r>
        <w:rPr>
          <w:rFonts w:hint="eastAsia" w:ascii="仿宋" w:hAnsi="仿宋" w:eastAsia="仿宋" w:cs="仿宋"/>
          <w:color w:val="000000"/>
          <w:sz w:val="24"/>
          <w:szCs w:val="24"/>
          <w:lang w:eastAsia="zh-CN" w:bidi="ar"/>
        </w:rPr>
        <w:t>采购人</w:t>
      </w:r>
      <w:r>
        <w:rPr>
          <w:rFonts w:hint="eastAsia" w:ascii="仿宋" w:hAnsi="仿宋" w:eastAsia="仿宋" w:cs="仿宋"/>
          <w:color w:val="000000"/>
          <w:sz w:val="24"/>
          <w:szCs w:val="24"/>
          <w:lang w:bidi="ar"/>
        </w:rPr>
        <w:t>做好迎接病媒生物防治工作，确保达标。</w:t>
      </w:r>
    </w:p>
    <w:p>
      <w:pPr>
        <w:numPr>
          <w:ilvl w:val="0"/>
          <w:numId w:val="0"/>
        </w:numPr>
        <w:spacing w:line="420" w:lineRule="exact"/>
        <w:ind w:firstLine="480" w:firstLineChars="200"/>
        <w:jc w:val="left"/>
        <w:rPr>
          <w:rFonts w:hint="eastAsia" w:ascii="仿宋" w:hAnsi="仿宋" w:eastAsia="仿宋" w:cs="仿宋"/>
          <w:color w:val="000000"/>
          <w:sz w:val="24"/>
          <w:szCs w:val="24"/>
          <w:lang w:val="hr-HR" w:eastAsia="zh-CN" w:bidi="ar"/>
        </w:rPr>
      </w:pPr>
      <w:r>
        <w:rPr>
          <w:rFonts w:hint="eastAsia" w:ascii="仿宋" w:hAnsi="仿宋" w:eastAsia="仿宋" w:cs="仿宋"/>
          <w:color w:val="000000"/>
          <w:sz w:val="24"/>
          <w:szCs w:val="24"/>
          <w:lang w:bidi="ar"/>
        </w:rPr>
        <w:t>9、</w:t>
      </w:r>
      <w:r>
        <w:rPr>
          <w:rFonts w:hint="eastAsia" w:ascii="仿宋" w:hAnsi="仿宋" w:eastAsia="仿宋" w:cs="仿宋"/>
          <w:color w:val="000000"/>
          <w:sz w:val="24"/>
          <w:szCs w:val="24"/>
          <w:lang w:val="hr-HR" w:eastAsia="zh-CN" w:bidi="ar"/>
        </w:rPr>
        <w:t>成交供应商</w:t>
      </w:r>
      <w:r>
        <w:rPr>
          <w:rFonts w:hint="eastAsia" w:ascii="仿宋" w:hAnsi="仿宋" w:eastAsia="仿宋" w:cs="仿宋"/>
          <w:color w:val="000000"/>
          <w:sz w:val="24"/>
          <w:szCs w:val="24"/>
          <w:lang w:val="hr-HR" w:bidi="ar"/>
        </w:rPr>
        <w:t>所有服务人员必须配合采购人做好安全管理工作，严格遵守</w:t>
      </w:r>
      <w:r>
        <w:rPr>
          <w:rFonts w:hint="eastAsia" w:ascii="仿宋" w:hAnsi="仿宋" w:eastAsia="仿宋" w:cs="仿宋"/>
          <w:color w:val="000000"/>
          <w:sz w:val="24"/>
          <w:szCs w:val="24"/>
          <w:lang w:val="en-US" w:eastAsia="zh-CN" w:bidi="ar"/>
        </w:rPr>
        <w:t>医院的</w:t>
      </w:r>
      <w:r>
        <w:rPr>
          <w:rFonts w:hint="eastAsia" w:ascii="仿宋" w:hAnsi="仿宋" w:eastAsia="仿宋" w:cs="仿宋"/>
          <w:color w:val="000000"/>
          <w:sz w:val="24"/>
          <w:szCs w:val="24"/>
          <w:lang w:val="hr-HR" w:bidi="ar"/>
        </w:rPr>
        <w:t>相关管理制度。定期做好人员安全培训工作，不得在院内吸烟、车辆乱停放等违反采购人安全管理的行为，一经发现采购人有权对违规行为进行扣罚，造成安全事故需赔偿损失并交执法部门处理</w:t>
      </w:r>
      <w:r>
        <w:rPr>
          <w:rFonts w:hint="eastAsia" w:ascii="仿宋" w:hAnsi="仿宋" w:eastAsia="仿宋" w:cs="仿宋"/>
          <w:color w:val="000000"/>
          <w:sz w:val="24"/>
          <w:szCs w:val="24"/>
          <w:lang w:val="hr-HR" w:eastAsia="zh-CN" w:bidi="ar"/>
        </w:rPr>
        <w:t>。</w:t>
      </w:r>
    </w:p>
    <w:p>
      <w:pPr>
        <w:numPr>
          <w:ilvl w:val="0"/>
          <w:numId w:val="0"/>
        </w:numPr>
        <w:spacing w:line="420" w:lineRule="exact"/>
        <w:ind w:firstLine="240" w:firstLineChars="100"/>
        <w:jc w:val="left"/>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★10、科室反映“四害”疫情突发情况的紧急处理要求：1小时内响应，2小时内到达现场，4小时内解除疫情。</w:t>
      </w:r>
    </w:p>
    <w:p>
      <w:pPr>
        <w:numPr>
          <w:ilvl w:val="0"/>
          <w:numId w:val="0"/>
        </w:numPr>
        <w:spacing w:line="420" w:lineRule="exact"/>
        <w:ind w:firstLine="240" w:firstLineChars="100"/>
        <w:jc w:val="left"/>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★11、</w:t>
      </w:r>
      <w:r>
        <w:rPr>
          <w:rFonts w:hint="eastAsia" w:ascii="仿宋" w:hAnsi="仿宋" w:eastAsia="仿宋" w:cs="仿宋"/>
          <w:color w:val="000000"/>
          <w:sz w:val="24"/>
          <w:szCs w:val="24"/>
          <w:lang w:val="hr-HR" w:eastAsia="zh-CN" w:bidi="ar"/>
        </w:rPr>
        <w:t>成交供应商</w:t>
      </w:r>
      <w:r>
        <w:rPr>
          <w:rFonts w:hint="eastAsia" w:ascii="仿宋" w:hAnsi="仿宋" w:eastAsia="仿宋" w:cs="仿宋"/>
          <w:color w:val="000000"/>
          <w:sz w:val="24"/>
          <w:szCs w:val="24"/>
          <w:lang w:bidi="ar"/>
        </w:rPr>
        <w:t>工作人员在开展除“四害”有偿服务时应严格履约服务，不得以任何方式和理由向院方索取财物或增加合同金额。</w:t>
      </w:r>
    </w:p>
    <w:p>
      <w:pPr>
        <w:numPr>
          <w:ilvl w:val="0"/>
          <w:numId w:val="0"/>
        </w:numPr>
        <w:spacing w:line="420" w:lineRule="exact"/>
        <w:ind w:firstLine="240" w:firstLineChars="100"/>
        <w:jc w:val="left"/>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★12、绝不容许有弄虚作假行为。如有，一经发现</w:t>
      </w:r>
      <w:r>
        <w:rPr>
          <w:rFonts w:hint="eastAsia" w:ascii="仿宋" w:hAnsi="仿宋" w:eastAsia="仿宋" w:cs="仿宋"/>
          <w:color w:val="000000"/>
          <w:sz w:val="24"/>
          <w:szCs w:val="24"/>
          <w:lang w:eastAsia="zh-CN" w:bidi="ar"/>
        </w:rPr>
        <w:t>采购人</w:t>
      </w:r>
      <w:r>
        <w:rPr>
          <w:rFonts w:hint="eastAsia" w:ascii="仿宋" w:hAnsi="仿宋" w:eastAsia="仿宋" w:cs="仿宋"/>
          <w:color w:val="000000"/>
          <w:sz w:val="24"/>
          <w:szCs w:val="24"/>
          <w:lang w:bidi="ar"/>
        </w:rPr>
        <w:t>有权终止合同并拒付余款。</w:t>
      </w:r>
    </w:p>
    <w:p>
      <w:pPr>
        <w:numPr>
          <w:ilvl w:val="0"/>
          <w:numId w:val="0"/>
        </w:numPr>
        <w:spacing w:line="360" w:lineRule="auto"/>
        <w:ind w:firstLine="480" w:firstLineChars="200"/>
        <w:jc w:val="both"/>
        <w:rPr>
          <w:rFonts w:hint="eastAsia" w:ascii="仿宋" w:hAnsi="仿宋" w:eastAsia="仿宋" w:cs="仿宋"/>
          <w:b/>
          <w:bCs/>
          <w:sz w:val="24"/>
          <w:szCs w:val="24"/>
          <w:highlight w:val="none"/>
        </w:rPr>
      </w:pPr>
      <w:r>
        <w:rPr>
          <w:rFonts w:hint="eastAsia" w:ascii="仿宋" w:hAnsi="仿宋" w:eastAsia="仿宋" w:cs="仿宋"/>
          <w:color w:val="000000"/>
          <w:sz w:val="24"/>
          <w:szCs w:val="24"/>
          <w:lang w:eastAsia="zh-CN" w:bidi="ar"/>
        </w:rPr>
        <w:t>四、有害生物控制实施计划表（供应商务必认真填写计划表</w:t>
      </w:r>
      <w:r>
        <w:rPr>
          <w:rFonts w:hint="eastAsia" w:ascii="仿宋" w:hAnsi="仿宋" w:eastAsia="仿宋" w:cs="仿宋"/>
          <w:color w:val="auto"/>
          <w:sz w:val="24"/>
          <w:szCs w:val="24"/>
          <w:highlight w:val="none"/>
          <w:lang w:val="en-US" w:eastAsia="zh-CN"/>
        </w:rPr>
        <w:t>，如因供应商原因未能达到服务标准，需增加消杀频次</w:t>
      </w:r>
      <w:r>
        <w:rPr>
          <w:rFonts w:hint="eastAsia" w:ascii="仿宋" w:hAnsi="仿宋" w:eastAsia="仿宋" w:cs="仿宋"/>
          <w:b/>
          <w:bCs/>
          <w:color w:val="auto"/>
          <w:sz w:val="24"/>
          <w:szCs w:val="24"/>
          <w:highlight w:val="none"/>
          <w:lang w:eastAsia="zh-CN"/>
        </w:rPr>
        <w:t>）</w:t>
      </w:r>
    </w:p>
    <w:tbl>
      <w:tblPr>
        <w:tblStyle w:val="9"/>
        <w:tblW w:w="10230" w:type="dxa"/>
        <w:tblInd w:w="-9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115"/>
        <w:gridCol w:w="1590"/>
        <w:gridCol w:w="1380"/>
        <w:gridCol w:w="1005"/>
        <w:gridCol w:w="795"/>
        <w:gridCol w:w="840"/>
        <w:gridCol w:w="983"/>
        <w:gridCol w:w="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widowControl/>
              <w:jc w:val="center"/>
              <w:rPr>
                <w:rFonts w:hint="eastAsia" w:ascii="仿宋" w:hAnsi="仿宋" w:eastAsia="仿宋" w:cs="仿宋"/>
                <w:b/>
                <w:sz w:val="24"/>
                <w:vertAlign w:val="baseline"/>
                <w:lang w:eastAsia="zh-CN"/>
              </w:rPr>
            </w:pPr>
            <w:r>
              <w:rPr>
                <w:rFonts w:hint="eastAsia" w:ascii="仿宋" w:hAnsi="仿宋" w:eastAsia="仿宋" w:cs="仿宋"/>
                <w:color w:val="auto"/>
                <w:kern w:val="0"/>
                <w:sz w:val="22"/>
                <w:szCs w:val="22"/>
                <w:highlight w:val="none"/>
                <w:lang w:bidi="ar"/>
              </w:rPr>
              <w:t>序号</w:t>
            </w:r>
          </w:p>
        </w:tc>
        <w:tc>
          <w:tcPr>
            <w:tcW w:w="2115" w:type="dxa"/>
            <w:vAlign w:val="center"/>
          </w:tcPr>
          <w:p>
            <w:pPr>
              <w:widowControl/>
              <w:jc w:val="center"/>
              <w:rPr>
                <w:rFonts w:hint="eastAsia" w:ascii="仿宋" w:hAnsi="仿宋" w:eastAsia="仿宋" w:cs="仿宋"/>
                <w:b/>
                <w:sz w:val="24"/>
                <w:vertAlign w:val="baseline"/>
                <w:lang w:eastAsia="zh-CN"/>
              </w:rPr>
            </w:pPr>
            <w:r>
              <w:rPr>
                <w:rFonts w:hint="eastAsia" w:ascii="仿宋" w:hAnsi="仿宋" w:eastAsia="仿宋" w:cs="仿宋"/>
                <w:color w:val="auto"/>
                <w:kern w:val="0"/>
                <w:sz w:val="22"/>
                <w:szCs w:val="22"/>
                <w:highlight w:val="none"/>
                <w:lang w:bidi="ar"/>
              </w:rPr>
              <w:t>项目</w:t>
            </w:r>
          </w:p>
        </w:tc>
        <w:tc>
          <w:tcPr>
            <w:tcW w:w="1590" w:type="dxa"/>
            <w:vAlign w:val="center"/>
          </w:tcPr>
          <w:p>
            <w:pPr>
              <w:widowControl/>
              <w:jc w:val="center"/>
              <w:rPr>
                <w:rFonts w:hint="eastAsia" w:ascii="仿宋" w:hAnsi="仿宋" w:eastAsia="仿宋" w:cs="仿宋"/>
                <w:b/>
                <w:sz w:val="24"/>
                <w:vertAlign w:val="baseline"/>
                <w:lang w:eastAsia="zh-CN"/>
              </w:rPr>
            </w:pPr>
            <w:r>
              <w:rPr>
                <w:rFonts w:hint="eastAsia" w:ascii="仿宋" w:hAnsi="仿宋" w:eastAsia="仿宋" w:cs="仿宋"/>
                <w:color w:val="auto"/>
                <w:kern w:val="0"/>
                <w:sz w:val="22"/>
                <w:szCs w:val="22"/>
                <w:highlight w:val="none"/>
                <w:lang w:bidi="ar"/>
              </w:rPr>
              <w:t>消杀区域</w:t>
            </w:r>
          </w:p>
        </w:tc>
        <w:tc>
          <w:tcPr>
            <w:tcW w:w="1380" w:type="dxa"/>
            <w:vAlign w:val="center"/>
          </w:tcPr>
          <w:p>
            <w:pPr>
              <w:widowControl/>
              <w:jc w:val="center"/>
              <w:rPr>
                <w:rFonts w:hint="eastAsia" w:ascii="仿宋" w:hAnsi="仿宋" w:eastAsia="仿宋" w:cs="仿宋"/>
                <w:b/>
                <w:sz w:val="24"/>
                <w:vertAlign w:val="baseline"/>
                <w:lang w:eastAsia="zh-CN"/>
              </w:rPr>
            </w:pPr>
            <w:r>
              <w:rPr>
                <w:rFonts w:hint="eastAsia" w:ascii="仿宋" w:hAnsi="仿宋" w:eastAsia="仿宋" w:cs="仿宋"/>
                <w:color w:val="auto"/>
                <w:kern w:val="0"/>
                <w:sz w:val="22"/>
                <w:szCs w:val="22"/>
                <w:highlight w:val="none"/>
                <w:lang w:bidi="ar"/>
              </w:rPr>
              <w:t>消杀周期</w:t>
            </w:r>
          </w:p>
        </w:tc>
        <w:tc>
          <w:tcPr>
            <w:tcW w:w="1005" w:type="dxa"/>
            <w:vAlign w:val="center"/>
          </w:tcPr>
          <w:p>
            <w:pPr>
              <w:widowControl/>
              <w:spacing w:line="50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lang w:bidi="ar"/>
              </w:rPr>
              <w:t>消杀</w:t>
            </w:r>
          </w:p>
          <w:p>
            <w:pPr>
              <w:widowControl/>
              <w:spacing w:line="500" w:lineRule="exact"/>
              <w:jc w:val="center"/>
              <w:rPr>
                <w:rFonts w:hint="eastAsia" w:ascii="仿宋" w:hAnsi="仿宋" w:eastAsia="仿宋" w:cs="仿宋"/>
                <w:b/>
                <w:sz w:val="24"/>
                <w:vertAlign w:val="baseline"/>
                <w:lang w:eastAsia="zh-CN"/>
              </w:rPr>
            </w:pPr>
            <w:r>
              <w:rPr>
                <w:rFonts w:hint="eastAsia" w:ascii="仿宋" w:hAnsi="仿宋" w:eastAsia="仿宋" w:cs="仿宋"/>
                <w:color w:val="auto"/>
                <w:kern w:val="0"/>
                <w:sz w:val="22"/>
                <w:szCs w:val="22"/>
                <w:highlight w:val="none"/>
                <w:lang w:bidi="ar"/>
              </w:rPr>
              <w:t>方法</w:t>
            </w:r>
          </w:p>
        </w:tc>
        <w:tc>
          <w:tcPr>
            <w:tcW w:w="795" w:type="dxa"/>
            <w:vAlign w:val="center"/>
          </w:tcPr>
          <w:p>
            <w:pPr>
              <w:widowControl/>
              <w:spacing w:line="500" w:lineRule="exact"/>
              <w:jc w:val="center"/>
              <w:rPr>
                <w:rFonts w:hint="eastAsia" w:ascii="仿宋" w:hAnsi="仿宋" w:eastAsia="仿宋" w:cs="仿宋"/>
                <w:b/>
                <w:sz w:val="24"/>
                <w:vertAlign w:val="baseline"/>
                <w:lang w:eastAsia="zh-CN"/>
              </w:rPr>
            </w:pPr>
            <w:r>
              <w:rPr>
                <w:rFonts w:hint="eastAsia" w:ascii="仿宋" w:hAnsi="仿宋" w:eastAsia="仿宋" w:cs="仿宋"/>
                <w:color w:val="auto"/>
                <w:kern w:val="0"/>
                <w:sz w:val="22"/>
                <w:szCs w:val="22"/>
                <w:highlight w:val="none"/>
                <w:lang w:bidi="ar"/>
              </w:rPr>
              <w:t>消杀区域</w:t>
            </w:r>
          </w:p>
        </w:tc>
        <w:tc>
          <w:tcPr>
            <w:tcW w:w="840" w:type="dxa"/>
            <w:vAlign w:val="center"/>
          </w:tcPr>
          <w:p>
            <w:pPr>
              <w:widowControl/>
              <w:spacing w:line="500" w:lineRule="exact"/>
              <w:jc w:val="center"/>
              <w:rPr>
                <w:rFonts w:hint="eastAsia" w:ascii="仿宋" w:hAnsi="仿宋" w:eastAsia="仿宋" w:cs="仿宋"/>
                <w:b/>
                <w:sz w:val="24"/>
                <w:vertAlign w:val="baseline"/>
                <w:lang w:eastAsia="zh-CN"/>
              </w:rPr>
            </w:pPr>
            <w:r>
              <w:rPr>
                <w:rFonts w:hint="eastAsia" w:ascii="仿宋" w:hAnsi="仿宋" w:eastAsia="仿宋" w:cs="仿宋"/>
                <w:color w:val="auto"/>
                <w:kern w:val="0"/>
                <w:sz w:val="22"/>
                <w:szCs w:val="22"/>
                <w:highlight w:val="none"/>
                <w:lang w:bidi="ar"/>
              </w:rPr>
              <w:t>消杀日期</w:t>
            </w:r>
          </w:p>
        </w:tc>
        <w:tc>
          <w:tcPr>
            <w:tcW w:w="983" w:type="dxa"/>
            <w:vAlign w:val="center"/>
          </w:tcPr>
          <w:p>
            <w:pPr>
              <w:widowControl/>
              <w:spacing w:line="500" w:lineRule="exact"/>
              <w:jc w:val="center"/>
              <w:rPr>
                <w:rFonts w:hint="eastAsia" w:ascii="仿宋" w:hAnsi="仿宋" w:eastAsia="仿宋" w:cs="仿宋"/>
                <w:b/>
                <w:sz w:val="24"/>
                <w:vertAlign w:val="baseline"/>
                <w:lang w:eastAsia="zh-CN"/>
              </w:rPr>
            </w:pPr>
            <w:r>
              <w:rPr>
                <w:rFonts w:hint="eastAsia" w:ascii="仿宋" w:hAnsi="仿宋" w:eastAsia="仿宋" w:cs="仿宋"/>
                <w:color w:val="auto"/>
                <w:kern w:val="0"/>
                <w:sz w:val="22"/>
                <w:szCs w:val="22"/>
                <w:highlight w:val="none"/>
                <w:lang w:bidi="ar"/>
              </w:rPr>
              <w:t>药物及用量</w:t>
            </w:r>
          </w:p>
        </w:tc>
        <w:tc>
          <w:tcPr>
            <w:tcW w:w="802" w:type="dxa"/>
            <w:vAlign w:val="center"/>
          </w:tcPr>
          <w:p>
            <w:pPr>
              <w:widowControl/>
              <w:spacing w:line="50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lang w:bidi="ar"/>
              </w:rPr>
              <w:t>消杀</w:t>
            </w:r>
          </w:p>
          <w:p>
            <w:pPr>
              <w:widowControl/>
              <w:spacing w:line="500" w:lineRule="exact"/>
              <w:jc w:val="center"/>
              <w:rPr>
                <w:rFonts w:hint="eastAsia" w:ascii="仿宋" w:hAnsi="仿宋" w:eastAsia="仿宋" w:cs="仿宋"/>
                <w:b/>
                <w:sz w:val="24"/>
                <w:vertAlign w:val="baseline"/>
                <w:lang w:eastAsia="zh-CN"/>
              </w:rPr>
            </w:pPr>
            <w:r>
              <w:rPr>
                <w:rFonts w:hint="eastAsia" w:ascii="仿宋" w:hAnsi="仿宋" w:eastAsia="仿宋" w:cs="仿宋"/>
                <w:color w:val="auto"/>
                <w:kern w:val="0"/>
                <w:sz w:val="22"/>
                <w:szCs w:val="22"/>
                <w:highlight w:val="none"/>
                <w:lang w:bidi="ar"/>
              </w:rPr>
              <w:t>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vAlign w:val="center"/>
          </w:tcPr>
          <w:p>
            <w:pPr>
              <w:pStyle w:val="2"/>
              <w:jc w:val="center"/>
              <w:rPr>
                <w:rFonts w:hint="default" w:ascii="仿宋" w:hAnsi="仿宋" w:eastAsia="仿宋" w:cs="仿宋"/>
                <w:b/>
                <w:sz w:val="24"/>
                <w:vertAlign w:val="baseline"/>
                <w:lang w:val="en-US" w:eastAsia="zh-CN"/>
              </w:rPr>
            </w:pPr>
            <w:r>
              <w:rPr>
                <w:rFonts w:hint="eastAsia" w:ascii="仿宋" w:hAnsi="仿宋" w:eastAsia="仿宋" w:cs="仿宋"/>
                <w:b/>
                <w:sz w:val="24"/>
                <w:vertAlign w:val="baseline"/>
                <w:lang w:val="en-US" w:eastAsia="zh-CN"/>
              </w:rPr>
              <w:t>1</w:t>
            </w:r>
          </w:p>
        </w:tc>
        <w:tc>
          <w:tcPr>
            <w:tcW w:w="2115" w:type="dxa"/>
            <w:vMerge w:val="restart"/>
            <w:vAlign w:val="center"/>
          </w:tcPr>
          <w:p>
            <w:pPr>
              <w:pStyle w:val="2"/>
              <w:jc w:val="center"/>
              <w:rPr>
                <w:rFonts w:hint="eastAsia" w:ascii="仿宋" w:hAnsi="仿宋" w:eastAsia="仿宋" w:cs="仿宋"/>
                <w:b/>
                <w:sz w:val="24"/>
                <w:vertAlign w:val="baseline"/>
                <w:lang w:eastAsia="zh-CN"/>
              </w:rPr>
            </w:pPr>
            <w:r>
              <w:rPr>
                <w:rFonts w:hint="eastAsia" w:ascii="仿宋" w:hAnsi="仿宋" w:eastAsia="仿宋" w:cs="仿宋"/>
                <w:color w:val="auto"/>
                <w:kern w:val="0"/>
                <w:sz w:val="22"/>
                <w:szCs w:val="22"/>
                <w:highlight w:val="none"/>
                <w:lang w:bidi="ar"/>
              </w:rPr>
              <w:t>灭鼠</w:t>
            </w:r>
          </w:p>
        </w:tc>
        <w:tc>
          <w:tcPr>
            <w:tcW w:w="1590" w:type="dxa"/>
            <w:vAlign w:val="center"/>
          </w:tcPr>
          <w:p>
            <w:pPr>
              <w:widowControl/>
              <w:jc w:val="center"/>
              <w:rPr>
                <w:rFonts w:hint="eastAsia" w:ascii="仿宋" w:hAnsi="仿宋" w:eastAsia="仿宋" w:cs="仿宋"/>
                <w:b/>
                <w:sz w:val="24"/>
                <w:vertAlign w:val="baseline"/>
                <w:lang w:eastAsia="zh-CN"/>
              </w:rPr>
            </w:pPr>
            <w:r>
              <w:rPr>
                <w:rFonts w:hint="eastAsia" w:ascii="仿宋" w:hAnsi="仿宋" w:eastAsia="仿宋" w:cs="仿宋"/>
                <w:color w:val="auto"/>
                <w:kern w:val="0"/>
                <w:sz w:val="22"/>
                <w:szCs w:val="22"/>
                <w:highlight w:val="none"/>
                <w:lang w:bidi="ar"/>
              </w:rPr>
              <w:t>室内含地下室</w:t>
            </w:r>
          </w:p>
        </w:tc>
        <w:tc>
          <w:tcPr>
            <w:tcW w:w="1380" w:type="dxa"/>
            <w:vAlign w:val="center"/>
          </w:tcPr>
          <w:p>
            <w:pPr>
              <w:widowControl/>
              <w:jc w:val="center"/>
              <w:rPr>
                <w:rFonts w:hint="eastAsia" w:ascii="仿宋" w:hAnsi="仿宋" w:eastAsia="仿宋" w:cs="仿宋"/>
                <w:b/>
                <w:sz w:val="24"/>
                <w:vertAlign w:val="baseline"/>
                <w:lang w:eastAsia="zh-CN"/>
              </w:rPr>
            </w:pPr>
          </w:p>
        </w:tc>
        <w:tc>
          <w:tcPr>
            <w:tcW w:w="1005" w:type="dxa"/>
          </w:tcPr>
          <w:p>
            <w:pPr>
              <w:pStyle w:val="2"/>
              <w:rPr>
                <w:rFonts w:hint="eastAsia" w:ascii="仿宋" w:hAnsi="仿宋" w:eastAsia="仿宋" w:cs="仿宋"/>
                <w:b/>
                <w:sz w:val="24"/>
                <w:vertAlign w:val="baseline"/>
                <w:lang w:eastAsia="zh-CN"/>
              </w:rPr>
            </w:pPr>
          </w:p>
        </w:tc>
        <w:tc>
          <w:tcPr>
            <w:tcW w:w="795" w:type="dxa"/>
          </w:tcPr>
          <w:p>
            <w:pPr>
              <w:pStyle w:val="2"/>
              <w:rPr>
                <w:rFonts w:hint="eastAsia" w:ascii="仿宋" w:hAnsi="仿宋" w:eastAsia="仿宋" w:cs="仿宋"/>
                <w:b/>
                <w:sz w:val="24"/>
                <w:vertAlign w:val="baseline"/>
                <w:lang w:eastAsia="zh-CN"/>
              </w:rPr>
            </w:pPr>
          </w:p>
        </w:tc>
        <w:tc>
          <w:tcPr>
            <w:tcW w:w="840" w:type="dxa"/>
          </w:tcPr>
          <w:p>
            <w:pPr>
              <w:pStyle w:val="2"/>
              <w:rPr>
                <w:rFonts w:hint="eastAsia" w:ascii="仿宋" w:hAnsi="仿宋" w:eastAsia="仿宋" w:cs="仿宋"/>
                <w:b/>
                <w:sz w:val="24"/>
                <w:vertAlign w:val="baseline"/>
                <w:lang w:eastAsia="zh-CN"/>
              </w:rPr>
            </w:pPr>
          </w:p>
        </w:tc>
        <w:tc>
          <w:tcPr>
            <w:tcW w:w="983" w:type="dxa"/>
          </w:tcPr>
          <w:p>
            <w:pPr>
              <w:pStyle w:val="2"/>
              <w:rPr>
                <w:rFonts w:hint="eastAsia" w:ascii="仿宋" w:hAnsi="仿宋" w:eastAsia="仿宋" w:cs="仿宋"/>
                <w:b/>
                <w:sz w:val="24"/>
                <w:vertAlign w:val="baseline"/>
                <w:lang w:eastAsia="zh-CN"/>
              </w:rPr>
            </w:pPr>
          </w:p>
        </w:tc>
        <w:tc>
          <w:tcPr>
            <w:tcW w:w="802" w:type="dxa"/>
          </w:tcPr>
          <w:p>
            <w:pPr>
              <w:pStyle w:val="2"/>
              <w:rPr>
                <w:rFonts w:hint="eastAsia" w:ascii="仿宋" w:hAnsi="仿宋" w:eastAsia="仿宋" w:cs="仿宋"/>
                <w:b/>
                <w:sz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vAlign w:val="center"/>
          </w:tcPr>
          <w:p>
            <w:pPr>
              <w:pStyle w:val="2"/>
              <w:jc w:val="center"/>
              <w:rPr>
                <w:rFonts w:hint="eastAsia" w:ascii="仿宋" w:hAnsi="仿宋" w:eastAsia="仿宋" w:cs="仿宋"/>
                <w:b/>
                <w:sz w:val="24"/>
                <w:vertAlign w:val="baseline"/>
                <w:lang w:eastAsia="zh-CN"/>
              </w:rPr>
            </w:pPr>
          </w:p>
        </w:tc>
        <w:tc>
          <w:tcPr>
            <w:tcW w:w="2115" w:type="dxa"/>
            <w:vMerge w:val="continue"/>
            <w:vAlign w:val="center"/>
          </w:tcPr>
          <w:p>
            <w:pPr>
              <w:pStyle w:val="2"/>
              <w:jc w:val="center"/>
              <w:rPr>
                <w:rFonts w:hint="eastAsia" w:ascii="仿宋" w:hAnsi="仿宋" w:eastAsia="仿宋" w:cs="仿宋"/>
                <w:b/>
                <w:sz w:val="24"/>
                <w:vertAlign w:val="baseline"/>
                <w:lang w:eastAsia="zh-CN"/>
              </w:rPr>
            </w:pPr>
          </w:p>
        </w:tc>
        <w:tc>
          <w:tcPr>
            <w:tcW w:w="1590" w:type="dxa"/>
            <w:vAlign w:val="center"/>
          </w:tcPr>
          <w:p>
            <w:pPr>
              <w:widowControl/>
              <w:jc w:val="center"/>
              <w:rPr>
                <w:rFonts w:hint="eastAsia" w:ascii="仿宋" w:hAnsi="仿宋" w:eastAsia="仿宋" w:cs="仿宋"/>
                <w:b/>
                <w:sz w:val="24"/>
                <w:vertAlign w:val="baseline"/>
                <w:lang w:eastAsia="zh-CN"/>
              </w:rPr>
            </w:pPr>
            <w:r>
              <w:rPr>
                <w:rFonts w:hint="eastAsia" w:ascii="仿宋" w:hAnsi="仿宋" w:eastAsia="仿宋" w:cs="仿宋"/>
                <w:color w:val="auto"/>
                <w:kern w:val="0"/>
                <w:sz w:val="22"/>
                <w:szCs w:val="22"/>
                <w:highlight w:val="none"/>
                <w:lang w:bidi="ar"/>
              </w:rPr>
              <w:t>室外</w:t>
            </w:r>
          </w:p>
        </w:tc>
        <w:tc>
          <w:tcPr>
            <w:tcW w:w="1380" w:type="dxa"/>
            <w:vAlign w:val="center"/>
          </w:tcPr>
          <w:p>
            <w:pPr>
              <w:widowControl/>
              <w:jc w:val="center"/>
              <w:rPr>
                <w:rFonts w:hint="eastAsia" w:ascii="仿宋" w:hAnsi="仿宋" w:eastAsia="仿宋" w:cs="仿宋"/>
                <w:b/>
                <w:sz w:val="24"/>
                <w:vertAlign w:val="baseline"/>
                <w:lang w:eastAsia="zh-CN"/>
              </w:rPr>
            </w:pPr>
          </w:p>
        </w:tc>
        <w:tc>
          <w:tcPr>
            <w:tcW w:w="1005" w:type="dxa"/>
          </w:tcPr>
          <w:p>
            <w:pPr>
              <w:pStyle w:val="2"/>
              <w:rPr>
                <w:rFonts w:hint="eastAsia" w:ascii="仿宋" w:hAnsi="仿宋" w:eastAsia="仿宋" w:cs="仿宋"/>
                <w:b/>
                <w:sz w:val="24"/>
                <w:vertAlign w:val="baseline"/>
                <w:lang w:eastAsia="zh-CN"/>
              </w:rPr>
            </w:pPr>
          </w:p>
        </w:tc>
        <w:tc>
          <w:tcPr>
            <w:tcW w:w="795" w:type="dxa"/>
          </w:tcPr>
          <w:p>
            <w:pPr>
              <w:pStyle w:val="2"/>
              <w:rPr>
                <w:rFonts w:hint="eastAsia" w:ascii="仿宋" w:hAnsi="仿宋" w:eastAsia="仿宋" w:cs="仿宋"/>
                <w:b/>
                <w:sz w:val="24"/>
                <w:vertAlign w:val="baseline"/>
                <w:lang w:eastAsia="zh-CN"/>
              </w:rPr>
            </w:pPr>
          </w:p>
        </w:tc>
        <w:tc>
          <w:tcPr>
            <w:tcW w:w="840" w:type="dxa"/>
          </w:tcPr>
          <w:p>
            <w:pPr>
              <w:pStyle w:val="2"/>
              <w:rPr>
                <w:rFonts w:hint="eastAsia" w:ascii="仿宋" w:hAnsi="仿宋" w:eastAsia="仿宋" w:cs="仿宋"/>
                <w:b/>
                <w:sz w:val="24"/>
                <w:vertAlign w:val="baseline"/>
                <w:lang w:eastAsia="zh-CN"/>
              </w:rPr>
            </w:pPr>
          </w:p>
        </w:tc>
        <w:tc>
          <w:tcPr>
            <w:tcW w:w="983" w:type="dxa"/>
          </w:tcPr>
          <w:p>
            <w:pPr>
              <w:pStyle w:val="2"/>
              <w:rPr>
                <w:rFonts w:hint="eastAsia" w:ascii="仿宋" w:hAnsi="仿宋" w:eastAsia="仿宋" w:cs="仿宋"/>
                <w:b/>
                <w:sz w:val="24"/>
                <w:vertAlign w:val="baseline"/>
                <w:lang w:eastAsia="zh-CN"/>
              </w:rPr>
            </w:pPr>
          </w:p>
        </w:tc>
        <w:tc>
          <w:tcPr>
            <w:tcW w:w="802" w:type="dxa"/>
          </w:tcPr>
          <w:p>
            <w:pPr>
              <w:pStyle w:val="2"/>
              <w:rPr>
                <w:rFonts w:hint="eastAsia" w:ascii="仿宋" w:hAnsi="仿宋" w:eastAsia="仿宋" w:cs="仿宋"/>
                <w:b/>
                <w:sz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widowControl/>
              <w:jc w:val="center"/>
              <w:rPr>
                <w:rFonts w:hint="eastAsia" w:ascii="仿宋" w:hAnsi="仿宋" w:eastAsia="仿宋" w:cs="仿宋"/>
                <w:b/>
                <w:sz w:val="24"/>
                <w:vertAlign w:val="baseline"/>
                <w:lang w:eastAsia="zh-CN"/>
              </w:rPr>
            </w:pPr>
            <w:r>
              <w:rPr>
                <w:rFonts w:hint="eastAsia" w:ascii="仿宋" w:hAnsi="仿宋" w:eastAsia="仿宋" w:cs="仿宋"/>
                <w:color w:val="auto"/>
                <w:kern w:val="0"/>
                <w:sz w:val="22"/>
                <w:szCs w:val="22"/>
                <w:highlight w:val="none"/>
                <w:lang w:bidi="ar"/>
              </w:rPr>
              <w:t>2</w:t>
            </w:r>
          </w:p>
        </w:tc>
        <w:tc>
          <w:tcPr>
            <w:tcW w:w="2115" w:type="dxa"/>
            <w:vAlign w:val="center"/>
          </w:tcPr>
          <w:p>
            <w:pPr>
              <w:widowControl/>
              <w:jc w:val="center"/>
              <w:rPr>
                <w:rFonts w:hint="eastAsia" w:ascii="仿宋" w:hAnsi="仿宋" w:eastAsia="仿宋" w:cs="仿宋"/>
                <w:b/>
                <w:sz w:val="24"/>
                <w:vertAlign w:val="baseline"/>
                <w:lang w:eastAsia="zh-CN"/>
              </w:rPr>
            </w:pPr>
            <w:r>
              <w:rPr>
                <w:rFonts w:hint="eastAsia" w:ascii="仿宋" w:hAnsi="仿宋" w:eastAsia="仿宋" w:cs="仿宋"/>
                <w:color w:val="auto"/>
                <w:kern w:val="0"/>
                <w:sz w:val="22"/>
                <w:szCs w:val="22"/>
                <w:highlight w:val="none"/>
                <w:lang w:bidi="ar"/>
              </w:rPr>
              <w:t>灭蚊蝇蟑螂</w:t>
            </w:r>
          </w:p>
        </w:tc>
        <w:tc>
          <w:tcPr>
            <w:tcW w:w="1590" w:type="dxa"/>
            <w:vAlign w:val="center"/>
          </w:tcPr>
          <w:p>
            <w:pPr>
              <w:widowControl/>
              <w:jc w:val="center"/>
              <w:rPr>
                <w:rFonts w:hint="eastAsia" w:ascii="仿宋" w:hAnsi="仿宋" w:eastAsia="仿宋" w:cs="仿宋"/>
                <w:b/>
                <w:sz w:val="24"/>
                <w:vertAlign w:val="baseline"/>
                <w:lang w:eastAsia="zh-CN"/>
              </w:rPr>
            </w:pPr>
            <w:r>
              <w:rPr>
                <w:rFonts w:hint="eastAsia" w:ascii="仿宋" w:hAnsi="仿宋" w:eastAsia="仿宋" w:cs="仿宋"/>
                <w:color w:val="auto"/>
                <w:kern w:val="0"/>
                <w:sz w:val="22"/>
                <w:szCs w:val="22"/>
                <w:highlight w:val="none"/>
                <w:lang w:bidi="ar"/>
              </w:rPr>
              <w:t>室内含地下室</w:t>
            </w:r>
          </w:p>
        </w:tc>
        <w:tc>
          <w:tcPr>
            <w:tcW w:w="1380" w:type="dxa"/>
            <w:vAlign w:val="center"/>
          </w:tcPr>
          <w:p>
            <w:pPr>
              <w:widowControl/>
              <w:jc w:val="center"/>
              <w:rPr>
                <w:rFonts w:hint="eastAsia" w:ascii="仿宋" w:hAnsi="仿宋" w:eastAsia="仿宋" w:cs="仿宋"/>
                <w:b/>
                <w:sz w:val="24"/>
                <w:vertAlign w:val="baseline"/>
                <w:lang w:eastAsia="zh-CN"/>
              </w:rPr>
            </w:pPr>
          </w:p>
        </w:tc>
        <w:tc>
          <w:tcPr>
            <w:tcW w:w="1005" w:type="dxa"/>
          </w:tcPr>
          <w:p>
            <w:pPr>
              <w:pStyle w:val="2"/>
              <w:rPr>
                <w:rFonts w:hint="eastAsia" w:ascii="仿宋" w:hAnsi="仿宋" w:eastAsia="仿宋" w:cs="仿宋"/>
                <w:b/>
                <w:sz w:val="24"/>
                <w:vertAlign w:val="baseline"/>
                <w:lang w:eastAsia="zh-CN"/>
              </w:rPr>
            </w:pPr>
          </w:p>
        </w:tc>
        <w:tc>
          <w:tcPr>
            <w:tcW w:w="795" w:type="dxa"/>
          </w:tcPr>
          <w:p>
            <w:pPr>
              <w:pStyle w:val="2"/>
              <w:rPr>
                <w:rFonts w:hint="eastAsia" w:ascii="仿宋" w:hAnsi="仿宋" w:eastAsia="仿宋" w:cs="仿宋"/>
                <w:b/>
                <w:sz w:val="24"/>
                <w:vertAlign w:val="baseline"/>
                <w:lang w:eastAsia="zh-CN"/>
              </w:rPr>
            </w:pPr>
          </w:p>
        </w:tc>
        <w:tc>
          <w:tcPr>
            <w:tcW w:w="840" w:type="dxa"/>
          </w:tcPr>
          <w:p>
            <w:pPr>
              <w:pStyle w:val="2"/>
              <w:rPr>
                <w:rFonts w:hint="eastAsia" w:ascii="仿宋" w:hAnsi="仿宋" w:eastAsia="仿宋" w:cs="仿宋"/>
                <w:b/>
                <w:sz w:val="24"/>
                <w:vertAlign w:val="baseline"/>
                <w:lang w:eastAsia="zh-CN"/>
              </w:rPr>
            </w:pPr>
          </w:p>
        </w:tc>
        <w:tc>
          <w:tcPr>
            <w:tcW w:w="983" w:type="dxa"/>
          </w:tcPr>
          <w:p>
            <w:pPr>
              <w:pStyle w:val="2"/>
              <w:rPr>
                <w:rFonts w:hint="eastAsia" w:ascii="仿宋" w:hAnsi="仿宋" w:eastAsia="仿宋" w:cs="仿宋"/>
                <w:b/>
                <w:sz w:val="24"/>
                <w:vertAlign w:val="baseline"/>
                <w:lang w:eastAsia="zh-CN"/>
              </w:rPr>
            </w:pPr>
          </w:p>
        </w:tc>
        <w:tc>
          <w:tcPr>
            <w:tcW w:w="802" w:type="dxa"/>
          </w:tcPr>
          <w:p>
            <w:pPr>
              <w:pStyle w:val="2"/>
              <w:rPr>
                <w:rFonts w:hint="eastAsia" w:ascii="仿宋" w:hAnsi="仿宋" w:eastAsia="仿宋" w:cs="仿宋"/>
                <w:b/>
                <w:sz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widowControl/>
              <w:jc w:val="center"/>
              <w:rPr>
                <w:rFonts w:hint="eastAsia" w:ascii="仿宋" w:hAnsi="仿宋" w:eastAsia="仿宋" w:cs="仿宋"/>
                <w:b/>
                <w:sz w:val="24"/>
                <w:vertAlign w:val="baseline"/>
                <w:lang w:eastAsia="zh-CN"/>
              </w:rPr>
            </w:pPr>
            <w:r>
              <w:rPr>
                <w:rFonts w:hint="eastAsia" w:ascii="仿宋" w:hAnsi="仿宋" w:eastAsia="仿宋" w:cs="仿宋"/>
                <w:color w:val="auto"/>
                <w:kern w:val="0"/>
                <w:sz w:val="22"/>
                <w:szCs w:val="22"/>
                <w:highlight w:val="none"/>
                <w:lang w:bidi="ar"/>
              </w:rPr>
              <w:t>3</w:t>
            </w:r>
          </w:p>
        </w:tc>
        <w:tc>
          <w:tcPr>
            <w:tcW w:w="2115" w:type="dxa"/>
            <w:vAlign w:val="center"/>
          </w:tcPr>
          <w:p>
            <w:pPr>
              <w:widowControl/>
              <w:jc w:val="center"/>
              <w:rPr>
                <w:rFonts w:hint="eastAsia" w:ascii="仿宋" w:hAnsi="仿宋" w:eastAsia="仿宋" w:cs="仿宋"/>
                <w:b/>
                <w:sz w:val="24"/>
                <w:vertAlign w:val="baseline"/>
                <w:lang w:eastAsia="zh-CN"/>
              </w:rPr>
            </w:pPr>
            <w:r>
              <w:rPr>
                <w:rFonts w:hint="eastAsia" w:ascii="仿宋" w:hAnsi="仿宋" w:eastAsia="仿宋" w:cs="仿宋"/>
                <w:color w:val="auto"/>
                <w:kern w:val="0"/>
                <w:sz w:val="22"/>
                <w:szCs w:val="22"/>
                <w:highlight w:val="none"/>
                <w:lang w:bidi="ar"/>
              </w:rPr>
              <w:t>灭蚊蝇蟑螂</w:t>
            </w:r>
          </w:p>
        </w:tc>
        <w:tc>
          <w:tcPr>
            <w:tcW w:w="1590" w:type="dxa"/>
            <w:vAlign w:val="center"/>
          </w:tcPr>
          <w:p>
            <w:pPr>
              <w:widowControl/>
              <w:jc w:val="center"/>
              <w:rPr>
                <w:rFonts w:hint="eastAsia" w:ascii="仿宋" w:hAnsi="仿宋" w:eastAsia="仿宋" w:cs="仿宋"/>
                <w:b/>
                <w:sz w:val="24"/>
                <w:vertAlign w:val="baseline"/>
                <w:lang w:eastAsia="zh-CN"/>
              </w:rPr>
            </w:pPr>
            <w:r>
              <w:rPr>
                <w:rFonts w:hint="eastAsia" w:ascii="仿宋" w:hAnsi="仿宋" w:eastAsia="仿宋" w:cs="仿宋"/>
                <w:color w:val="auto"/>
                <w:kern w:val="0"/>
                <w:sz w:val="22"/>
                <w:szCs w:val="22"/>
                <w:highlight w:val="none"/>
                <w:lang w:bidi="ar"/>
              </w:rPr>
              <w:t>室外</w:t>
            </w:r>
          </w:p>
        </w:tc>
        <w:tc>
          <w:tcPr>
            <w:tcW w:w="1380" w:type="dxa"/>
            <w:vAlign w:val="center"/>
          </w:tcPr>
          <w:p>
            <w:pPr>
              <w:widowControl/>
              <w:jc w:val="center"/>
              <w:rPr>
                <w:rFonts w:hint="eastAsia" w:ascii="仿宋" w:hAnsi="仿宋" w:eastAsia="仿宋" w:cs="仿宋"/>
                <w:b/>
                <w:sz w:val="24"/>
                <w:vertAlign w:val="baseline"/>
                <w:lang w:eastAsia="zh-CN"/>
              </w:rPr>
            </w:pPr>
          </w:p>
        </w:tc>
        <w:tc>
          <w:tcPr>
            <w:tcW w:w="1005" w:type="dxa"/>
          </w:tcPr>
          <w:p>
            <w:pPr>
              <w:pStyle w:val="2"/>
              <w:rPr>
                <w:rFonts w:hint="eastAsia" w:ascii="仿宋" w:hAnsi="仿宋" w:eastAsia="仿宋" w:cs="仿宋"/>
                <w:b/>
                <w:sz w:val="24"/>
                <w:vertAlign w:val="baseline"/>
                <w:lang w:eastAsia="zh-CN"/>
              </w:rPr>
            </w:pPr>
          </w:p>
        </w:tc>
        <w:tc>
          <w:tcPr>
            <w:tcW w:w="795" w:type="dxa"/>
          </w:tcPr>
          <w:p>
            <w:pPr>
              <w:pStyle w:val="2"/>
              <w:rPr>
                <w:rFonts w:hint="eastAsia" w:ascii="仿宋" w:hAnsi="仿宋" w:eastAsia="仿宋" w:cs="仿宋"/>
                <w:b/>
                <w:sz w:val="24"/>
                <w:vertAlign w:val="baseline"/>
                <w:lang w:eastAsia="zh-CN"/>
              </w:rPr>
            </w:pPr>
          </w:p>
        </w:tc>
        <w:tc>
          <w:tcPr>
            <w:tcW w:w="840" w:type="dxa"/>
          </w:tcPr>
          <w:p>
            <w:pPr>
              <w:pStyle w:val="2"/>
              <w:rPr>
                <w:rFonts w:hint="eastAsia" w:ascii="仿宋" w:hAnsi="仿宋" w:eastAsia="仿宋" w:cs="仿宋"/>
                <w:b/>
                <w:sz w:val="24"/>
                <w:vertAlign w:val="baseline"/>
                <w:lang w:eastAsia="zh-CN"/>
              </w:rPr>
            </w:pPr>
          </w:p>
        </w:tc>
        <w:tc>
          <w:tcPr>
            <w:tcW w:w="983" w:type="dxa"/>
          </w:tcPr>
          <w:p>
            <w:pPr>
              <w:pStyle w:val="2"/>
              <w:rPr>
                <w:rFonts w:hint="eastAsia" w:ascii="仿宋" w:hAnsi="仿宋" w:eastAsia="仿宋" w:cs="仿宋"/>
                <w:b/>
                <w:sz w:val="24"/>
                <w:vertAlign w:val="baseline"/>
                <w:lang w:eastAsia="zh-CN"/>
              </w:rPr>
            </w:pPr>
          </w:p>
        </w:tc>
        <w:tc>
          <w:tcPr>
            <w:tcW w:w="802" w:type="dxa"/>
          </w:tcPr>
          <w:p>
            <w:pPr>
              <w:pStyle w:val="2"/>
              <w:rPr>
                <w:rFonts w:hint="eastAsia" w:ascii="仿宋" w:hAnsi="仿宋" w:eastAsia="仿宋" w:cs="仿宋"/>
                <w:b/>
                <w:sz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widowControl/>
              <w:jc w:val="center"/>
              <w:rPr>
                <w:rFonts w:hint="eastAsia" w:ascii="仿宋" w:hAnsi="仿宋" w:eastAsia="仿宋" w:cs="仿宋"/>
                <w:b/>
                <w:sz w:val="24"/>
                <w:vertAlign w:val="baseline"/>
                <w:lang w:eastAsia="zh-CN"/>
              </w:rPr>
            </w:pPr>
            <w:r>
              <w:rPr>
                <w:rFonts w:hint="eastAsia" w:ascii="仿宋" w:hAnsi="仿宋" w:eastAsia="仿宋" w:cs="仿宋"/>
                <w:color w:val="auto"/>
                <w:kern w:val="0"/>
                <w:sz w:val="22"/>
                <w:szCs w:val="22"/>
                <w:highlight w:val="none"/>
                <w:lang w:bidi="ar"/>
              </w:rPr>
              <w:t>4</w:t>
            </w:r>
          </w:p>
        </w:tc>
        <w:tc>
          <w:tcPr>
            <w:tcW w:w="2115" w:type="dxa"/>
            <w:vAlign w:val="center"/>
          </w:tcPr>
          <w:p>
            <w:pPr>
              <w:widowControl/>
              <w:jc w:val="center"/>
              <w:rPr>
                <w:rFonts w:hint="eastAsia" w:ascii="仿宋" w:hAnsi="仿宋" w:eastAsia="仿宋" w:cs="仿宋"/>
                <w:b/>
                <w:sz w:val="24"/>
                <w:vertAlign w:val="baseline"/>
                <w:lang w:eastAsia="zh-CN"/>
              </w:rPr>
            </w:pPr>
            <w:r>
              <w:rPr>
                <w:rFonts w:hint="eastAsia" w:ascii="仿宋" w:hAnsi="仿宋" w:eastAsia="仿宋" w:cs="仿宋"/>
                <w:color w:val="auto"/>
                <w:kern w:val="0"/>
                <w:sz w:val="22"/>
                <w:szCs w:val="22"/>
                <w:highlight w:val="none"/>
                <w:lang w:bidi="ar"/>
              </w:rPr>
              <w:t>化粪池灭蟑螂</w:t>
            </w:r>
          </w:p>
        </w:tc>
        <w:tc>
          <w:tcPr>
            <w:tcW w:w="1590" w:type="dxa"/>
            <w:vAlign w:val="center"/>
          </w:tcPr>
          <w:p>
            <w:pPr>
              <w:widowControl/>
              <w:jc w:val="center"/>
              <w:rPr>
                <w:rFonts w:hint="eastAsia" w:ascii="仿宋" w:hAnsi="仿宋" w:eastAsia="仿宋" w:cs="仿宋"/>
                <w:b/>
                <w:sz w:val="24"/>
                <w:vertAlign w:val="baseline"/>
                <w:lang w:eastAsia="zh-CN"/>
              </w:rPr>
            </w:pPr>
            <w:r>
              <w:rPr>
                <w:rFonts w:hint="eastAsia" w:ascii="仿宋" w:hAnsi="仿宋" w:eastAsia="仿宋" w:cs="仿宋"/>
                <w:color w:val="auto"/>
                <w:kern w:val="0"/>
                <w:sz w:val="22"/>
                <w:szCs w:val="22"/>
                <w:highlight w:val="none"/>
                <w:lang w:bidi="ar"/>
              </w:rPr>
              <w:t>室外</w:t>
            </w:r>
          </w:p>
        </w:tc>
        <w:tc>
          <w:tcPr>
            <w:tcW w:w="1380" w:type="dxa"/>
            <w:vAlign w:val="center"/>
          </w:tcPr>
          <w:p>
            <w:pPr>
              <w:widowControl/>
              <w:jc w:val="center"/>
              <w:rPr>
                <w:rFonts w:hint="eastAsia" w:ascii="仿宋" w:hAnsi="仿宋" w:eastAsia="仿宋" w:cs="仿宋"/>
                <w:b/>
                <w:sz w:val="24"/>
                <w:vertAlign w:val="baseline"/>
                <w:lang w:eastAsia="zh-CN"/>
              </w:rPr>
            </w:pPr>
          </w:p>
        </w:tc>
        <w:tc>
          <w:tcPr>
            <w:tcW w:w="1005" w:type="dxa"/>
          </w:tcPr>
          <w:p>
            <w:pPr>
              <w:pStyle w:val="2"/>
              <w:rPr>
                <w:rFonts w:hint="eastAsia" w:ascii="仿宋" w:hAnsi="仿宋" w:eastAsia="仿宋" w:cs="仿宋"/>
                <w:b/>
                <w:sz w:val="24"/>
                <w:vertAlign w:val="baseline"/>
                <w:lang w:eastAsia="zh-CN"/>
              </w:rPr>
            </w:pPr>
          </w:p>
        </w:tc>
        <w:tc>
          <w:tcPr>
            <w:tcW w:w="795" w:type="dxa"/>
          </w:tcPr>
          <w:p>
            <w:pPr>
              <w:pStyle w:val="2"/>
              <w:rPr>
                <w:rFonts w:hint="eastAsia" w:ascii="仿宋" w:hAnsi="仿宋" w:eastAsia="仿宋" w:cs="仿宋"/>
                <w:b/>
                <w:sz w:val="24"/>
                <w:vertAlign w:val="baseline"/>
                <w:lang w:eastAsia="zh-CN"/>
              </w:rPr>
            </w:pPr>
          </w:p>
        </w:tc>
        <w:tc>
          <w:tcPr>
            <w:tcW w:w="840" w:type="dxa"/>
          </w:tcPr>
          <w:p>
            <w:pPr>
              <w:pStyle w:val="2"/>
              <w:rPr>
                <w:rFonts w:hint="eastAsia" w:ascii="仿宋" w:hAnsi="仿宋" w:eastAsia="仿宋" w:cs="仿宋"/>
                <w:b/>
                <w:sz w:val="24"/>
                <w:vertAlign w:val="baseline"/>
                <w:lang w:eastAsia="zh-CN"/>
              </w:rPr>
            </w:pPr>
          </w:p>
        </w:tc>
        <w:tc>
          <w:tcPr>
            <w:tcW w:w="983" w:type="dxa"/>
          </w:tcPr>
          <w:p>
            <w:pPr>
              <w:pStyle w:val="2"/>
              <w:rPr>
                <w:rFonts w:hint="eastAsia" w:ascii="仿宋" w:hAnsi="仿宋" w:eastAsia="仿宋" w:cs="仿宋"/>
                <w:b/>
                <w:sz w:val="24"/>
                <w:vertAlign w:val="baseline"/>
                <w:lang w:eastAsia="zh-CN"/>
              </w:rPr>
            </w:pPr>
          </w:p>
        </w:tc>
        <w:tc>
          <w:tcPr>
            <w:tcW w:w="802" w:type="dxa"/>
          </w:tcPr>
          <w:p>
            <w:pPr>
              <w:pStyle w:val="2"/>
              <w:rPr>
                <w:rFonts w:hint="eastAsia" w:ascii="仿宋" w:hAnsi="仿宋" w:eastAsia="仿宋" w:cs="仿宋"/>
                <w:b/>
                <w:sz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widowControl/>
              <w:jc w:val="center"/>
              <w:rPr>
                <w:rFonts w:hint="eastAsia" w:ascii="仿宋" w:hAnsi="仿宋" w:eastAsia="仿宋" w:cs="仿宋"/>
                <w:b/>
                <w:sz w:val="24"/>
                <w:vertAlign w:val="baseline"/>
                <w:lang w:eastAsia="zh-CN"/>
              </w:rPr>
            </w:pPr>
            <w:r>
              <w:rPr>
                <w:rFonts w:hint="eastAsia" w:ascii="仿宋" w:hAnsi="仿宋" w:eastAsia="仿宋" w:cs="仿宋"/>
                <w:color w:val="auto"/>
                <w:kern w:val="0"/>
                <w:sz w:val="22"/>
                <w:szCs w:val="22"/>
                <w:highlight w:val="none"/>
                <w:lang w:bidi="ar"/>
              </w:rPr>
              <w:t>5</w:t>
            </w:r>
          </w:p>
        </w:tc>
        <w:tc>
          <w:tcPr>
            <w:tcW w:w="2115" w:type="dxa"/>
            <w:vAlign w:val="center"/>
          </w:tcPr>
          <w:p>
            <w:pPr>
              <w:widowControl/>
              <w:jc w:val="center"/>
              <w:rPr>
                <w:rFonts w:hint="eastAsia" w:ascii="仿宋" w:hAnsi="仿宋" w:eastAsia="仿宋" w:cs="仿宋"/>
                <w:b/>
                <w:sz w:val="24"/>
                <w:vertAlign w:val="baseline"/>
                <w:lang w:eastAsia="zh-CN"/>
              </w:rPr>
            </w:pPr>
            <w:r>
              <w:rPr>
                <w:rFonts w:hint="eastAsia" w:ascii="仿宋" w:hAnsi="仿宋" w:eastAsia="仿宋" w:cs="仿宋"/>
                <w:color w:val="auto"/>
                <w:kern w:val="0"/>
                <w:sz w:val="22"/>
                <w:szCs w:val="22"/>
                <w:highlight w:val="none"/>
                <w:lang w:bidi="ar"/>
              </w:rPr>
              <w:t>沙井、污水井灭蚊幼</w:t>
            </w:r>
          </w:p>
        </w:tc>
        <w:tc>
          <w:tcPr>
            <w:tcW w:w="1590" w:type="dxa"/>
            <w:vAlign w:val="center"/>
          </w:tcPr>
          <w:p>
            <w:pPr>
              <w:widowControl/>
              <w:jc w:val="center"/>
              <w:rPr>
                <w:rFonts w:hint="eastAsia" w:ascii="仿宋" w:hAnsi="仿宋" w:eastAsia="仿宋" w:cs="仿宋"/>
                <w:b/>
                <w:sz w:val="24"/>
                <w:vertAlign w:val="baseline"/>
                <w:lang w:eastAsia="zh-CN"/>
              </w:rPr>
            </w:pPr>
            <w:r>
              <w:rPr>
                <w:rFonts w:hint="eastAsia" w:ascii="仿宋" w:hAnsi="仿宋" w:eastAsia="仿宋" w:cs="仿宋"/>
                <w:color w:val="auto"/>
                <w:kern w:val="0"/>
                <w:sz w:val="22"/>
                <w:szCs w:val="22"/>
                <w:highlight w:val="none"/>
                <w:lang w:bidi="ar"/>
              </w:rPr>
              <w:t>室外</w:t>
            </w:r>
          </w:p>
        </w:tc>
        <w:tc>
          <w:tcPr>
            <w:tcW w:w="1380" w:type="dxa"/>
            <w:vAlign w:val="center"/>
          </w:tcPr>
          <w:p>
            <w:pPr>
              <w:widowControl/>
              <w:jc w:val="center"/>
              <w:rPr>
                <w:rFonts w:hint="eastAsia" w:ascii="仿宋" w:hAnsi="仿宋" w:eastAsia="仿宋" w:cs="仿宋"/>
                <w:b/>
                <w:sz w:val="24"/>
                <w:vertAlign w:val="baseline"/>
                <w:lang w:eastAsia="zh-CN"/>
              </w:rPr>
            </w:pPr>
          </w:p>
        </w:tc>
        <w:tc>
          <w:tcPr>
            <w:tcW w:w="1005" w:type="dxa"/>
          </w:tcPr>
          <w:p>
            <w:pPr>
              <w:pStyle w:val="2"/>
              <w:rPr>
                <w:rFonts w:hint="eastAsia" w:ascii="仿宋" w:hAnsi="仿宋" w:eastAsia="仿宋" w:cs="仿宋"/>
                <w:b/>
                <w:sz w:val="24"/>
                <w:vertAlign w:val="baseline"/>
                <w:lang w:eastAsia="zh-CN"/>
              </w:rPr>
            </w:pPr>
          </w:p>
        </w:tc>
        <w:tc>
          <w:tcPr>
            <w:tcW w:w="795" w:type="dxa"/>
          </w:tcPr>
          <w:p>
            <w:pPr>
              <w:pStyle w:val="2"/>
              <w:rPr>
                <w:rFonts w:hint="eastAsia" w:ascii="仿宋" w:hAnsi="仿宋" w:eastAsia="仿宋" w:cs="仿宋"/>
                <w:b/>
                <w:sz w:val="24"/>
                <w:vertAlign w:val="baseline"/>
                <w:lang w:eastAsia="zh-CN"/>
              </w:rPr>
            </w:pPr>
          </w:p>
        </w:tc>
        <w:tc>
          <w:tcPr>
            <w:tcW w:w="840" w:type="dxa"/>
          </w:tcPr>
          <w:p>
            <w:pPr>
              <w:pStyle w:val="2"/>
              <w:rPr>
                <w:rFonts w:hint="eastAsia" w:ascii="仿宋" w:hAnsi="仿宋" w:eastAsia="仿宋" w:cs="仿宋"/>
                <w:b/>
                <w:sz w:val="24"/>
                <w:vertAlign w:val="baseline"/>
                <w:lang w:eastAsia="zh-CN"/>
              </w:rPr>
            </w:pPr>
          </w:p>
        </w:tc>
        <w:tc>
          <w:tcPr>
            <w:tcW w:w="983" w:type="dxa"/>
          </w:tcPr>
          <w:p>
            <w:pPr>
              <w:pStyle w:val="2"/>
              <w:rPr>
                <w:rFonts w:hint="eastAsia" w:ascii="仿宋" w:hAnsi="仿宋" w:eastAsia="仿宋" w:cs="仿宋"/>
                <w:b/>
                <w:sz w:val="24"/>
                <w:vertAlign w:val="baseline"/>
                <w:lang w:eastAsia="zh-CN"/>
              </w:rPr>
            </w:pPr>
          </w:p>
        </w:tc>
        <w:tc>
          <w:tcPr>
            <w:tcW w:w="802" w:type="dxa"/>
          </w:tcPr>
          <w:p>
            <w:pPr>
              <w:pStyle w:val="2"/>
              <w:rPr>
                <w:rFonts w:hint="eastAsia" w:ascii="仿宋" w:hAnsi="仿宋" w:eastAsia="仿宋" w:cs="仿宋"/>
                <w:b/>
                <w:sz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widowControl/>
              <w:jc w:val="center"/>
              <w:rPr>
                <w:rFonts w:hint="eastAsia" w:ascii="仿宋" w:hAnsi="仿宋" w:eastAsia="仿宋" w:cs="仿宋"/>
                <w:b/>
                <w:sz w:val="24"/>
                <w:vertAlign w:val="baseline"/>
                <w:lang w:eastAsia="zh-CN"/>
              </w:rPr>
            </w:pPr>
            <w:r>
              <w:rPr>
                <w:rFonts w:hint="eastAsia" w:ascii="仿宋" w:hAnsi="仿宋" w:eastAsia="仿宋" w:cs="仿宋"/>
                <w:color w:val="auto"/>
                <w:kern w:val="0"/>
                <w:sz w:val="22"/>
                <w:szCs w:val="22"/>
                <w:highlight w:val="none"/>
                <w:lang w:bidi="ar"/>
              </w:rPr>
              <w:t>6</w:t>
            </w:r>
          </w:p>
        </w:tc>
        <w:tc>
          <w:tcPr>
            <w:tcW w:w="2115" w:type="dxa"/>
            <w:vAlign w:val="center"/>
          </w:tcPr>
          <w:p>
            <w:pPr>
              <w:widowControl/>
              <w:jc w:val="center"/>
              <w:rPr>
                <w:rFonts w:hint="eastAsia" w:ascii="仿宋" w:hAnsi="仿宋" w:eastAsia="仿宋" w:cs="仿宋"/>
                <w:b/>
                <w:sz w:val="24"/>
                <w:vertAlign w:val="baseline"/>
                <w:lang w:eastAsia="zh-CN"/>
              </w:rPr>
            </w:pPr>
            <w:r>
              <w:rPr>
                <w:rFonts w:hint="eastAsia" w:ascii="仿宋" w:hAnsi="仿宋" w:eastAsia="仿宋" w:cs="仿宋"/>
                <w:color w:val="auto"/>
                <w:kern w:val="0"/>
                <w:sz w:val="22"/>
                <w:szCs w:val="22"/>
                <w:highlight w:val="none"/>
                <w:lang w:bidi="ar"/>
              </w:rPr>
              <w:t>污水站灭蚊蝇</w:t>
            </w:r>
          </w:p>
        </w:tc>
        <w:tc>
          <w:tcPr>
            <w:tcW w:w="1590" w:type="dxa"/>
            <w:vAlign w:val="center"/>
          </w:tcPr>
          <w:p>
            <w:pPr>
              <w:widowControl/>
              <w:jc w:val="center"/>
              <w:rPr>
                <w:rFonts w:hint="eastAsia" w:ascii="仿宋" w:hAnsi="仿宋" w:eastAsia="仿宋" w:cs="仿宋"/>
                <w:b/>
                <w:sz w:val="24"/>
                <w:vertAlign w:val="baseline"/>
                <w:lang w:eastAsia="zh-CN"/>
              </w:rPr>
            </w:pPr>
            <w:r>
              <w:rPr>
                <w:rFonts w:hint="eastAsia" w:ascii="仿宋" w:hAnsi="仿宋" w:eastAsia="仿宋" w:cs="仿宋"/>
                <w:color w:val="auto"/>
                <w:kern w:val="0"/>
                <w:sz w:val="22"/>
                <w:szCs w:val="22"/>
                <w:highlight w:val="none"/>
                <w:lang w:bidi="ar"/>
              </w:rPr>
              <w:t>室内</w:t>
            </w:r>
          </w:p>
        </w:tc>
        <w:tc>
          <w:tcPr>
            <w:tcW w:w="1380" w:type="dxa"/>
            <w:vAlign w:val="center"/>
          </w:tcPr>
          <w:p>
            <w:pPr>
              <w:widowControl/>
              <w:jc w:val="center"/>
              <w:rPr>
                <w:rFonts w:hint="eastAsia" w:ascii="仿宋" w:hAnsi="仿宋" w:eastAsia="仿宋" w:cs="仿宋"/>
                <w:b/>
                <w:sz w:val="24"/>
                <w:vertAlign w:val="baseline"/>
                <w:lang w:eastAsia="zh-CN"/>
              </w:rPr>
            </w:pPr>
          </w:p>
        </w:tc>
        <w:tc>
          <w:tcPr>
            <w:tcW w:w="1005" w:type="dxa"/>
          </w:tcPr>
          <w:p>
            <w:pPr>
              <w:pStyle w:val="2"/>
              <w:rPr>
                <w:rFonts w:hint="eastAsia" w:ascii="仿宋" w:hAnsi="仿宋" w:eastAsia="仿宋" w:cs="仿宋"/>
                <w:b/>
                <w:sz w:val="24"/>
                <w:vertAlign w:val="baseline"/>
                <w:lang w:eastAsia="zh-CN"/>
              </w:rPr>
            </w:pPr>
          </w:p>
        </w:tc>
        <w:tc>
          <w:tcPr>
            <w:tcW w:w="795" w:type="dxa"/>
          </w:tcPr>
          <w:p>
            <w:pPr>
              <w:pStyle w:val="2"/>
              <w:rPr>
                <w:rFonts w:hint="eastAsia" w:ascii="仿宋" w:hAnsi="仿宋" w:eastAsia="仿宋" w:cs="仿宋"/>
                <w:b/>
                <w:sz w:val="24"/>
                <w:vertAlign w:val="baseline"/>
                <w:lang w:eastAsia="zh-CN"/>
              </w:rPr>
            </w:pPr>
          </w:p>
        </w:tc>
        <w:tc>
          <w:tcPr>
            <w:tcW w:w="840" w:type="dxa"/>
          </w:tcPr>
          <w:p>
            <w:pPr>
              <w:pStyle w:val="2"/>
              <w:rPr>
                <w:rFonts w:hint="eastAsia" w:ascii="仿宋" w:hAnsi="仿宋" w:eastAsia="仿宋" w:cs="仿宋"/>
                <w:b/>
                <w:sz w:val="24"/>
                <w:vertAlign w:val="baseline"/>
                <w:lang w:eastAsia="zh-CN"/>
              </w:rPr>
            </w:pPr>
          </w:p>
        </w:tc>
        <w:tc>
          <w:tcPr>
            <w:tcW w:w="983" w:type="dxa"/>
          </w:tcPr>
          <w:p>
            <w:pPr>
              <w:pStyle w:val="2"/>
              <w:rPr>
                <w:rFonts w:hint="eastAsia" w:ascii="仿宋" w:hAnsi="仿宋" w:eastAsia="仿宋" w:cs="仿宋"/>
                <w:b/>
                <w:sz w:val="24"/>
                <w:vertAlign w:val="baseline"/>
                <w:lang w:eastAsia="zh-CN"/>
              </w:rPr>
            </w:pPr>
          </w:p>
        </w:tc>
        <w:tc>
          <w:tcPr>
            <w:tcW w:w="802" w:type="dxa"/>
          </w:tcPr>
          <w:p>
            <w:pPr>
              <w:pStyle w:val="2"/>
              <w:rPr>
                <w:rFonts w:hint="eastAsia" w:ascii="仿宋" w:hAnsi="仿宋" w:eastAsia="仿宋" w:cs="仿宋"/>
                <w:b/>
                <w:sz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widowControl/>
              <w:jc w:val="center"/>
              <w:rPr>
                <w:rFonts w:hint="eastAsia" w:ascii="仿宋" w:hAnsi="仿宋" w:eastAsia="仿宋" w:cs="仿宋"/>
                <w:b/>
                <w:sz w:val="24"/>
                <w:vertAlign w:val="baseline"/>
                <w:lang w:eastAsia="zh-CN"/>
              </w:rPr>
            </w:pPr>
            <w:r>
              <w:rPr>
                <w:rFonts w:hint="eastAsia" w:ascii="仿宋" w:hAnsi="仿宋" w:eastAsia="仿宋" w:cs="仿宋"/>
                <w:color w:val="auto"/>
                <w:kern w:val="0"/>
                <w:sz w:val="22"/>
                <w:szCs w:val="22"/>
                <w:highlight w:val="none"/>
                <w:lang w:bidi="ar"/>
              </w:rPr>
              <w:t>7</w:t>
            </w:r>
          </w:p>
        </w:tc>
        <w:tc>
          <w:tcPr>
            <w:tcW w:w="2115" w:type="dxa"/>
            <w:vAlign w:val="center"/>
          </w:tcPr>
          <w:p>
            <w:pPr>
              <w:widowControl/>
              <w:jc w:val="center"/>
              <w:rPr>
                <w:rFonts w:hint="eastAsia" w:ascii="仿宋" w:hAnsi="仿宋" w:eastAsia="仿宋" w:cs="仿宋"/>
                <w:b/>
                <w:sz w:val="24"/>
                <w:vertAlign w:val="baseline"/>
                <w:lang w:eastAsia="zh-CN"/>
              </w:rPr>
            </w:pPr>
            <w:r>
              <w:rPr>
                <w:rFonts w:hint="eastAsia" w:ascii="仿宋" w:hAnsi="仿宋" w:eastAsia="仿宋" w:cs="仿宋"/>
                <w:color w:val="auto"/>
                <w:kern w:val="0"/>
                <w:sz w:val="22"/>
                <w:szCs w:val="22"/>
                <w:highlight w:val="none"/>
                <w:lang w:bidi="ar"/>
              </w:rPr>
              <w:t>红火蚁、白蚁</w:t>
            </w:r>
          </w:p>
        </w:tc>
        <w:tc>
          <w:tcPr>
            <w:tcW w:w="1590" w:type="dxa"/>
            <w:vAlign w:val="center"/>
          </w:tcPr>
          <w:p>
            <w:pPr>
              <w:widowControl/>
              <w:jc w:val="center"/>
              <w:rPr>
                <w:rFonts w:hint="eastAsia" w:ascii="仿宋" w:hAnsi="仿宋" w:eastAsia="仿宋" w:cs="仿宋"/>
                <w:b/>
                <w:sz w:val="24"/>
                <w:vertAlign w:val="baseline"/>
                <w:lang w:eastAsia="zh-CN"/>
              </w:rPr>
            </w:pPr>
            <w:r>
              <w:rPr>
                <w:rFonts w:hint="eastAsia" w:ascii="仿宋" w:hAnsi="仿宋" w:eastAsia="仿宋" w:cs="仿宋"/>
                <w:color w:val="auto"/>
                <w:kern w:val="0"/>
                <w:sz w:val="22"/>
                <w:szCs w:val="22"/>
                <w:highlight w:val="none"/>
                <w:lang w:bidi="ar"/>
              </w:rPr>
              <w:t>室外</w:t>
            </w:r>
          </w:p>
        </w:tc>
        <w:tc>
          <w:tcPr>
            <w:tcW w:w="1380" w:type="dxa"/>
            <w:vAlign w:val="center"/>
          </w:tcPr>
          <w:p>
            <w:pPr>
              <w:widowControl/>
              <w:jc w:val="center"/>
              <w:rPr>
                <w:rFonts w:hint="eastAsia" w:ascii="仿宋" w:hAnsi="仿宋" w:eastAsia="仿宋" w:cs="仿宋"/>
                <w:b/>
                <w:sz w:val="24"/>
                <w:vertAlign w:val="baseline"/>
                <w:lang w:eastAsia="zh-CN"/>
              </w:rPr>
            </w:pPr>
          </w:p>
        </w:tc>
        <w:tc>
          <w:tcPr>
            <w:tcW w:w="1005" w:type="dxa"/>
          </w:tcPr>
          <w:p>
            <w:pPr>
              <w:pStyle w:val="2"/>
              <w:rPr>
                <w:rFonts w:hint="eastAsia" w:ascii="仿宋" w:hAnsi="仿宋" w:eastAsia="仿宋" w:cs="仿宋"/>
                <w:b/>
                <w:sz w:val="24"/>
                <w:vertAlign w:val="baseline"/>
                <w:lang w:eastAsia="zh-CN"/>
              </w:rPr>
            </w:pPr>
          </w:p>
        </w:tc>
        <w:tc>
          <w:tcPr>
            <w:tcW w:w="795" w:type="dxa"/>
          </w:tcPr>
          <w:p>
            <w:pPr>
              <w:pStyle w:val="2"/>
              <w:rPr>
                <w:rFonts w:hint="eastAsia" w:ascii="仿宋" w:hAnsi="仿宋" w:eastAsia="仿宋" w:cs="仿宋"/>
                <w:b/>
                <w:sz w:val="24"/>
                <w:vertAlign w:val="baseline"/>
                <w:lang w:eastAsia="zh-CN"/>
              </w:rPr>
            </w:pPr>
          </w:p>
        </w:tc>
        <w:tc>
          <w:tcPr>
            <w:tcW w:w="840" w:type="dxa"/>
          </w:tcPr>
          <w:p>
            <w:pPr>
              <w:pStyle w:val="2"/>
              <w:rPr>
                <w:rFonts w:hint="eastAsia" w:ascii="仿宋" w:hAnsi="仿宋" w:eastAsia="仿宋" w:cs="仿宋"/>
                <w:b/>
                <w:sz w:val="24"/>
                <w:vertAlign w:val="baseline"/>
                <w:lang w:eastAsia="zh-CN"/>
              </w:rPr>
            </w:pPr>
          </w:p>
        </w:tc>
        <w:tc>
          <w:tcPr>
            <w:tcW w:w="983" w:type="dxa"/>
          </w:tcPr>
          <w:p>
            <w:pPr>
              <w:pStyle w:val="2"/>
              <w:rPr>
                <w:rFonts w:hint="eastAsia" w:ascii="仿宋" w:hAnsi="仿宋" w:eastAsia="仿宋" w:cs="仿宋"/>
                <w:b/>
                <w:sz w:val="24"/>
                <w:vertAlign w:val="baseline"/>
                <w:lang w:eastAsia="zh-CN"/>
              </w:rPr>
            </w:pPr>
          </w:p>
        </w:tc>
        <w:tc>
          <w:tcPr>
            <w:tcW w:w="802" w:type="dxa"/>
          </w:tcPr>
          <w:p>
            <w:pPr>
              <w:pStyle w:val="2"/>
              <w:rPr>
                <w:rFonts w:hint="eastAsia" w:ascii="仿宋" w:hAnsi="仿宋" w:eastAsia="仿宋" w:cs="仿宋"/>
                <w:b/>
                <w:sz w:val="24"/>
                <w:vertAlign w:val="baseline"/>
                <w:lang w:eastAsia="zh-CN"/>
              </w:rPr>
            </w:pPr>
          </w:p>
        </w:tc>
      </w:tr>
    </w:tbl>
    <w:p>
      <w:pPr>
        <w:pStyle w:val="3"/>
        <w:ind w:left="0" w:leftChars="0" w:firstLine="0" w:firstLineChars="0"/>
        <w:rPr>
          <w:rFonts w:hint="eastAsia" w:ascii="仿宋" w:hAnsi="仿宋" w:eastAsia="仿宋" w:cs="仿宋"/>
          <w:b/>
          <w:sz w:val="24"/>
          <w:lang w:eastAsia="zh-CN"/>
        </w:rPr>
      </w:pPr>
      <w:r>
        <w:rPr>
          <w:rFonts w:hint="eastAsia" w:ascii="仿宋" w:hAnsi="仿宋" w:eastAsia="仿宋" w:cs="仿宋"/>
          <w:i w:val="0"/>
          <w:iCs w:val="0"/>
          <w:color w:val="000000"/>
          <w:kern w:val="0"/>
          <w:sz w:val="24"/>
          <w:szCs w:val="24"/>
          <w:u w:val="none"/>
          <w:lang w:val="en-US" w:eastAsia="zh-CN" w:bidi="ar"/>
        </w:rPr>
        <w:t>说明:供应商填写本表后，成交后须按照本方案表执行，否则视同违约。</w:t>
      </w:r>
    </w:p>
    <w:p>
      <w:pPr>
        <w:numPr>
          <w:ilvl w:val="0"/>
          <w:numId w:val="0"/>
        </w:numPr>
        <w:spacing w:line="420" w:lineRule="exact"/>
        <w:ind w:firstLine="480" w:firstLineChars="200"/>
        <w:jc w:val="left"/>
        <w:rPr>
          <w:rFonts w:hint="eastAsia" w:ascii="仿宋" w:hAnsi="仿宋" w:eastAsia="仿宋" w:cs="仿宋"/>
          <w:color w:val="000000"/>
          <w:sz w:val="24"/>
          <w:szCs w:val="24"/>
          <w:lang w:bidi="ar"/>
        </w:rPr>
      </w:pPr>
      <w:r>
        <w:rPr>
          <w:rFonts w:hint="eastAsia" w:ascii="仿宋" w:hAnsi="仿宋" w:eastAsia="仿宋" w:cs="仿宋"/>
          <w:color w:val="000000"/>
          <w:sz w:val="24"/>
          <w:szCs w:val="24"/>
          <w:lang w:eastAsia="zh-CN" w:bidi="ar"/>
        </w:rPr>
        <w:t>五</w:t>
      </w:r>
      <w:r>
        <w:rPr>
          <w:rFonts w:hint="eastAsia" w:ascii="仿宋" w:hAnsi="仿宋" w:eastAsia="仿宋" w:cs="仿宋"/>
          <w:color w:val="000000"/>
          <w:sz w:val="24"/>
          <w:szCs w:val="24"/>
          <w:lang w:bidi="ar"/>
        </w:rPr>
        <w:t>、采购项目商务要求</w:t>
      </w:r>
    </w:p>
    <w:p>
      <w:pPr>
        <w:numPr>
          <w:ilvl w:val="0"/>
          <w:numId w:val="0"/>
        </w:numPr>
        <w:spacing w:line="420" w:lineRule="exact"/>
        <w:ind w:firstLine="240" w:firstLineChars="100"/>
        <w:jc w:val="left"/>
        <w:rPr>
          <w:rFonts w:hint="eastAsia" w:ascii="仿宋" w:hAnsi="仿宋" w:eastAsia="仿宋" w:cs="仿宋"/>
          <w:color w:val="000000"/>
          <w:sz w:val="24"/>
          <w:szCs w:val="24"/>
          <w:lang w:eastAsia="zh-CN" w:bidi="ar"/>
        </w:rPr>
      </w:pPr>
      <w:r>
        <w:rPr>
          <w:rFonts w:hint="eastAsia" w:ascii="仿宋" w:hAnsi="仿宋" w:eastAsia="仿宋" w:cs="仿宋"/>
          <w:color w:val="000000"/>
          <w:sz w:val="24"/>
          <w:szCs w:val="24"/>
          <w:lang w:bidi="ar"/>
        </w:rPr>
        <w:t>★1、服务周期：</w:t>
      </w:r>
      <w:r>
        <w:rPr>
          <w:rFonts w:hint="eastAsia" w:ascii="仿宋" w:hAnsi="仿宋" w:eastAsia="仿宋" w:cs="仿宋"/>
          <w:color w:val="000000"/>
          <w:sz w:val="24"/>
          <w:szCs w:val="24"/>
          <w:lang w:val="en-US" w:eastAsia="zh-CN" w:bidi="ar"/>
        </w:rPr>
        <w:t>3</w:t>
      </w:r>
      <w:r>
        <w:rPr>
          <w:rFonts w:hint="eastAsia" w:ascii="仿宋" w:hAnsi="仿宋" w:eastAsia="仿宋" w:cs="仿宋"/>
          <w:color w:val="000000"/>
          <w:sz w:val="24"/>
          <w:szCs w:val="24"/>
          <w:lang w:bidi="ar"/>
        </w:rPr>
        <w:t>年，服务周期内合同总价包干。</w:t>
      </w:r>
      <w:r>
        <w:rPr>
          <w:rFonts w:hint="eastAsia" w:ascii="仿宋" w:hAnsi="仿宋" w:eastAsia="仿宋" w:cs="仿宋"/>
          <w:color w:val="000000"/>
          <w:sz w:val="24"/>
          <w:szCs w:val="24"/>
          <w:lang w:eastAsia="zh-CN" w:bidi="ar"/>
        </w:rPr>
        <w:t>按合同</w:t>
      </w:r>
      <w:r>
        <w:rPr>
          <w:rFonts w:hint="eastAsia" w:ascii="仿宋" w:hAnsi="仿宋" w:eastAsia="仿宋" w:cs="仿宋"/>
          <w:color w:val="000000"/>
          <w:sz w:val="24"/>
          <w:szCs w:val="24"/>
          <w:lang w:bidi="ar"/>
        </w:rPr>
        <w:t>考核不合格者医院有权终止合同</w:t>
      </w:r>
      <w:r>
        <w:rPr>
          <w:rFonts w:hint="eastAsia" w:ascii="仿宋" w:hAnsi="仿宋" w:eastAsia="仿宋" w:cs="仿宋"/>
          <w:color w:val="000000"/>
          <w:sz w:val="24"/>
          <w:szCs w:val="24"/>
          <w:lang w:eastAsia="zh-CN" w:bidi="ar"/>
        </w:rPr>
        <w:t>。</w:t>
      </w:r>
    </w:p>
    <w:p>
      <w:pPr>
        <w:numPr>
          <w:ilvl w:val="0"/>
          <w:numId w:val="0"/>
        </w:numPr>
        <w:spacing w:line="420" w:lineRule="exact"/>
        <w:ind w:firstLine="480" w:firstLineChars="200"/>
        <w:jc w:val="left"/>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2、经验要求：供货方负责技术支持，费用均已涵盖在投报价格中。</w:t>
      </w:r>
    </w:p>
    <w:p>
      <w:pPr>
        <w:numPr>
          <w:ilvl w:val="0"/>
          <w:numId w:val="0"/>
        </w:numPr>
        <w:spacing w:line="420" w:lineRule="exact"/>
        <w:ind w:firstLine="240" w:firstLineChars="100"/>
        <w:jc w:val="left"/>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w:t>
      </w:r>
      <w:r>
        <w:rPr>
          <w:rFonts w:hint="eastAsia" w:ascii="仿宋" w:hAnsi="仿宋" w:eastAsia="仿宋" w:cs="仿宋"/>
          <w:color w:val="000000"/>
          <w:sz w:val="24"/>
          <w:szCs w:val="24"/>
          <w:lang w:val="en-US" w:eastAsia="zh-CN" w:bidi="ar"/>
        </w:rPr>
        <w:t>3</w:t>
      </w:r>
      <w:r>
        <w:rPr>
          <w:rFonts w:hint="eastAsia" w:ascii="仿宋" w:hAnsi="仿宋" w:eastAsia="仿宋" w:cs="仿宋"/>
          <w:color w:val="000000"/>
          <w:sz w:val="24"/>
          <w:szCs w:val="24"/>
          <w:lang w:bidi="ar"/>
        </w:rPr>
        <w:t>、报价要求：报价为包含储存、运输和投放等所有项目相关费用等，报价方案唯一。</w:t>
      </w:r>
      <w:r>
        <w:rPr>
          <w:rFonts w:hint="eastAsia" w:ascii="仿宋" w:hAnsi="仿宋" w:eastAsia="仿宋" w:cs="仿宋"/>
          <w:color w:val="000000"/>
          <w:sz w:val="24"/>
          <w:szCs w:val="24"/>
          <w:lang w:eastAsia="zh-CN" w:bidi="ar"/>
        </w:rPr>
        <w:t>响应</w:t>
      </w:r>
      <w:r>
        <w:rPr>
          <w:rFonts w:hint="eastAsia" w:ascii="仿宋" w:hAnsi="仿宋" w:eastAsia="仿宋" w:cs="仿宋"/>
          <w:color w:val="000000"/>
          <w:sz w:val="24"/>
          <w:szCs w:val="24"/>
          <w:lang w:bidi="ar"/>
        </w:rPr>
        <w:t>报价均不得高于</w:t>
      </w:r>
      <w:r>
        <w:rPr>
          <w:rFonts w:hint="eastAsia" w:ascii="仿宋" w:hAnsi="仿宋" w:eastAsia="仿宋" w:cs="仿宋"/>
          <w:color w:val="000000"/>
          <w:sz w:val="24"/>
          <w:szCs w:val="24"/>
          <w:lang w:eastAsia="zh-CN" w:bidi="ar"/>
        </w:rPr>
        <w:t>项目</w:t>
      </w:r>
      <w:r>
        <w:rPr>
          <w:rFonts w:hint="eastAsia" w:ascii="仿宋" w:hAnsi="仿宋" w:eastAsia="仿宋" w:cs="仿宋"/>
          <w:color w:val="000000"/>
          <w:sz w:val="24"/>
          <w:szCs w:val="24"/>
          <w:lang w:bidi="ar"/>
        </w:rPr>
        <w:t>预算价格，</w:t>
      </w:r>
      <w:r>
        <w:rPr>
          <w:rFonts w:hint="eastAsia" w:ascii="仿宋" w:hAnsi="仿宋" w:eastAsia="仿宋" w:cs="仿宋"/>
          <w:color w:val="000000"/>
          <w:sz w:val="24"/>
          <w:szCs w:val="24"/>
          <w:lang w:eastAsia="zh-CN" w:bidi="ar"/>
        </w:rPr>
        <w:t>响应</w:t>
      </w:r>
      <w:r>
        <w:rPr>
          <w:rFonts w:hint="eastAsia" w:ascii="仿宋" w:hAnsi="仿宋" w:eastAsia="仿宋" w:cs="仿宋"/>
          <w:color w:val="000000"/>
          <w:sz w:val="24"/>
          <w:szCs w:val="24"/>
          <w:lang w:bidi="ar"/>
        </w:rPr>
        <w:t>报价高于</w:t>
      </w:r>
      <w:r>
        <w:rPr>
          <w:rFonts w:hint="eastAsia" w:ascii="仿宋" w:hAnsi="仿宋" w:eastAsia="仿宋" w:cs="仿宋"/>
          <w:color w:val="000000"/>
          <w:sz w:val="24"/>
          <w:szCs w:val="24"/>
          <w:lang w:eastAsia="zh-CN" w:bidi="ar"/>
        </w:rPr>
        <w:t>项目</w:t>
      </w:r>
      <w:r>
        <w:rPr>
          <w:rFonts w:hint="eastAsia" w:ascii="仿宋" w:hAnsi="仿宋" w:eastAsia="仿宋" w:cs="仿宋"/>
          <w:color w:val="000000"/>
          <w:sz w:val="24"/>
          <w:szCs w:val="24"/>
          <w:lang w:bidi="ar"/>
        </w:rPr>
        <w:t>预算价按</w:t>
      </w:r>
      <w:r>
        <w:rPr>
          <w:rFonts w:hint="eastAsia" w:ascii="仿宋" w:hAnsi="仿宋" w:eastAsia="仿宋" w:cs="仿宋"/>
          <w:color w:val="000000"/>
          <w:sz w:val="24"/>
          <w:szCs w:val="24"/>
          <w:lang w:eastAsia="zh-CN" w:bidi="ar"/>
        </w:rPr>
        <w:t>响应</w:t>
      </w:r>
      <w:r>
        <w:rPr>
          <w:rFonts w:hint="eastAsia" w:ascii="仿宋" w:hAnsi="仿宋" w:eastAsia="仿宋" w:cs="仿宋"/>
          <w:color w:val="000000"/>
          <w:sz w:val="24"/>
          <w:szCs w:val="24"/>
          <w:lang w:bidi="ar"/>
        </w:rPr>
        <w:t>无效处理。</w:t>
      </w:r>
    </w:p>
    <w:p>
      <w:pPr>
        <w:numPr>
          <w:ilvl w:val="0"/>
          <w:numId w:val="0"/>
        </w:numPr>
        <w:spacing w:line="420" w:lineRule="exact"/>
        <w:ind w:firstLine="480" w:firstLineChars="200"/>
        <w:jc w:val="left"/>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5、验收要求：按医院规定及</w:t>
      </w:r>
      <w:r>
        <w:rPr>
          <w:rFonts w:hint="eastAsia" w:ascii="仿宋" w:hAnsi="仿宋" w:eastAsia="仿宋" w:cs="仿宋"/>
          <w:color w:val="000000"/>
          <w:sz w:val="24"/>
          <w:szCs w:val="24"/>
          <w:lang w:eastAsia="zh-CN" w:bidi="ar"/>
        </w:rPr>
        <w:t>合同</w:t>
      </w:r>
      <w:r>
        <w:rPr>
          <w:rFonts w:hint="eastAsia" w:ascii="仿宋" w:hAnsi="仿宋" w:eastAsia="仿宋" w:cs="仿宋"/>
          <w:color w:val="000000"/>
          <w:sz w:val="24"/>
          <w:szCs w:val="24"/>
          <w:lang w:bidi="ar"/>
        </w:rPr>
        <w:t>要求事项进行验收。</w:t>
      </w:r>
    </w:p>
    <w:p>
      <w:pPr>
        <w:numPr>
          <w:ilvl w:val="0"/>
          <w:numId w:val="0"/>
        </w:numPr>
        <w:spacing w:line="420" w:lineRule="exact"/>
        <w:ind w:firstLine="480" w:firstLineChars="200"/>
        <w:jc w:val="left"/>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6、服务费及支付方式</w:t>
      </w:r>
    </w:p>
    <w:p>
      <w:pPr>
        <w:numPr>
          <w:ilvl w:val="0"/>
          <w:numId w:val="0"/>
        </w:numPr>
        <w:spacing w:line="420" w:lineRule="exact"/>
        <w:ind w:firstLine="480" w:firstLineChars="200"/>
        <w:jc w:val="left"/>
        <w:rPr>
          <w:rFonts w:hint="eastAsia" w:ascii="仿宋" w:hAnsi="仿宋" w:eastAsia="仿宋" w:cs="仿宋"/>
          <w:color w:val="000000"/>
          <w:sz w:val="24"/>
          <w:szCs w:val="24"/>
          <w:lang w:bidi="ar"/>
        </w:rPr>
      </w:pPr>
      <w:r>
        <w:rPr>
          <w:rFonts w:hint="eastAsia" w:ascii="仿宋" w:hAnsi="仿宋" w:eastAsia="仿宋" w:cs="仿宋"/>
          <w:color w:val="000000"/>
          <w:sz w:val="24"/>
          <w:szCs w:val="24"/>
          <w:lang w:val="en-US" w:eastAsia="zh-CN" w:bidi="ar"/>
        </w:rPr>
        <w:t>服务</w:t>
      </w:r>
      <w:r>
        <w:rPr>
          <w:rFonts w:hint="eastAsia" w:ascii="仿宋" w:hAnsi="仿宋" w:eastAsia="仿宋" w:cs="仿宋"/>
          <w:color w:val="000000"/>
          <w:sz w:val="24"/>
          <w:szCs w:val="24"/>
          <w:lang w:bidi="ar"/>
        </w:rPr>
        <w:t>费按季度支付，每服务满一个季度，</w:t>
      </w:r>
      <w:r>
        <w:rPr>
          <w:rFonts w:hint="eastAsia" w:ascii="仿宋" w:hAnsi="仿宋" w:eastAsia="仿宋" w:cs="仿宋"/>
          <w:color w:val="000000"/>
          <w:sz w:val="24"/>
          <w:szCs w:val="24"/>
          <w:lang w:eastAsia="zh-CN" w:bidi="ar"/>
        </w:rPr>
        <w:t>成交供应商</w:t>
      </w:r>
      <w:r>
        <w:rPr>
          <w:rFonts w:hint="eastAsia" w:ascii="仿宋" w:hAnsi="仿宋" w:eastAsia="仿宋" w:cs="仿宋"/>
          <w:color w:val="000000"/>
          <w:sz w:val="24"/>
          <w:szCs w:val="24"/>
          <w:lang w:bidi="ar"/>
        </w:rPr>
        <w:t>在次月的</w:t>
      </w:r>
      <w:r>
        <w:rPr>
          <w:rFonts w:hint="eastAsia" w:ascii="仿宋" w:hAnsi="仿宋" w:eastAsia="仿宋" w:cs="仿宋"/>
          <w:color w:val="000000"/>
          <w:sz w:val="24"/>
          <w:szCs w:val="24"/>
          <w:lang w:val="en-US" w:eastAsia="zh-CN" w:bidi="ar"/>
        </w:rPr>
        <w:t>10日</w:t>
      </w:r>
      <w:r>
        <w:rPr>
          <w:rFonts w:hint="eastAsia" w:ascii="仿宋" w:hAnsi="仿宋" w:eastAsia="仿宋" w:cs="仿宋"/>
          <w:color w:val="000000"/>
          <w:sz w:val="24"/>
          <w:szCs w:val="24"/>
          <w:lang w:bidi="ar"/>
        </w:rPr>
        <w:t>前向采购方提供收费发票</w:t>
      </w:r>
      <w:r>
        <w:rPr>
          <w:rFonts w:hint="eastAsia" w:ascii="仿宋" w:hAnsi="仿宋" w:eastAsia="仿宋" w:cs="仿宋"/>
          <w:color w:val="000000"/>
          <w:sz w:val="24"/>
          <w:szCs w:val="24"/>
          <w:lang w:val="en-US" w:eastAsia="zh-CN" w:bidi="ar"/>
        </w:rPr>
        <w:t>和服务确认表</w:t>
      </w:r>
      <w:r>
        <w:rPr>
          <w:rFonts w:hint="eastAsia" w:ascii="仿宋" w:hAnsi="仿宋" w:eastAsia="仿宋" w:cs="仿宋"/>
          <w:color w:val="000000"/>
          <w:sz w:val="24"/>
          <w:szCs w:val="24"/>
          <w:lang w:bidi="ar"/>
        </w:rPr>
        <w:t>，采购</w:t>
      </w:r>
      <w:r>
        <w:rPr>
          <w:rFonts w:hint="eastAsia" w:ascii="仿宋" w:hAnsi="仿宋" w:eastAsia="仿宋" w:cs="仿宋"/>
          <w:color w:val="000000"/>
          <w:sz w:val="24"/>
          <w:szCs w:val="24"/>
          <w:lang w:eastAsia="zh-CN" w:bidi="ar"/>
        </w:rPr>
        <w:t>人</w:t>
      </w:r>
      <w:r>
        <w:rPr>
          <w:rFonts w:hint="eastAsia" w:ascii="仿宋" w:hAnsi="仿宋" w:eastAsia="仿宋" w:cs="仿宋"/>
          <w:color w:val="000000"/>
          <w:sz w:val="24"/>
          <w:szCs w:val="24"/>
          <w:lang w:bidi="ar"/>
        </w:rPr>
        <w:t>在收到发票</w:t>
      </w:r>
      <w:r>
        <w:rPr>
          <w:rFonts w:hint="eastAsia" w:ascii="仿宋" w:hAnsi="仿宋" w:eastAsia="仿宋" w:cs="仿宋"/>
          <w:color w:val="000000"/>
          <w:sz w:val="24"/>
          <w:szCs w:val="24"/>
          <w:lang w:val="en-US" w:eastAsia="zh-CN" w:bidi="ar"/>
        </w:rPr>
        <w:t>和服务确认表</w:t>
      </w:r>
      <w:r>
        <w:rPr>
          <w:rFonts w:hint="eastAsia" w:ascii="仿宋" w:hAnsi="仿宋" w:eastAsia="仿宋" w:cs="仿宋"/>
          <w:color w:val="000000"/>
          <w:sz w:val="24"/>
          <w:szCs w:val="24"/>
          <w:lang w:bidi="ar"/>
        </w:rPr>
        <w:t>后30日内向</w:t>
      </w:r>
      <w:r>
        <w:rPr>
          <w:rFonts w:hint="eastAsia" w:ascii="仿宋" w:hAnsi="仿宋" w:eastAsia="仿宋" w:cs="仿宋"/>
          <w:color w:val="000000"/>
          <w:sz w:val="24"/>
          <w:szCs w:val="24"/>
          <w:lang w:eastAsia="zh-CN" w:bidi="ar"/>
        </w:rPr>
        <w:t>成交供应商</w:t>
      </w:r>
      <w:r>
        <w:rPr>
          <w:rFonts w:hint="eastAsia" w:ascii="仿宋" w:hAnsi="仿宋" w:eastAsia="仿宋" w:cs="仿宋"/>
          <w:color w:val="000000"/>
          <w:sz w:val="24"/>
          <w:szCs w:val="24"/>
          <w:lang w:bidi="ar"/>
        </w:rPr>
        <w:t>支付服务费。支付方式为银行转账支付。</w:t>
      </w:r>
    </w:p>
    <w:p>
      <w:pPr>
        <w:numPr>
          <w:ilvl w:val="0"/>
          <w:numId w:val="0"/>
        </w:numPr>
        <w:spacing w:line="420" w:lineRule="exact"/>
        <w:ind w:firstLine="480" w:firstLineChars="200"/>
        <w:jc w:val="left"/>
        <w:rPr>
          <w:rFonts w:hint="eastAsia" w:ascii="仿宋" w:hAnsi="仿宋" w:eastAsia="仿宋" w:cs="仿宋"/>
          <w:color w:val="000000"/>
          <w:sz w:val="24"/>
          <w:szCs w:val="24"/>
          <w:lang w:val="en-US" w:eastAsia="zh-CN" w:bidi="ar"/>
        </w:rPr>
      </w:pPr>
      <w:r>
        <w:rPr>
          <w:rFonts w:hint="eastAsia" w:ascii="仿宋" w:hAnsi="仿宋" w:eastAsia="仿宋" w:cs="仿宋"/>
          <w:color w:val="000000"/>
          <w:sz w:val="24"/>
          <w:szCs w:val="24"/>
          <w:lang w:val="en-US" w:eastAsia="zh-CN" w:bidi="ar"/>
        </w:rPr>
        <w:t>7、监管满意度考核：</w:t>
      </w:r>
    </w:p>
    <w:p>
      <w:pPr>
        <w:numPr>
          <w:ilvl w:val="0"/>
          <w:numId w:val="0"/>
        </w:numPr>
        <w:spacing w:line="420" w:lineRule="exact"/>
        <w:ind w:firstLine="480" w:firstLineChars="200"/>
        <w:jc w:val="left"/>
        <w:rPr>
          <w:rFonts w:hint="eastAsia" w:ascii="仿宋" w:hAnsi="仿宋" w:eastAsia="仿宋" w:cs="仿宋"/>
          <w:sz w:val="24"/>
          <w:szCs w:val="24"/>
          <w:lang w:eastAsia="zh-CN"/>
        </w:rPr>
      </w:pPr>
      <w:r>
        <w:rPr>
          <w:rFonts w:hint="eastAsia" w:ascii="仿宋" w:hAnsi="仿宋" w:eastAsia="仿宋" w:cs="仿宋"/>
          <w:color w:val="000000"/>
          <w:sz w:val="24"/>
          <w:szCs w:val="24"/>
          <w:lang w:val="en-US" w:eastAsia="zh-CN" w:bidi="ar"/>
        </w:rPr>
        <w:t>采购人按照比选文件、合同约定的服务标准及管理制度每季度对成交供应商的服务进行综合评价（满分100分），若评价结果得分低于标准分值的，按照合同约定进行处罚</w:t>
      </w:r>
      <w:r>
        <w:rPr>
          <w:rFonts w:hint="eastAsia" w:ascii="仿宋" w:hAnsi="仿宋" w:eastAsia="仿宋" w:cs="仿宋"/>
          <w:sz w:val="24"/>
          <w:szCs w:val="24"/>
          <w:lang w:eastAsia="zh-CN"/>
        </w:rPr>
        <w:t>。</w:t>
      </w:r>
    </w:p>
    <w:tbl>
      <w:tblPr>
        <w:tblStyle w:val="8"/>
        <w:tblW w:w="9268" w:type="dxa"/>
        <w:jc w:val="center"/>
        <w:tblLayout w:type="fixed"/>
        <w:tblCellMar>
          <w:top w:w="0" w:type="dxa"/>
          <w:left w:w="108" w:type="dxa"/>
          <w:bottom w:w="0" w:type="dxa"/>
          <w:right w:w="108" w:type="dxa"/>
        </w:tblCellMar>
      </w:tblPr>
      <w:tblGrid>
        <w:gridCol w:w="763"/>
        <w:gridCol w:w="1516"/>
        <w:gridCol w:w="752"/>
        <w:gridCol w:w="2976"/>
        <w:gridCol w:w="3261"/>
      </w:tblGrid>
      <w:tr>
        <w:tblPrEx>
          <w:tblCellMar>
            <w:top w:w="0" w:type="dxa"/>
            <w:left w:w="108" w:type="dxa"/>
            <w:bottom w:w="0" w:type="dxa"/>
            <w:right w:w="108" w:type="dxa"/>
          </w:tblCellMar>
        </w:tblPrEx>
        <w:trPr>
          <w:trHeight w:val="402" w:hRule="atLeast"/>
          <w:jc w:val="center"/>
        </w:trPr>
        <w:tc>
          <w:tcPr>
            <w:tcW w:w="76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sz w:val="24"/>
                <w:szCs w:val="24"/>
              </w:rPr>
            </w:pPr>
            <w:r>
              <w:rPr>
                <w:rFonts w:hint="eastAsia" w:ascii="仿宋" w:hAnsi="仿宋" w:eastAsia="仿宋" w:cs="仿宋"/>
                <w:sz w:val="24"/>
                <w:szCs w:val="24"/>
              </w:rPr>
              <w:t>项目</w:t>
            </w:r>
          </w:p>
        </w:tc>
        <w:tc>
          <w:tcPr>
            <w:tcW w:w="1516" w:type="dxa"/>
            <w:tcBorders>
              <w:top w:val="single" w:color="auto" w:sz="4" w:space="0"/>
              <w:left w:val="nil"/>
              <w:bottom w:val="single" w:color="auto" w:sz="4" w:space="0"/>
              <w:right w:val="single" w:color="auto" w:sz="4" w:space="0"/>
            </w:tcBorders>
            <w:noWrap/>
            <w:vAlign w:val="center"/>
          </w:tcPr>
          <w:p>
            <w:pPr>
              <w:widowControl/>
              <w:jc w:val="center"/>
              <w:rPr>
                <w:rFonts w:hint="eastAsia" w:ascii="仿宋" w:hAnsi="仿宋" w:eastAsia="仿宋" w:cs="仿宋"/>
                <w:sz w:val="24"/>
                <w:szCs w:val="24"/>
              </w:rPr>
            </w:pPr>
            <w:r>
              <w:rPr>
                <w:rFonts w:hint="eastAsia" w:ascii="仿宋" w:hAnsi="仿宋" w:eastAsia="仿宋" w:cs="仿宋"/>
                <w:sz w:val="24"/>
                <w:szCs w:val="24"/>
              </w:rPr>
              <w:t>指标（分值）</w:t>
            </w:r>
          </w:p>
        </w:tc>
        <w:tc>
          <w:tcPr>
            <w:tcW w:w="752" w:type="dxa"/>
            <w:tcBorders>
              <w:top w:val="single" w:color="auto" w:sz="4" w:space="0"/>
              <w:left w:val="nil"/>
              <w:bottom w:val="single" w:color="auto" w:sz="4" w:space="0"/>
              <w:right w:val="single" w:color="auto" w:sz="4" w:space="0"/>
            </w:tcBorders>
            <w:noWrap/>
            <w:vAlign w:val="center"/>
          </w:tcPr>
          <w:p>
            <w:pPr>
              <w:widowControl/>
              <w:jc w:val="center"/>
              <w:rPr>
                <w:rFonts w:hint="eastAsia" w:ascii="仿宋" w:hAnsi="仿宋" w:eastAsia="仿宋" w:cs="仿宋"/>
                <w:sz w:val="24"/>
                <w:szCs w:val="24"/>
              </w:rPr>
            </w:pPr>
            <w:r>
              <w:rPr>
                <w:rFonts w:hint="eastAsia" w:ascii="仿宋" w:hAnsi="仿宋" w:eastAsia="仿宋" w:cs="仿宋"/>
                <w:sz w:val="24"/>
                <w:szCs w:val="24"/>
              </w:rPr>
              <w:t>得分</w:t>
            </w:r>
          </w:p>
        </w:tc>
        <w:tc>
          <w:tcPr>
            <w:tcW w:w="2976" w:type="dxa"/>
            <w:tcBorders>
              <w:top w:val="single" w:color="auto" w:sz="4" w:space="0"/>
              <w:left w:val="nil"/>
              <w:bottom w:val="single" w:color="auto" w:sz="4" w:space="0"/>
              <w:right w:val="single" w:color="auto" w:sz="4" w:space="0"/>
            </w:tcBorders>
            <w:noWrap w:val="0"/>
            <w:vAlign w:val="top"/>
          </w:tcPr>
          <w:p>
            <w:pPr>
              <w:widowControl/>
              <w:jc w:val="center"/>
              <w:rPr>
                <w:rFonts w:hint="eastAsia" w:ascii="仿宋" w:hAnsi="仿宋" w:eastAsia="仿宋" w:cs="仿宋"/>
                <w:sz w:val="24"/>
                <w:szCs w:val="24"/>
              </w:rPr>
            </w:pPr>
            <w:r>
              <w:rPr>
                <w:rFonts w:hint="eastAsia" w:ascii="仿宋" w:hAnsi="仿宋" w:eastAsia="仿宋" w:cs="仿宋"/>
                <w:sz w:val="24"/>
                <w:szCs w:val="24"/>
              </w:rPr>
              <w:t>具体考评内容</w:t>
            </w:r>
          </w:p>
        </w:tc>
        <w:tc>
          <w:tcPr>
            <w:tcW w:w="3261" w:type="dxa"/>
            <w:tcBorders>
              <w:top w:val="single" w:color="auto" w:sz="4" w:space="0"/>
              <w:left w:val="nil"/>
              <w:bottom w:val="single" w:color="auto" w:sz="4" w:space="0"/>
              <w:right w:val="single" w:color="auto" w:sz="4" w:space="0"/>
            </w:tcBorders>
            <w:noWrap w:val="0"/>
            <w:vAlign w:val="top"/>
          </w:tcPr>
          <w:p>
            <w:pPr>
              <w:widowControl/>
              <w:jc w:val="center"/>
              <w:rPr>
                <w:rFonts w:hint="eastAsia" w:ascii="仿宋" w:hAnsi="仿宋" w:eastAsia="仿宋" w:cs="仿宋"/>
                <w:sz w:val="24"/>
                <w:szCs w:val="24"/>
              </w:rPr>
            </w:pPr>
            <w:r>
              <w:rPr>
                <w:rFonts w:hint="eastAsia" w:ascii="仿宋" w:hAnsi="仿宋" w:eastAsia="仿宋" w:cs="仿宋"/>
                <w:sz w:val="24"/>
                <w:szCs w:val="24"/>
              </w:rPr>
              <w:t>备注</w:t>
            </w:r>
          </w:p>
        </w:tc>
      </w:tr>
      <w:tr>
        <w:tblPrEx>
          <w:tblCellMar>
            <w:top w:w="0" w:type="dxa"/>
            <w:left w:w="108" w:type="dxa"/>
            <w:bottom w:w="0" w:type="dxa"/>
            <w:right w:w="108" w:type="dxa"/>
          </w:tblCellMar>
        </w:tblPrEx>
        <w:trPr>
          <w:trHeight w:val="402" w:hRule="atLeast"/>
          <w:jc w:val="center"/>
        </w:trPr>
        <w:tc>
          <w:tcPr>
            <w:tcW w:w="763" w:type="dxa"/>
            <w:vMerge w:val="restart"/>
            <w:tcBorders>
              <w:top w:val="nil"/>
              <w:left w:val="single" w:color="auto" w:sz="4" w:space="0"/>
              <w:bottom w:val="single" w:color="000000" w:sz="4" w:space="0"/>
              <w:right w:val="single" w:color="auto" w:sz="4" w:space="0"/>
            </w:tcBorders>
            <w:noWrap/>
            <w:vAlign w:val="center"/>
          </w:tcPr>
          <w:p>
            <w:pPr>
              <w:widowControl/>
              <w:jc w:val="center"/>
              <w:rPr>
                <w:rFonts w:hint="eastAsia" w:ascii="仿宋" w:hAnsi="仿宋" w:eastAsia="仿宋" w:cs="仿宋"/>
                <w:sz w:val="24"/>
                <w:szCs w:val="24"/>
              </w:rPr>
            </w:pPr>
            <w:r>
              <w:rPr>
                <w:rFonts w:hint="eastAsia" w:ascii="仿宋" w:hAnsi="仿宋" w:eastAsia="仿宋" w:cs="仿宋"/>
                <w:color w:val="000000"/>
                <w:sz w:val="24"/>
                <w:lang w:eastAsia="zh-CN"/>
              </w:rPr>
              <w:t>病媒生物防制服务</w:t>
            </w:r>
          </w:p>
        </w:tc>
        <w:tc>
          <w:tcPr>
            <w:tcW w:w="1516" w:type="dxa"/>
            <w:tcBorders>
              <w:top w:val="nil"/>
              <w:left w:val="nil"/>
              <w:bottom w:val="single" w:color="auto" w:sz="4" w:space="0"/>
              <w:right w:val="single" w:color="auto" w:sz="4" w:space="0"/>
            </w:tcBorders>
            <w:noWrap/>
            <w:vAlign w:val="center"/>
          </w:tcPr>
          <w:p>
            <w:pPr>
              <w:widowControl/>
              <w:jc w:val="left"/>
              <w:rPr>
                <w:rFonts w:hint="eastAsia" w:ascii="仿宋" w:hAnsi="仿宋" w:eastAsia="仿宋" w:cs="仿宋"/>
                <w:sz w:val="24"/>
                <w:szCs w:val="24"/>
              </w:rPr>
            </w:pPr>
            <w:r>
              <w:rPr>
                <w:rFonts w:hint="eastAsia" w:ascii="仿宋" w:hAnsi="仿宋" w:eastAsia="仿宋" w:cs="仿宋"/>
                <w:sz w:val="24"/>
                <w:szCs w:val="24"/>
              </w:rPr>
              <w:t>员工形象（10）</w:t>
            </w:r>
          </w:p>
        </w:tc>
        <w:tc>
          <w:tcPr>
            <w:tcW w:w="752" w:type="dxa"/>
            <w:tcBorders>
              <w:top w:val="nil"/>
              <w:left w:val="nil"/>
              <w:bottom w:val="single" w:color="auto" w:sz="4" w:space="0"/>
              <w:right w:val="single" w:color="auto" w:sz="4" w:space="0"/>
            </w:tcBorders>
            <w:noWrap/>
            <w:vAlign w:val="center"/>
          </w:tcPr>
          <w:p>
            <w:pPr>
              <w:widowControl/>
              <w:jc w:val="left"/>
              <w:rPr>
                <w:rFonts w:hint="eastAsia" w:ascii="仿宋" w:hAnsi="仿宋" w:eastAsia="仿宋" w:cs="仿宋"/>
                <w:sz w:val="24"/>
                <w:szCs w:val="24"/>
              </w:rPr>
            </w:pPr>
            <w:r>
              <w:rPr>
                <w:rFonts w:hint="eastAsia" w:ascii="仿宋" w:hAnsi="仿宋" w:eastAsia="仿宋" w:cs="仿宋"/>
                <w:sz w:val="24"/>
                <w:szCs w:val="24"/>
              </w:rPr>
              <w:t>　</w:t>
            </w:r>
          </w:p>
        </w:tc>
        <w:tc>
          <w:tcPr>
            <w:tcW w:w="2976" w:type="dxa"/>
            <w:tcBorders>
              <w:top w:val="nil"/>
              <w:left w:val="nil"/>
              <w:bottom w:val="single" w:color="auto" w:sz="4" w:space="0"/>
              <w:right w:val="single" w:color="auto" w:sz="4" w:space="0"/>
            </w:tcBorders>
            <w:noWrap w:val="0"/>
            <w:vAlign w:val="top"/>
          </w:tcPr>
          <w:p>
            <w:pPr>
              <w:widowControl/>
              <w:jc w:val="left"/>
              <w:rPr>
                <w:rFonts w:hint="eastAsia" w:ascii="仿宋" w:hAnsi="仿宋" w:eastAsia="仿宋" w:cs="仿宋"/>
                <w:sz w:val="24"/>
                <w:szCs w:val="24"/>
              </w:rPr>
            </w:pPr>
            <w:r>
              <w:rPr>
                <w:rFonts w:hint="eastAsia" w:ascii="仿宋" w:hAnsi="仿宋" w:eastAsia="仿宋" w:cs="仿宋"/>
                <w:sz w:val="24"/>
                <w:szCs w:val="24"/>
              </w:rPr>
              <w:t>工程人员着工作装，衣着整洁，带工牌</w:t>
            </w:r>
          </w:p>
        </w:tc>
        <w:tc>
          <w:tcPr>
            <w:tcW w:w="3261" w:type="dxa"/>
            <w:tcBorders>
              <w:top w:val="nil"/>
              <w:left w:val="nil"/>
              <w:bottom w:val="single" w:color="auto" w:sz="4" w:space="0"/>
              <w:right w:val="single" w:color="auto" w:sz="4" w:space="0"/>
            </w:tcBorders>
            <w:noWrap w:val="0"/>
            <w:vAlign w:val="top"/>
          </w:tcPr>
          <w:p>
            <w:pPr>
              <w:widowControl/>
              <w:jc w:val="left"/>
              <w:rPr>
                <w:rFonts w:hint="eastAsia" w:ascii="仿宋" w:hAnsi="仿宋" w:eastAsia="仿宋" w:cs="仿宋"/>
                <w:sz w:val="24"/>
                <w:szCs w:val="24"/>
              </w:rPr>
            </w:pPr>
            <w:r>
              <w:rPr>
                <w:rFonts w:hint="eastAsia" w:ascii="仿宋" w:hAnsi="仿宋" w:eastAsia="仿宋" w:cs="仿宋"/>
                <w:sz w:val="24"/>
                <w:szCs w:val="24"/>
              </w:rPr>
              <w:t>每发现一次员工形象未达到要求扣1分，扣完为止。</w:t>
            </w:r>
          </w:p>
        </w:tc>
      </w:tr>
      <w:tr>
        <w:tblPrEx>
          <w:tblCellMar>
            <w:top w:w="0" w:type="dxa"/>
            <w:left w:w="108" w:type="dxa"/>
            <w:bottom w:w="0" w:type="dxa"/>
            <w:right w:w="108" w:type="dxa"/>
          </w:tblCellMar>
        </w:tblPrEx>
        <w:trPr>
          <w:trHeight w:val="707" w:hRule="atLeast"/>
          <w:jc w:val="center"/>
        </w:trPr>
        <w:tc>
          <w:tcPr>
            <w:tcW w:w="76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sz w:val="24"/>
                <w:szCs w:val="24"/>
              </w:rPr>
            </w:pPr>
          </w:p>
        </w:tc>
        <w:tc>
          <w:tcPr>
            <w:tcW w:w="1516" w:type="dxa"/>
            <w:tcBorders>
              <w:top w:val="nil"/>
              <w:left w:val="nil"/>
              <w:bottom w:val="single" w:color="auto" w:sz="4" w:space="0"/>
              <w:right w:val="single" w:color="auto" w:sz="4" w:space="0"/>
            </w:tcBorders>
            <w:noWrap/>
            <w:vAlign w:val="center"/>
          </w:tcPr>
          <w:p>
            <w:pPr>
              <w:widowControl/>
              <w:jc w:val="left"/>
              <w:rPr>
                <w:rFonts w:hint="eastAsia" w:ascii="仿宋" w:hAnsi="仿宋" w:eastAsia="仿宋" w:cs="仿宋"/>
                <w:sz w:val="24"/>
                <w:szCs w:val="24"/>
              </w:rPr>
            </w:pPr>
            <w:r>
              <w:rPr>
                <w:rFonts w:hint="eastAsia" w:ascii="仿宋" w:hAnsi="仿宋" w:eastAsia="仿宋" w:cs="仿宋"/>
                <w:sz w:val="24"/>
                <w:szCs w:val="24"/>
              </w:rPr>
              <w:t>方案与总结报告（20）</w:t>
            </w:r>
          </w:p>
        </w:tc>
        <w:tc>
          <w:tcPr>
            <w:tcW w:w="752" w:type="dxa"/>
            <w:tcBorders>
              <w:top w:val="nil"/>
              <w:left w:val="nil"/>
              <w:bottom w:val="single" w:color="auto" w:sz="4" w:space="0"/>
              <w:right w:val="single" w:color="auto" w:sz="4" w:space="0"/>
            </w:tcBorders>
            <w:noWrap/>
            <w:vAlign w:val="center"/>
          </w:tcPr>
          <w:p>
            <w:pPr>
              <w:widowControl/>
              <w:jc w:val="left"/>
              <w:rPr>
                <w:rFonts w:hint="eastAsia" w:ascii="仿宋" w:hAnsi="仿宋" w:eastAsia="仿宋" w:cs="仿宋"/>
                <w:sz w:val="24"/>
                <w:szCs w:val="24"/>
              </w:rPr>
            </w:pPr>
          </w:p>
        </w:tc>
        <w:tc>
          <w:tcPr>
            <w:tcW w:w="2976" w:type="dxa"/>
            <w:tcBorders>
              <w:top w:val="nil"/>
              <w:left w:val="nil"/>
              <w:bottom w:val="single" w:color="auto" w:sz="4" w:space="0"/>
              <w:right w:val="single" w:color="auto" w:sz="4" w:space="0"/>
            </w:tcBorders>
            <w:noWrap w:val="0"/>
            <w:vAlign w:val="top"/>
          </w:tcPr>
          <w:p>
            <w:pPr>
              <w:widowControl/>
              <w:jc w:val="left"/>
              <w:rPr>
                <w:rFonts w:hint="eastAsia" w:ascii="仿宋" w:hAnsi="仿宋" w:eastAsia="仿宋" w:cs="仿宋"/>
                <w:sz w:val="24"/>
                <w:szCs w:val="24"/>
              </w:rPr>
            </w:pPr>
            <w:r>
              <w:rPr>
                <w:rFonts w:hint="eastAsia" w:ascii="仿宋" w:hAnsi="仿宋" w:eastAsia="仿宋" w:cs="仿宋"/>
                <w:sz w:val="24"/>
                <w:szCs w:val="24"/>
              </w:rPr>
              <w:t>1、每季度开展查清“四害”情况，测定密度活动范围的行动，为除“四害”提供较为准确的依据，并给出分析报告，内容包含目前医院“四害”状况及下一步的除“四害”方案。</w:t>
            </w:r>
          </w:p>
          <w:p>
            <w:pPr>
              <w:widowControl/>
              <w:jc w:val="left"/>
              <w:rPr>
                <w:rFonts w:hint="eastAsia" w:ascii="仿宋" w:hAnsi="仿宋" w:eastAsia="仿宋" w:cs="仿宋"/>
                <w:sz w:val="24"/>
                <w:szCs w:val="24"/>
              </w:rPr>
            </w:pPr>
            <w:r>
              <w:rPr>
                <w:rFonts w:hint="eastAsia" w:ascii="仿宋" w:hAnsi="仿宋" w:eastAsia="仿宋" w:cs="仿宋"/>
                <w:sz w:val="24"/>
                <w:szCs w:val="24"/>
              </w:rPr>
              <w:t>2、每季度给出书面的上一季度的工作情况报告（附工作照片）。</w:t>
            </w:r>
          </w:p>
          <w:p>
            <w:pPr>
              <w:widowControl/>
              <w:jc w:val="left"/>
              <w:rPr>
                <w:rFonts w:hint="eastAsia" w:ascii="仿宋" w:hAnsi="仿宋" w:eastAsia="仿宋" w:cs="仿宋"/>
                <w:sz w:val="24"/>
                <w:szCs w:val="24"/>
              </w:rPr>
            </w:pPr>
            <w:r>
              <w:rPr>
                <w:rFonts w:hint="eastAsia" w:ascii="仿宋" w:hAnsi="仿宋" w:eastAsia="仿宋" w:cs="仿宋"/>
                <w:sz w:val="24"/>
                <w:szCs w:val="24"/>
              </w:rPr>
              <w:t>3、工作方案完全有效落实。</w:t>
            </w:r>
          </w:p>
        </w:tc>
        <w:tc>
          <w:tcPr>
            <w:tcW w:w="3261" w:type="dxa"/>
            <w:tcBorders>
              <w:top w:val="nil"/>
              <w:left w:val="nil"/>
              <w:bottom w:val="single" w:color="auto" w:sz="4" w:space="0"/>
              <w:right w:val="single" w:color="auto" w:sz="4" w:space="0"/>
            </w:tcBorders>
            <w:noWrap w:val="0"/>
            <w:vAlign w:val="top"/>
          </w:tcPr>
          <w:p>
            <w:pPr>
              <w:widowControl/>
              <w:jc w:val="left"/>
              <w:rPr>
                <w:rFonts w:hint="eastAsia" w:ascii="仿宋" w:hAnsi="仿宋" w:eastAsia="仿宋" w:cs="仿宋"/>
                <w:sz w:val="24"/>
                <w:szCs w:val="24"/>
              </w:rPr>
            </w:pPr>
            <w:r>
              <w:rPr>
                <w:rFonts w:hint="eastAsia" w:ascii="仿宋" w:hAnsi="仿宋" w:eastAsia="仿宋" w:cs="仿宋"/>
                <w:sz w:val="24"/>
                <w:szCs w:val="24"/>
              </w:rPr>
              <w:t>缺少分析报告扣5分，扣完为止；</w:t>
            </w:r>
          </w:p>
          <w:p>
            <w:pPr>
              <w:widowControl/>
              <w:jc w:val="left"/>
              <w:rPr>
                <w:rFonts w:hint="eastAsia" w:ascii="仿宋" w:hAnsi="仿宋" w:eastAsia="仿宋" w:cs="仿宋"/>
                <w:sz w:val="24"/>
                <w:szCs w:val="24"/>
              </w:rPr>
            </w:pPr>
            <w:r>
              <w:rPr>
                <w:rFonts w:hint="eastAsia" w:ascii="仿宋" w:hAnsi="仿宋" w:eastAsia="仿宋" w:cs="仿宋"/>
                <w:sz w:val="24"/>
                <w:szCs w:val="24"/>
              </w:rPr>
              <w:t>缺少工作情况报告扣5分，扣完为止；</w:t>
            </w:r>
          </w:p>
          <w:p>
            <w:pPr>
              <w:widowControl/>
              <w:jc w:val="left"/>
              <w:rPr>
                <w:rFonts w:hint="eastAsia" w:ascii="仿宋" w:hAnsi="仿宋" w:eastAsia="仿宋" w:cs="仿宋"/>
                <w:sz w:val="24"/>
                <w:szCs w:val="24"/>
              </w:rPr>
            </w:pPr>
            <w:r>
              <w:rPr>
                <w:rFonts w:hint="eastAsia" w:ascii="仿宋" w:hAnsi="仿宋" w:eastAsia="仿宋" w:cs="仿宋"/>
                <w:sz w:val="24"/>
                <w:szCs w:val="24"/>
              </w:rPr>
              <w:t>每发现1项工作未落实扣2分，扣完为止。</w:t>
            </w:r>
          </w:p>
        </w:tc>
      </w:tr>
      <w:tr>
        <w:tblPrEx>
          <w:tblCellMar>
            <w:top w:w="0" w:type="dxa"/>
            <w:left w:w="108" w:type="dxa"/>
            <w:bottom w:w="0" w:type="dxa"/>
            <w:right w:w="108" w:type="dxa"/>
          </w:tblCellMar>
        </w:tblPrEx>
        <w:trPr>
          <w:trHeight w:val="402" w:hRule="atLeast"/>
          <w:jc w:val="center"/>
        </w:trPr>
        <w:tc>
          <w:tcPr>
            <w:tcW w:w="76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sz w:val="24"/>
                <w:szCs w:val="24"/>
              </w:rPr>
            </w:pPr>
          </w:p>
        </w:tc>
        <w:tc>
          <w:tcPr>
            <w:tcW w:w="1516" w:type="dxa"/>
            <w:tcBorders>
              <w:top w:val="nil"/>
              <w:left w:val="nil"/>
              <w:bottom w:val="single" w:color="auto" w:sz="4" w:space="0"/>
              <w:right w:val="single" w:color="auto" w:sz="4" w:space="0"/>
            </w:tcBorders>
            <w:noWrap/>
            <w:vAlign w:val="center"/>
          </w:tcPr>
          <w:p>
            <w:pPr>
              <w:widowControl/>
              <w:jc w:val="left"/>
              <w:rPr>
                <w:rFonts w:hint="eastAsia" w:ascii="仿宋" w:hAnsi="仿宋" w:eastAsia="仿宋" w:cs="仿宋"/>
                <w:sz w:val="24"/>
                <w:szCs w:val="24"/>
              </w:rPr>
            </w:pPr>
            <w:r>
              <w:rPr>
                <w:rFonts w:hint="eastAsia" w:ascii="仿宋" w:hAnsi="仿宋" w:eastAsia="仿宋" w:cs="仿宋"/>
                <w:sz w:val="24"/>
                <w:szCs w:val="24"/>
              </w:rPr>
              <w:t>定期消杀（10）</w:t>
            </w:r>
          </w:p>
        </w:tc>
        <w:tc>
          <w:tcPr>
            <w:tcW w:w="752" w:type="dxa"/>
            <w:tcBorders>
              <w:top w:val="nil"/>
              <w:left w:val="nil"/>
              <w:bottom w:val="single" w:color="auto" w:sz="4" w:space="0"/>
              <w:right w:val="single" w:color="auto" w:sz="4" w:space="0"/>
            </w:tcBorders>
            <w:noWrap/>
            <w:vAlign w:val="center"/>
          </w:tcPr>
          <w:p>
            <w:pPr>
              <w:widowControl/>
              <w:jc w:val="left"/>
              <w:rPr>
                <w:rFonts w:hint="eastAsia" w:ascii="仿宋" w:hAnsi="仿宋" w:eastAsia="仿宋" w:cs="仿宋"/>
                <w:sz w:val="24"/>
                <w:szCs w:val="24"/>
              </w:rPr>
            </w:pPr>
            <w:r>
              <w:rPr>
                <w:rFonts w:hint="eastAsia" w:ascii="仿宋" w:hAnsi="仿宋" w:eastAsia="仿宋" w:cs="仿宋"/>
                <w:sz w:val="24"/>
                <w:szCs w:val="24"/>
              </w:rPr>
              <w:t>　</w:t>
            </w:r>
          </w:p>
        </w:tc>
        <w:tc>
          <w:tcPr>
            <w:tcW w:w="2976" w:type="dxa"/>
            <w:tcBorders>
              <w:top w:val="nil"/>
              <w:left w:val="nil"/>
              <w:bottom w:val="single" w:color="auto" w:sz="4" w:space="0"/>
              <w:right w:val="single" w:color="auto" w:sz="4" w:space="0"/>
            </w:tcBorders>
            <w:noWrap w:val="0"/>
            <w:vAlign w:val="top"/>
          </w:tcPr>
          <w:p>
            <w:pPr>
              <w:widowControl/>
              <w:jc w:val="left"/>
              <w:rPr>
                <w:rFonts w:hint="eastAsia" w:ascii="仿宋" w:hAnsi="仿宋" w:eastAsia="仿宋" w:cs="仿宋"/>
                <w:sz w:val="24"/>
                <w:szCs w:val="24"/>
              </w:rPr>
            </w:pPr>
            <w:r>
              <w:rPr>
                <w:rFonts w:hint="eastAsia" w:ascii="仿宋" w:hAnsi="仿宋" w:eastAsia="仿宋" w:cs="仿宋"/>
                <w:sz w:val="24"/>
                <w:szCs w:val="24"/>
              </w:rPr>
              <w:t>每月至少消杀或处理一次。</w:t>
            </w:r>
          </w:p>
        </w:tc>
        <w:tc>
          <w:tcPr>
            <w:tcW w:w="3261" w:type="dxa"/>
            <w:tcBorders>
              <w:top w:val="nil"/>
              <w:left w:val="nil"/>
              <w:bottom w:val="single" w:color="auto" w:sz="4" w:space="0"/>
              <w:right w:val="single" w:color="auto" w:sz="4" w:space="0"/>
            </w:tcBorders>
            <w:noWrap w:val="0"/>
            <w:vAlign w:val="top"/>
          </w:tcPr>
          <w:p>
            <w:pPr>
              <w:widowControl/>
              <w:jc w:val="left"/>
              <w:rPr>
                <w:rFonts w:hint="eastAsia" w:ascii="仿宋" w:hAnsi="仿宋" w:eastAsia="仿宋" w:cs="仿宋"/>
                <w:sz w:val="24"/>
                <w:szCs w:val="24"/>
              </w:rPr>
            </w:pPr>
            <w:r>
              <w:rPr>
                <w:rFonts w:hint="eastAsia" w:ascii="仿宋" w:hAnsi="仿宋" w:eastAsia="仿宋" w:cs="仿宋"/>
                <w:sz w:val="24"/>
                <w:szCs w:val="24"/>
              </w:rPr>
              <w:t>每发现1次未实施的扣10分，扣完为止。</w:t>
            </w:r>
          </w:p>
        </w:tc>
      </w:tr>
      <w:tr>
        <w:tblPrEx>
          <w:tblCellMar>
            <w:top w:w="0" w:type="dxa"/>
            <w:left w:w="108" w:type="dxa"/>
            <w:bottom w:w="0" w:type="dxa"/>
            <w:right w:w="108" w:type="dxa"/>
          </w:tblCellMar>
        </w:tblPrEx>
        <w:trPr>
          <w:trHeight w:val="402" w:hRule="atLeast"/>
          <w:jc w:val="center"/>
        </w:trPr>
        <w:tc>
          <w:tcPr>
            <w:tcW w:w="76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sz w:val="24"/>
                <w:szCs w:val="24"/>
              </w:rPr>
            </w:pPr>
          </w:p>
        </w:tc>
        <w:tc>
          <w:tcPr>
            <w:tcW w:w="1516" w:type="dxa"/>
            <w:tcBorders>
              <w:top w:val="nil"/>
              <w:left w:val="nil"/>
              <w:bottom w:val="single" w:color="auto" w:sz="4" w:space="0"/>
              <w:right w:val="single" w:color="auto" w:sz="4" w:space="0"/>
            </w:tcBorders>
            <w:noWrap/>
            <w:vAlign w:val="center"/>
          </w:tcPr>
          <w:p>
            <w:pPr>
              <w:widowControl/>
              <w:jc w:val="left"/>
              <w:rPr>
                <w:rFonts w:hint="eastAsia" w:ascii="仿宋" w:hAnsi="仿宋" w:eastAsia="仿宋" w:cs="仿宋"/>
                <w:sz w:val="24"/>
                <w:szCs w:val="24"/>
              </w:rPr>
            </w:pPr>
            <w:r>
              <w:rPr>
                <w:rFonts w:hint="eastAsia" w:ascii="仿宋" w:hAnsi="仿宋" w:eastAsia="仿宋" w:cs="仿宋"/>
                <w:sz w:val="24"/>
                <w:szCs w:val="24"/>
              </w:rPr>
              <w:t>使用药物（20）</w:t>
            </w:r>
          </w:p>
        </w:tc>
        <w:tc>
          <w:tcPr>
            <w:tcW w:w="752" w:type="dxa"/>
            <w:tcBorders>
              <w:top w:val="nil"/>
              <w:left w:val="nil"/>
              <w:bottom w:val="single" w:color="auto" w:sz="4" w:space="0"/>
              <w:right w:val="single" w:color="auto" w:sz="4" w:space="0"/>
            </w:tcBorders>
            <w:noWrap/>
            <w:vAlign w:val="center"/>
          </w:tcPr>
          <w:p>
            <w:pPr>
              <w:widowControl/>
              <w:jc w:val="left"/>
              <w:rPr>
                <w:rFonts w:hint="eastAsia" w:ascii="仿宋" w:hAnsi="仿宋" w:eastAsia="仿宋" w:cs="仿宋"/>
                <w:sz w:val="24"/>
                <w:szCs w:val="24"/>
              </w:rPr>
            </w:pPr>
            <w:r>
              <w:rPr>
                <w:rFonts w:hint="eastAsia" w:ascii="仿宋" w:hAnsi="仿宋" w:eastAsia="仿宋" w:cs="仿宋"/>
                <w:sz w:val="24"/>
                <w:szCs w:val="24"/>
              </w:rPr>
              <w:t>　</w:t>
            </w:r>
          </w:p>
        </w:tc>
        <w:tc>
          <w:tcPr>
            <w:tcW w:w="2976" w:type="dxa"/>
            <w:tcBorders>
              <w:top w:val="nil"/>
              <w:left w:val="nil"/>
              <w:bottom w:val="single" w:color="auto" w:sz="4" w:space="0"/>
              <w:right w:val="single" w:color="auto" w:sz="4" w:space="0"/>
            </w:tcBorders>
            <w:noWrap w:val="0"/>
            <w:vAlign w:val="top"/>
          </w:tcPr>
          <w:p>
            <w:pPr>
              <w:widowControl/>
              <w:jc w:val="left"/>
              <w:rPr>
                <w:rFonts w:hint="eastAsia" w:ascii="仿宋" w:hAnsi="仿宋" w:eastAsia="仿宋" w:cs="仿宋"/>
                <w:sz w:val="24"/>
                <w:szCs w:val="24"/>
              </w:rPr>
            </w:pPr>
            <w:r>
              <w:rPr>
                <w:rFonts w:hint="eastAsia" w:ascii="仿宋" w:hAnsi="仿宋" w:eastAsia="仿宋" w:cs="仿宋"/>
                <w:sz w:val="24"/>
                <w:szCs w:val="24"/>
              </w:rPr>
              <w:t>在开展除“四害”活动时不准使用国家禁用的药物。</w:t>
            </w:r>
          </w:p>
        </w:tc>
        <w:tc>
          <w:tcPr>
            <w:tcW w:w="3261" w:type="dxa"/>
            <w:tcBorders>
              <w:top w:val="nil"/>
              <w:left w:val="nil"/>
              <w:bottom w:val="single" w:color="auto" w:sz="4" w:space="0"/>
              <w:right w:val="single" w:color="auto" w:sz="4" w:space="0"/>
            </w:tcBorders>
            <w:noWrap w:val="0"/>
            <w:vAlign w:val="top"/>
          </w:tcPr>
          <w:p>
            <w:pPr>
              <w:widowControl/>
              <w:jc w:val="left"/>
              <w:rPr>
                <w:rFonts w:hint="eastAsia" w:ascii="仿宋" w:hAnsi="仿宋" w:eastAsia="仿宋" w:cs="仿宋"/>
                <w:sz w:val="24"/>
                <w:szCs w:val="24"/>
              </w:rPr>
            </w:pPr>
            <w:r>
              <w:rPr>
                <w:rFonts w:hint="eastAsia" w:ascii="仿宋" w:hAnsi="仿宋" w:eastAsia="仿宋" w:cs="仿宋"/>
                <w:sz w:val="24"/>
                <w:szCs w:val="24"/>
              </w:rPr>
              <w:t>每发现1次不符合扣2分，扣完为止。</w:t>
            </w:r>
          </w:p>
        </w:tc>
      </w:tr>
      <w:tr>
        <w:tblPrEx>
          <w:tblCellMar>
            <w:top w:w="0" w:type="dxa"/>
            <w:left w:w="108" w:type="dxa"/>
            <w:bottom w:w="0" w:type="dxa"/>
            <w:right w:w="108" w:type="dxa"/>
          </w:tblCellMar>
        </w:tblPrEx>
        <w:trPr>
          <w:trHeight w:val="402" w:hRule="atLeast"/>
          <w:jc w:val="center"/>
        </w:trPr>
        <w:tc>
          <w:tcPr>
            <w:tcW w:w="76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sz w:val="24"/>
                <w:szCs w:val="24"/>
              </w:rPr>
            </w:pPr>
          </w:p>
        </w:tc>
        <w:tc>
          <w:tcPr>
            <w:tcW w:w="1516" w:type="dxa"/>
            <w:tcBorders>
              <w:top w:val="nil"/>
              <w:left w:val="nil"/>
              <w:bottom w:val="single" w:color="auto" w:sz="4" w:space="0"/>
              <w:right w:val="single" w:color="auto" w:sz="4" w:space="0"/>
            </w:tcBorders>
            <w:noWrap/>
            <w:vAlign w:val="center"/>
          </w:tcPr>
          <w:p>
            <w:pPr>
              <w:widowControl/>
              <w:jc w:val="left"/>
              <w:rPr>
                <w:rFonts w:hint="eastAsia" w:ascii="仿宋" w:hAnsi="仿宋" w:eastAsia="仿宋" w:cs="仿宋"/>
                <w:sz w:val="24"/>
                <w:szCs w:val="24"/>
              </w:rPr>
            </w:pPr>
            <w:r>
              <w:rPr>
                <w:rFonts w:hint="eastAsia" w:ascii="仿宋" w:hAnsi="仿宋" w:eastAsia="仿宋" w:cs="仿宋"/>
                <w:sz w:val="24"/>
                <w:szCs w:val="24"/>
              </w:rPr>
              <w:t>消杀标准（40）</w:t>
            </w:r>
          </w:p>
        </w:tc>
        <w:tc>
          <w:tcPr>
            <w:tcW w:w="752" w:type="dxa"/>
            <w:tcBorders>
              <w:top w:val="nil"/>
              <w:left w:val="nil"/>
              <w:bottom w:val="single" w:color="auto" w:sz="4" w:space="0"/>
              <w:right w:val="single" w:color="auto" w:sz="4" w:space="0"/>
            </w:tcBorders>
            <w:noWrap/>
            <w:vAlign w:val="center"/>
          </w:tcPr>
          <w:p>
            <w:pPr>
              <w:widowControl/>
              <w:jc w:val="left"/>
              <w:rPr>
                <w:rFonts w:hint="eastAsia" w:ascii="仿宋" w:hAnsi="仿宋" w:eastAsia="仿宋" w:cs="仿宋"/>
                <w:sz w:val="24"/>
                <w:szCs w:val="24"/>
              </w:rPr>
            </w:pPr>
          </w:p>
        </w:tc>
        <w:tc>
          <w:tcPr>
            <w:tcW w:w="2976" w:type="dxa"/>
            <w:tcBorders>
              <w:top w:val="nil"/>
              <w:left w:val="nil"/>
              <w:bottom w:val="single" w:color="auto" w:sz="4" w:space="0"/>
              <w:right w:val="single" w:color="auto" w:sz="4" w:space="0"/>
            </w:tcBorders>
            <w:noWrap w:val="0"/>
            <w:vAlign w:val="top"/>
          </w:tcPr>
          <w:p>
            <w:pPr>
              <w:widowControl/>
              <w:jc w:val="left"/>
              <w:rPr>
                <w:rFonts w:hint="eastAsia" w:ascii="仿宋" w:hAnsi="仿宋" w:eastAsia="仿宋" w:cs="仿宋"/>
                <w:sz w:val="24"/>
                <w:szCs w:val="24"/>
              </w:rPr>
            </w:pPr>
            <w:r>
              <w:rPr>
                <w:rFonts w:hint="eastAsia" w:ascii="仿宋" w:hAnsi="仿宋" w:eastAsia="仿宋" w:cs="仿宋"/>
                <w:sz w:val="24"/>
                <w:szCs w:val="24"/>
              </w:rPr>
              <w:t>服务区域的除“四害”工作达到省、市规定标准，主要有：</w:t>
            </w:r>
          </w:p>
          <w:p>
            <w:pPr>
              <w:pStyle w:val="2"/>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灭鼠标准：</w:t>
            </w:r>
          </w:p>
          <w:p>
            <w:pPr>
              <w:pStyle w:val="2"/>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1、室内鼠迹阳性率小于或等于：5%。</w:t>
            </w:r>
          </w:p>
          <w:p>
            <w:pPr>
              <w:pStyle w:val="2"/>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2、室外鼠迹路径指数小于或等于：5。</w:t>
            </w:r>
          </w:p>
          <w:p>
            <w:pPr>
              <w:pStyle w:val="2"/>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灭蚊标准：</w:t>
            </w:r>
          </w:p>
          <w:p>
            <w:pPr>
              <w:pStyle w:val="2"/>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1、小积水密度：路径指数小于或等于0.8。</w:t>
            </w:r>
          </w:p>
          <w:p>
            <w:pPr>
              <w:pStyle w:val="2"/>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2、外环境密度：停落指数小于或等于1.5；</w:t>
            </w:r>
          </w:p>
          <w:p>
            <w:pPr>
              <w:pStyle w:val="2"/>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灭蝇标准：</w:t>
            </w:r>
          </w:p>
          <w:p>
            <w:pPr>
              <w:pStyle w:val="2"/>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室内成蝇密度：阳性率小于或等于9%，密度小于或等于3只/间；</w:t>
            </w:r>
          </w:p>
          <w:p>
            <w:pPr>
              <w:pStyle w:val="2"/>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室外孳生地：阳性率小于或等于5%；</w:t>
            </w:r>
          </w:p>
          <w:p>
            <w:pPr>
              <w:pStyle w:val="2"/>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蟑螂标准：</w:t>
            </w:r>
          </w:p>
          <w:p>
            <w:pPr>
              <w:pStyle w:val="2"/>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1、蜚蠊成若虫侵害率小于或等于5%，平均每间阳性间（处）成若虫数小蠊小于或等于10只，大蠊小于或等于5只。</w:t>
            </w:r>
          </w:p>
          <w:p>
            <w:pPr>
              <w:pStyle w:val="2"/>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2、卵鞘查获率：蜚蠊卵鞘查获率小于或等于3%，平均每间阳性间（处）卵鞘数小于或等于8只；</w:t>
            </w:r>
          </w:p>
          <w:p>
            <w:pPr>
              <w:pStyle w:val="2"/>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3、蟑迹查获率：蟑迹查获率小于或等于7%</w:t>
            </w:r>
          </w:p>
          <w:p>
            <w:pPr>
              <w:pStyle w:val="2"/>
              <w:rPr>
                <w:rFonts w:hint="eastAsia" w:ascii="仿宋" w:hAnsi="仿宋" w:eastAsia="仿宋" w:cs="仿宋"/>
                <w:sz w:val="24"/>
                <w:szCs w:val="24"/>
              </w:rPr>
            </w:pPr>
            <w:r>
              <w:rPr>
                <w:rFonts w:hint="eastAsia" w:ascii="仿宋" w:hAnsi="仿宋" w:eastAsia="仿宋" w:cs="仿宋"/>
                <w:kern w:val="2"/>
                <w:sz w:val="24"/>
                <w:szCs w:val="24"/>
                <w:lang w:val="en-US" w:eastAsia="zh-CN" w:bidi="ar-SA"/>
              </w:rPr>
              <w:t>白蚁防制标准：院区内发现白蚁活体窝点，或单处白蚁活体数量超过10只以上。</w:t>
            </w:r>
          </w:p>
        </w:tc>
        <w:tc>
          <w:tcPr>
            <w:tcW w:w="3261" w:type="dxa"/>
            <w:tcBorders>
              <w:top w:val="nil"/>
              <w:left w:val="nil"/>
              <w:bottom w:val="single" w:color="auto" w:sz="4" w:space="0"/>
              <w:right w:val="single" w:color="auto" w:sz="4" w:space="0"/>
            </w:tcBorders>
            <w:noWrap w:val="0"/>
            <w:vAlign w:val="top"/>
          </w:tcPr>
          <w:p>
            <w:pPr>
              <w:widowControl/>
              <w:jc w:val="left"/>
              <w:rPr>
                <w:rFonts w:hint="eastAsia" w:ascii="仿宋" w:hAnsi="仿宋" w:eastAsia="仿宋" w:cs="仿宋"/>
                <w:sz w:val="24"/>
                <w:szCs w:val="24"/>
              </w:rPr>
            </w:pPr>
            <w:r>
              <w:rPr>
                <w:rFonts w:hint="eastAsia" w:ascii="仿宋" w:hAnsi="仿宋" w:eastAsia="仿宋" w:cs="仿宋"/>
                <w:sz w:val="24"/>
                <w:szCs w:val="24"/>
              </w:rPr>
              <w:t>每发现一例不符合扣1分，扣完为止。</w:t>
            </w:r>
          </w:p>
        </w:tc>
      </w:tr>
      <w:tr>
        <w:tblPrEx>
          <w:tblCellMar>
            <w:top w:w="0" w:type="dxa"/>
            <w:left w:w="108" w:type="dxa"/>
            <w:bottom w:w="0" w:type="dxa"/>
            <w:right w:w="108" w:type="dxa"/>
          </w:tblCellMar>
        </w:tblPrEx>
        <w:trPr>
          <w:trHeight w:val="1155" w:hRule="atLeast"/>
          <w:jc w:val="center"/>
        </w:trPr>
        <w:tc>
          <w:tcPr>
            <w:tcW w:w="2279" w:type="dxa"/>
            <w:gridSpan w:val="2"/>
            <w:tcBorders>
              <w:top w:val="single" w:color="auto" w:sz="4" w:space="0"/>
              <w:left w:val="single" w:color="auto" w:sz="4" w:space="0"/>
              <w:bottom w:val="single" w:color="auto" w:sz="4" w:space="0"/>
              <w:right w:val="single" w:color="000000" w:sz="4" w:space="0"/>
            </w:tcBorders>
            <w:noWrap/>
            <w:vAlign w:val="center"/>
          </w:tcPr>
          <w:p>
            <w:pPr>
              <w:widowControl/>
              <w:jc w:val="center"/>
              <w:rPr>
                <w:rFonts w:hint="eastAsia" w:ascii="仿宋" w:hAnsi="仿宋" w:eastAsia="仿宋" w:cs="仿宋"/>
                <w:sz w:val="24"/>
                <w:szCs w:val="24"/>
              </w:rPr>
            </w:pPr>
            <w:r>
              <w:rPr>
                <w:rFonts w:hint="eastAsia" w:ascii="仿宋" w:hAnsi="仿宋" w:eastAsia="仿宋" w:cs="仿宋"/>
                <w:sz w:val="24"/>
                <w:szCs w:val="24"/>
              </w:rPr>
              <w:t>总计</w:t>
            </w:r>
          </w:p>
        </w:tc>
        <w:tc>
          <w:tcPr>
            <w:tcW w:w="752" w:type="dxa"/>
            <w:tcBorders>
              <w:top w:val="nil"/>
              <w:left w:val="nil"/>
              <w:bottom w:val="nil"/>
              <w:right w:val="single" w:color="auto" w:sz="4" w:space="0"/>
            </w:tcBorders>
            <w:noWrap/>
            <w:vAlign w:val="center"/>
          </w:tcPr>
          <w:p>
            <w:pPr>
              <w:widowControl/>
              <w:jc w:val="left"/>
              <w:rPr>
                <w:rFonts w:hint="eastAsia" w:ascii="仿宋" w:hAnsi="仿宋" w:eastAsia="仿宋" w:cs="仿宋"/>
                <w:sz w:val="24"/>
                <w:szCs w:val="24"/>
              </w:rPr>
            </w:pPr>
          </w:p>
        </w:tc>
        <w:tc>
          <w:tcPr>
            <w:tcW w:w="6237" w:type="dxa"/>
            <w:gridSpan w:val="2"/>
            <w:tcBorders>
              <w:top w:val="nil"/>
              <w:left w:val="nil"/>
              <w:bottom w:val="nil"/>
              <w:right w:val="single" w:color="auto" w:sz="4" w:space="0"/>
            </w:tcBorders>
            <w:noWrap w:val="0"/>
            <w:vAlign w:val="top"/>
          </w:tcPr>
          <w:p>
            <w:pPr>
              <w:widowControl/>
              <w:jc w:val="left"/>
              <w:rPr>
                <w:rFonts w:hint="eastAsia" w:ascii="仿宋" w:hAnsi="仿宋" w:eastAsia="仿宋" w:cs="仿宋"/>
                <w:sz w:val="24"/>
                <w:szCs w:val="24"/>
              </w:rPr>
            </w:pPr>
            <w:r>
              <w:rPr>
                <w:rFonts w:hint="eastAsia" w:ascii="仿宋" w:hAnsi="仿宋" w:eastAsia="仿宋" w:cs="仿宋"/>
                <w:sz w:val="24"/>
                <w:szCs w:val="24"/>
              </w:rPr>
              <w:t>每一单有效投诉视情节轻重扣分，至少扣1分</w:t>
            </w:r>
          </w:p>
        </w:tc>
      </w:tr>
      <w:tr>
        <w:tblPrEx>
          <w:tblCellMar>
            <w:top w:w="0" w:type="dxa"/>
            <w:left w:w="108" w:type="dxa"/>
            <w:bottom w:w="0" w:type="dxa"/>
            <w:right w:w="108" w:type="dxa"/>
          </w:tblCellMar>
        </w:tblPrEx>
        <w:trPr>
          <w:trHeight w:val="1155" w:hRule="atLeast"/>
          <w:jc w:val="center"/>
        </w:trPr>
        <w:tc>
          <w:tcPr>
            <w:tcW w:w="9268" w:type="dxa"/>
            <w:gridSpan w:val="5"/>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仿宋" w:hAnsi="仿宋" w:eastAsia="仿宋" w:cs="仿宋"/>
                <w:sz w:val="24"/>
                <w:szCs w:val="24"/>
              </w:rPr>
            </w:pPr>
            <w:r>
              <w:rPr>
                <w:rFonts w:hint="eastAsia" w:ascii="仿宋" w:hAnsi="仿宋" w:eastAsia="仿宋" w:cs="仿宋"/>
                <w:sz w:val="24"/>
                <w:szCs w:val="24"/>
              </w:rPr>
              <w:t>备注：</w:t>
            </w:r>
            <w:r>
              <w:rPr>
                <w:rFonts w:hint="eastAsia" w:ascii="仿宋" w:hAnsi="仿宋" w:eastAsia="仿宋" w:cs="仿宋"/>
                <w:sz w:val="24"/>
                <w:szCs w:val="24"/>
                <w:lang w:val="en-US" w:eastAsia="zh-CN"/>
              </w:rPr>
              <w:t>9</w:t>
            </w:r>
            <w:r>
              <w:rPr>
                <w:rFonts w:hint="eastAsia" w:ascii="仿宋" w:hAnsi="仿宋" w:eastAsia="仿宋" w:cs="仿宋"/>
                <w:sz w:val="24"/>
                <w:szCs w:val="24"/>
              </w:rPr>
              <w:t>0分为合格，多个科室计算平均分数，平均分每低于合格标准一分，扣除服务费</w:t>
            </w:r>
            <w:r>
              <w:rPr>
                <w:rFonts w:hint="eastAsia" w:ascii="仿宋" w:hAnsi="仿宋" w:eastAsia="仿宋" w:cs="仿宋"/>
                <w:sz w:val="24"/>
                <w:szCs w:val="24"/>
                <w:lang w:val="en-US" w:eastAsia="zh-CN"/>
              </w:rPr>
              <w:t>10</w:t>
            </w:r>
            <w:r>
              <w:rPr>
                <w:rFonts w:hint="eastAsia" w:ascii="仿宋" w:hAnsi="仿宋" w:eastAsia="仿宋" w:cs="仿宋"/>
                <w:sz w:val="24"/>
                <w:szCs w:val="24"/>
              </w:rPr>
              <w:t>0元。</w:t>
            </w:r>
          </w:p>
        </w:tc>
      </w:tr>
    </w:tbl>
    <w:p>
      <w:pPr>
        <w:spacing w:line="360" w:lineRule="auto"/>
        <w:ind w:firstLine="504" w:firstLineChars="210"/>
        <w:rPr>
          <w:rFonts w:hint="default" w:eastAsiaTheme="minorEastAsia"/>
          <w:lang w:val="en-US" w:eastAsia="zh-CN"/>
        </w:rPr>
      </w:pPr>
      <w:r>
        <w:rPr>
          <w:rFonts w:hint="eastAsia" w:ascii="仿宋" w:hAnsi="仿宋" w:eastAsia="仿宋" w:cs="仿宋"/>
          <w:sz w:val="24"/>
        </w:rPr>
        <w:t>填报</w:t>
      </w:r>
      <w:r>
        <w:rPr>
          <w:rFonts w:hint="eastAsia" w:ascii="仿宋" w:hAnsi="仿宋" w:eastAsia="仿宋" w:cs="仿宋"/>
          <w:sz w:val="24"/>
          <w:lang w:eastAsia="zh-CN"/>
        </w:rPr>
        <w:t>人</w:t>
      </w:r>
      <w:r>
        <w:rPr>
          <w:rFonts w:hint="eastAsia" w:ascii="仿宋" w:hAnsi="仿宋" w:eastAsia="仿宋" w:cs="仿宋"/>
          <w:sz w:val="24"/>
        </w:rPr>
        <w:t xml:space="preserve">：                                 </w:t>
      </w:r>
      <w:r>
        <w:rPr>
          <w:rFonts w:hint="eastAsia" w:ascii="仿宋" w:hAnsi="仿宋" w:eastAsia="仿宋" w:cs="仿宋"/>
          <w:sz w:val="24"/>
          <w:lang w:eastAsia="zh-CN"/>
        </w:rPr>
        <w:t>服务</w:t>
      </w:r>
      <w:r>
        <w:rPr>
          <w:rFonts w:hint="eastAsia" w:ascii="仿宋" w:hAnsi="仿宋" w:eastAsia="仿宋" w:cs="仿宋"/>
          <w:sz w:val="24"/>
        </w:rPr>
        <w:t>公司确认：</w:t>
      </w:r>
    </w:p>
    <w:p>
      <w:pPr>
        <w:spacing w:line="360" w:lineRule="auto"/>
        <w:ind w:firstLine="504" w:firstLineChars="210"/>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8</w:t>
      </w:r>
      <w:r>
        <w:rPr>
          <w:rFonts w:hint="eastAsia" w:ascii="仿宋" w:hAnsi="仿宋" w:eastAsia="仿宋" w:cs="仿宋"/>
          <w:sz w:val="24"/>
          <w:szCs w:val="24"/>
        </w:rPr>
        <w:t>、违约责任</w:t>
      </w:r>
    </w:p>
    <w:p>
      <w:pPr>
        <w:spacing w:line="360" w:lineRule="auto"/>
        <w:ind w:firstLine="504" w:firstLineChars="210"/>
        <w:rPr>
          <w:rFonts w:hint="eastAsia" w:ascii="仿宋" w:hAnsi="仿宋" w:eastAsia="仿宋" w:cs="仿宋"/>
          <w:sz w:val="24"/>
          <w:szCs w:val="24"/>
        </w:rPr>
      </w:pPr>
      <w:r>
        <w:rPr>
          <w:rFonts w:hint="eastAsia" w:ascii="仿宋" w:hAnsi="仿宋" w:eastAsia="仿宋" w:cs="仿宋"/>
          <w:sz w:val="24"/>
          <w:szCs w:val="24"/>
        </w:rPr>
        <w:t>成交供应商不能按照响应文件及合同要求履约的，采购人有权不向成交供应商付款，并保留对成交供应商为此造成的采购人损失赔偿的起诉权利；同时，成交供应商还应向采购人偿付相当于不能履约部分的百分之二十的违约金。</w:t>
      </w:r>
    </w:p>
    <w:p>
      <w:pPr>
        <w:spacing w:line="360" w:lineRule="auto"/>
        <w:ind w:firstLine="504" w:firstLineChars="210"/>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lang w:eastAsia="zh-CN"/>
        </w:rPr>
        <w:t>七</w:t>
      </w:r>
      <w:r>
        <w:rPr>
          <w:rFonts w:hint="eastAsia" w:ascii="仿宋" w:hAnsi="仿宋" w:eastAsia="仿宋" w:cs="仿宋"/>
          <w:b w:val="0"/>
          <w:bCs/>
          <w:color w:val="000000"/>
          <w:sz w:val="24"/>
          <w:szCs w:val="24"/>
        </w:rPr>
        <w:t>、其他</w:t>
      </w:r>
    </w:p>
    <w:p>
      <w:pPr>
        <w:spacing w:line="360" w:lineRule="auto"/>
        <w:ind w:firstLine="504" w:firstLineChars="210"/>
        <w:rPr>
          <w:rFonts w:ascii="仿宋" w:hAnsi="仿宋" w:eastAsia="仿宋" w:cs="仿宋"/>
          <w:color w:val="000000"/>
          <w:sz w:val="24"/>
          <w:szCs w:val="24"/>
        </w:rPr>
      </w:pPr>
      <w:r>
        <w:rPr>
          <w:rFonts w:hint="eastAsia" w:ascii="仿宋" w:hAnsi="仿宋" w:eastAsia="仿宋" w:cs="仿宋"/>
          <w:color w:val="000000"/>
          <w:sz w:val="24"/>
          <w:szCs w:val="24"/>
          <w:lang w:val="en-US" w:eastAsia="zh-CN"/>
        </w:rPr>
        <w:t>1、</w:t>
      </w:r>
      <w:r>
        <w:rPr>
          <w:rFonts w:hint="eastAsia" w:ascii="仿宋" w:hAnsi="仿宋" w:eastAsia="仿宋" w:cs="仿宋"/>
          <w:color w:val="000000"/>
          <w:sz w:val="24"/>
          <w:szCs w:val="24"/>
        </w:rPr>
        <w:t>现场踏勘：本项目现场楼面、地面完好，人流量较大，如实施过程中对现场楼面、地面有破损，须按原样恢复，由此产生的费用不再另计；项目实施过程须保持安装场地清洁；项目实施过程中必须保障相关人员安全，</w:t>
      </w:r>
      <w:r>
        <w:rPr>
          <w:rFonts w:hint="eastAsia" w:ascii="仿宋" w:hAnsi="仿宋" w:eastAsia="仿宋" w:cs="仿宋"/>
          <w:b/>
          <w:bCs/>
          <w:sz w:val="24"/>
          <w:szCs w:val="24"/>
        </w:rPr>
        <w:t>以上由响应供应商自行踏查后根据项目现场情况作出合理性报价。</w:t>
      </w:r>
      <w:r>
        <w:rPr>
          <w:rFonts w:hint="eastAsia" w:ascii="仿宋" w:hAnsi="仿宋" w:eastAsia="仿宋" w:cs="仿宋"/>
          <w:color w:val="000000"/>
          <w:sz w:val="24"/>
          <w:szCs w:val="24"/>
        </w:rPr>
        <w:t>响应供应商可自行对本项目的现场情况进行踏勘考察，但响应供应商不得因此而使采购人及采购人的人员承担有关的责任或蒙受损失，现场踏勘考察过程中，响应供应商如果发生人身伤亡、财产或其它损失、损害等，不论何种原因造成，采购人概不负责。</w:t>
      </w:r>
    </w:p>
    <w:p>
      <w:pPr>
        <w:pStyle w:val="2"/>
        <w:numPr>
          <w:ilvl w:val="0"/>
          <w:numId w:val="0"/>
        </w:numPr>
        <w:rPr>
          <w:rFonts w:hint="eastAsia" w:eastAsia="汉仪中等线简"/>
          <w:sz w:val="24"/>
          <w:szCs w:val="24"/>
          <w:lang w:val="en-US" w:eastAsia="zh-CN"/>
        </w:rPr>
      </w:pPr>
    </w:p>
    <w:p>
      <w:pPr>
        <w:rPr>
          <w:rFonts w:hint="default"/>
          <w:lang w:val="en-US" w:eastAsia="zh-CN"/>
        </w:rPr>
      </w:pPr>
    </w:p>
    <w:p>
      <w:pPr>
        <w:jc w:val="left"/>
        <w:rPr>
          <w:rFonts w:hint="eastAsia" w:ascii="仿宋" w:hAnsi="仿宋" w:eastAsia="仿宋" w:cs="Times New Roman"/>
          <w:b/>
          <w:bCs/>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汉仪中等线简">
    <w:altName w:val="宋体"/>
    <w:panose1 w:val="02010609000101010101"/>
    <w:charset w:val="86"/>
    <w:family w:val="auto"/>
    <w:pitch w:val="default"/>
    <w:sig w:usb0="00000000" w:usb1="00000000" w:usb2="00000012"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ED5A76"/>
    <w:rsid w:val="037E4FBC"/>
    <w:rsid w:val="04866736"/>
    <w:rsid w:val="07127356"/>
    <w:rsid w:val="097F3943"/>
    <w:rsid w:val="099178DA"/>
    <w:rsid w:val="0FE01582"/>
    <w:rsid w:val="13E42467"/>
    <w:rsid w:val="14240F5F"/>
    <w:rsid w:val="187246BB"/>
    <w:rsid w:val="1C795B78"/>
    <w:rsid w:val="20150540"/>
    <w:rsid w:val="25A652FC"/>
    <w:rsid w:val="29AB49A4"/>
    <w:rsid w:val="2B737159"/>
    <w:rsid w:val="2F2F2EB2"/>
    <w:rsid w:val="2F89778A"/>
    <w:rsid w:val="346C1D10"/>
    <w:rsid w:val="39F83C4E"/>
    <w:rsid w:val="3C444D86"/>
    <w:rsid w:val="3C955A66"/>
    <w:rsid w:val="3D2F2555"/>
    <w:rsid w:val="3DB07A2A"/>
    <w:rsid w:val="3DD551CF"/>
    <w:rsid w:val="3E344F98"/>
    <w:rsid w:val="3FB16E73"/>
    <w:rsid w:val="41D51E5D"/>
    <w:rsid w:val="49792E07"/>
    <w:rsid w:val="510B1DB0"/>
    <w:rsid w:val="53A822C1"/>
    <w:rsid w:val="55644AAE"/>
    <w:rsid w:val="55EA7BC6"/>
    <w:rsid w:val="56370B1E"/>
    <w:rsid w:val="59F20A8D"/>
    <w:rsid w:val="5BA91FBB"/>
    <w:rsid w:val="5D4066DE"/>
    <w:rsid w:val="60962C26"/>
    <w:rsid w:val="63ED5A76"/>
    <w:rsid w:val="689B28AD"/>
    <w:rsid w:val="69C0242C"/>
    <w:rsid w:val="6BB5153C"/>
    <w:rsid w:val="6C7F4EBB"/>
    <w:rsid w:val="6CA86029"/>
    <w:rsid w:val="70872FAE"/>
    <w:rsid w:val="70FB3B75"/>
    <w:rsid w:val="733F2B87"/>
    <w:rsid w:val="74051E65"/>
    <w:rsid w:val="761107C1"/>
    <w:rsid w:val="794370C0"/>
    <w:rsid w:val="7B5026A6"/>
    <w:rsid w:val="7DF63E65"/>
    <w:rsid w:val="7E6E5E4B"/>
    <w:rsid w:val="7F973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qFormat="1"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pPr>
    <w:rPr>
      <w:rFonts w:ascii="Arial" w:hAnsi="Arial" w:eastAsia="汉仪中等线简"/>
      <w:szCs w:val="21"/>
    </w:rPr>
  </w:style>
  <w:style w:type="paragraph" w:styleId="3">
    <w:name w:val="toc 5"/>
    <w:basedOn w:val="1"/>
    <w:next w:val="1"/>
    <w:unhideWhenUsed/>
    <w:qFormat/>
    <w:uiPriority w:val="0"/>
    <w:pPr>
      <w:ind w:left="840"/>
      <w:jc w:val="left"/>
    </w:pPr>
    <w:rPr>
      <w:sz w:val="18"/>
      <w:szCs w:val="18"/>
    </w:rPr>
  </w:style>
  <w:style w:type="paragraph" w:styleId="5">
    <w:name w:val="annotation text"/>
    <w:basedOn w:val="1"/>
    <w:qFormat/>
    <w:uiPriority w:val="0"/>
    <w:pPr>
      <w:jc w:val="left"/>
    </w:pPr>
  </w:style>
  <w:style w:type="paragraph" w:styleId="6">
    <w:name w:val="Body Text Indent"/>
    <w:basedOn w:val="1"/>
    <w:qFormat/>
    <w:uiPriority w:val="0"/>
    <w:pPr>
      <w:spacing w:after="120"/>
      <w:ind w:left="420" w:leftChars="200"/>
    </w:pPr>
  </w:style>
  <w:style w:type="paragraph" w:styleId="7">
    <w:name w:val="toc 2"/>
    <w:basedOn w:val="1"/>
    <w:next w:val="1"/>
    <w:qFormat/>
    <w:uiPriority w:val="39"/>
    <w:pPr>
      <w:spacing w:line="240" w:lineRule="auto"/>
      <w:ind w:left="420" w:leftChars="200"/>
    </w:pPr>
    <w:rPr>
      <w:rFonts w:ascii="仿宋" w:hAnsi="仿宋" w:cs="仿宋"/>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font11"/>
    <w:basedOn w:val="10"/>
    <w:qFormat/>
    <w:uiPriority w:val="0"/>
    <w:rPr>
      <w:rFonts w:hint="eastAsia" w:ascii="宋体" w:hAnsi="宋体" w:eastAsia="宋体" w:cs="宋体"/>
      <w:color w:val="000000"/>
      <w:sz w:val="22"/>
      <w:szCs w:val="22"/>
      <w:u w:val="single"/>
    </w:rPr>
  </w:style>
  <w:style w:type="paragraph" w:customStyle="1" w:styleId="12">
    <w:name w:val="Char"/>
    <w:basedOn w:val="1"/>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2022-03-31T08:47:00Z</dcterms:created>
  <dc:creator>Israel</dc:creator>
  <cp:lastModifiedBy>严智争</cp:lastModifiedBy>
  <dcterms:modified xsi:type="dcterms:W3CDTF">2025-12-09T01:10:54Z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83849EF249C046E9838958020AA2DF0B</vt:lpwstr>
  </property>
</Properties>
</file>