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E3484">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646F303C">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77213CBB">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5B799CD6">
      <w:pPr>
        <w:spacing w:line="500" w:lineRule="exact"/>
        <w:jc w:val="center"/>
        <w:rPr>
          <w:rFonts w:hint="eastAsia" w:ascii="仿宋" w:hAnsi="仿宋" w:eastAsia="仿宋" w:cs="仿宋"/>
          <w:bCs/>
          <w:color w:val="auto"/>
          <w:sz w:val="28"/>
          <w:szCs w:val="28"/>
          <w:highlight w:val="none"/>
        </w:rPr>
      </w:pPr>
    </w:p>
    <w:p w14:paraId="480CC82B">
      <w:pPr>
        <w:spacing w:line="500" w:lineRule="exact"/>
        <w:jc w:val="center"/>
        <w:rPr>
          <w:rFonts w:hint="eastAsia" w:ascii="仿宋" w:hAnsi="仿宋" w:eastAsia="仿宋" w:cs="仿宋"/>
          <w:bCs/>
          <w:color w:val="auto"/>
          <w:sz w:val="28"/>
          <w:szCs w:val="28"/>
          <w:highlight w:val="none"/>
        </w:rPr>
      </w:pPr>
    </w:p>
    <w:p w14:paraId="7BEDD456">
      <w:pPr>
        <w:spacing w:line="500" w:lineRule="exact"/>
        <w:jc w:val="center"/>
        <w:rPr>
          <w:rFonts w:hint="eastAsia" w:ascii="仿宋" w:hAnsi="仿宋" w:eastAsia="仿宋" w:cs="仿宋"/>
          <w:b/>
          <w:color w:val="auto"/>
          <w:sz w:val="28"/>
          <w:szCs w:val="28"/>
          <w:highlight w:val="none"/>
        </w:rPr>
      </w:pPr>
      <w:bookmarkStart w:id="42" w:name="_GoBack"/>
      <w:bookmarkEnd w:id="42"/>
    </w:p>
    <w:p w14:paraId="158F9F2A">
      <w:pPr>
        <w:spacing w:line="500" w:lineRule="exact"/>
        <w:jc w:val="center"/>
        <w:rPr>
          <w:rFonts w:hint="eastAsia" w:ascii="仿宋" w:hAnsi="仿宋" w:eastAsia="仿宋" w:cs="仿宋"/>
          <w:b/>
          <w:color w:val="auto"/>
          <w:sz w:val="28"/>
          <w:szCs w:val="28"/>
          <w:highlight w:val="none"/>
        </w:rPr>
      </w:pPr>
    </w:p>
    <w:p w14:paraId="7A16AFA6">
      <w:pPr>
        <w:spacing w:line="500" w:lineRule="exact"/>
        <w:jc w:val="center"/>
        <w:rPr>
          <w:rFonts w:hint="eastAsia" w:ascii="仿宋" w:hAnsi="仿宋" w:eastAsia="仿宋" w:cs="仿宋"/>
          <w:bCs/>
          <w:color w:val="auto"/>
          <w:sz w:val="28"/>
          <w:szCs w:val="28"/>
          <w:highlight w:val="none"/>
        </w:rPr>
      </w:pPr>
    </w:p>
    <w:p w14:paraId="2D11D7A8">
      <w:pPr>
        <w:spacing w:line="500" w:lineRule="exact"/>
        <w:ind w:firstLine="843" w:firstLineChars="300"/>
        <w:jc w:val="both"/>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ZCB-YN-2025024</w:t>
      </w:r>
    </w:p>
    <w:p w14:paraId="1987B186">
      <w:pPr>
        <w:ind w:firstLine="843" w:firstLineChars="300"/>
        <w:jc w:val="both"/>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惠州市第一妇幼保健院更换门诊楼五楼天面模块机机组压缩机及保温棉（</w:t>
      </w:r>
      <w:r>
        <w:rPr>
          <w:rFonts w:hint="eastAsia" w:ascii="仿宋" w:hAnsi="仿宋" w:eastAsia="仿宋" w:cs="仿宋"/>
          <w:b/>
          <w:color w:val="auto"/>
          <w:sz w:val="28"/>
          <w:szCs w:val="28"/>
          <w:highlight w:val="none"/>
          <w:lang w:val="en-US" w:eastAsia="zh-CN"/>
        </w:rPr>
        <w:t>二次</w:t>
      </w:r>
      <w:r>
        <w:rPr>
          <w:rFonts w:hint="eastAsia" w:ascii="仿宋" w:hAnsi="仿宋" w:eastAsia="仿宋" w:cs="仿宋"/>
          <w:b/>
          <w:color w:val="auto"/>
          <w:sz w:val="28"/>
          <w:szCs w:val="28"/>
          <w:highlight w:val="none"/>
          <w:lang w:eastAsia="zh-CN"/>
        </w:rPr>
        <w:t>）</w:t>
      </w:r>
    </w:p>
    <w:p w14:paraId="78F7AA01">
      <w:pPr>
        <w:jc w:val="both"/>
        <w:rPr>
          <w:rFonts w:hint="eastAsia" w:ascii="仿宋" w:hAnsi="仿宋" w:eastAsia="仿宋" w:cs="仿宋"/>
          <w:b/>
          <w:color w:val="auto"/>
          <w:sz w:val="32"/>
          <w:szCs w:val="32"/>
          <w:highlight w:val="none"/>
        </w:rPr>
      </w:pPr>
    </w:p>
    <w:p w14:paraId="3B21C054">
      <w:pPr>
        <w:jc w:val="center"/>
        <w:rPr>
          <w:rFonts w:hint="eastAsia" w:ascii="仿宋" w:hAnsi="仿宋" w:eastAsia="仿宋" w:cs="仿宋"/>
          <w:b/>
          <w:color w:val="auto"/>
          <w:sz w:val="32"/>
          <w:szCs w:val="32"/>
          <w:highlight w:val="none"/>
        </w:rPr>
      </w:pPr>
    </w:p>
    <w:p w14:paraId="2D554B86">
      <w:pPr>
        <w:jc w:val="center"/>
        <w:rPr>
          <w:rFonts w:hint="eastAsia" w:ascii="仿宋" w:hAnsi="仿宋" w:eastAsia="仿宋" w:cs="仿宋"/>
          <w:b/>
          <w:color w:val="auto"/>
          <w:sz w:val="32"/>
          <w:szCs w:val="32"/>
          <w:highlight w:val="none"/>
        </w:rPr>
      </w:pPr>
    </w:p>
    <w:p w14:paraId="2661352F">
      <w:pPr>
        <w:pStyle w:val="4"/>
        <w:rPr>
          <w:rFonts w:hint="eastAsia" w:ascii="仿宋" w:hAnsi="仿宋" w:eastAsia="仿宋" w:cs="仿宋"/>
          <w:b/>
          <w:color w:val="auto"/>
          <w:sz w:val="32"/>
          <w:szCs w:val="32"/>
          <w:highlight w:val="none"/>
        </w:rPr>
      </w:pPr>
    </w:p>
    <w:p w14:paraId="1A39F6E8">
      <w:pPr>
        <w:rPr>
          <w:rFonts w:hint="eastAsia" w:ascii="仿宋" w:hAnsi="仿宋" w:eastAsia="仿宋" w:cs="仿宋"/>
          <w:b/>
          <w:color w:val="auto"/>
          <w:sz w:val="32"/>
          <w:szCs w:val="32"/>
          <w:highlight w:val="none"/>
        </w:rPr>
      </w:pPr>
    </w:p>
    <w:p w14:paraId="4B3E773D">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63F79619">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月</w:t>
      </w:r>
    </w:p>
    <w:p w14:paraId="7174B0D3">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734D92D0">
      <w:pPr>
        <w:pStyle w:val="2"/>
        <w:rPr>
          <w:rFonts w:hint="eastAsia"/>
          <w:color w:val="auto"/>
          <w:highlight w:val="none"/>
          <w:lang w:eastAsia="zh-CN"/>
        </w:rPr>
      </w:pPr>
    </w:p>
    <w:p w14:paraId="115AEEE6">
      <w:pPr>
        <w:pStyle w:val="16"/>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38AE4D95">
      <w:pPr>
        <w:rPr>
          <w:rFonts w:hint="eastAsia" w:ascii="仿宋" w:hAnsi="仿宋" w:eastAsia="仿宋" w:cs="仿宋"/>
          <w:b/>
          <w:bCs/>
          <w:color w:val="auto"/>
          <w:sz w:val="36"/>
          <w:szCs w:val="36"/>
          <w:highlight w:val="none"/>
        </w:rPr>
      </w:pPr>
    </w:p>
    <w:p w14:paraId="2F656521">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7D16F922">
      <w:pPr>
        <w:rPr>
          <w:rFonts w:hint="eastAsia" w:ascii="仿宋" w:hAnsi="仿宋" w:eastAsia="仿宋" w:cs="仿宋"/>
          <w:b/>
          <w:bCs/>
          <w:color w:val="auto"/>
          <w:sz w:val="36"/>
          <w:szCs w:val="36"/>
          <w:highlight w:val="none"/>
        </w:rPr>
      </w:pPr>
    </w:p>
    <w:p w14:paraId="7DE67EE0">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72A5354C">
      <w:pPr>
        <w:rPr>
          <w:rFonts w:hint="eastAsia" w:ascii="仿宋" w:hAnsi="仿宋" w:eastAsia="仿宋" w:cs="仿宋"/>
          <w:b/>
          <w:bCs/>
          <w:color w:val="auto"/>
          <w:sz w:val="36"/>
          <w:szCs w:val="36"/>
          <w:highlight w:val="none"/>
        </w:rPr>
      </w:pPr>
    </w:p>
    <w:p w14:paraId="6C8BD9DB">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5506A599">
      <w:pPr>
        <w:rPr>
          <w:rFonts w:hint="eastAsia" w:ascii="仿宋" w:hAnsi="仿宋" w:eastAsia="仿宋" w:cs="仿宋"/>
          <w:b/>
          <w:bCs/>
          <w:color w:val="auto"/>
          <w:sz w:val="36"/>
          <w:szCs w:val="36"/>
          <w:highlight w:val="none"/>
        </w:rPr>
      </w:pPr>
    </w:p>
    <w:p w14:paraId="48390454">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4782C48F">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A266947">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1CF50EEE">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r>
        <w:rPr>
          <w:rFonts w:hint="eastAsia" w:ascii="仿宋" w:hAnsi="仿宋" w:eastAsia="仿宋" w:cs="仿宋"/>
          <w:color w:val="auto"/>
          <w:kern w:val="0"/>
          <w:sz w:val="24"/>
          <w:highlight w:val="none"/>
          <w:lang w:eastAsia="zh-CN"/>
        </w:rPr>
        <w:t>：</w:t>
      </w:r>
    </w:p>
    <w:p w14:paraId="4822FF9B">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惠州市第一妇幼保健院更换门诊楼五楼天面模块机机组压缩机及保温棉（二次）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371808FB">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ZCB-YN-2025024</w:t>
      </w:r>
    </w:p>
    <w:p w14:paraId="4148B821">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惠州市第一妇幼保健院更换门诊楼五楼天面模块机机组压缩机及保温棉（二次）</w:t>
      </w:r>
    </w:p>
    <w:p w14:paraId="79987E9A">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7"/>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14:paraId="1C6ADBC1">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63A8E1EA">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1F8FCA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2D261A8D">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3E56285">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2AFB2DA2">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46D7832E">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5C380D20">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13C03DC6">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B58E637">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更换门诊楼五楼天面模块机机组压缩机及保温棉（二次）</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56F21F68">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6F9F609">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E331AF9">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108000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0E7BBC2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kern w:val="0"/>
                <w:szCs w:val="21"/>
                <w:highlight w:val="none"/>
                <w:lang w:eastAsia="zh-CN"/>
              </w:rPr>
              <w:t>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66E3512E">
      <w:pPr>
        <w:spacing w:line="420" w:lineRule="exact"/>
        <w:rPr>
          <w:rFonts w:hint="eastAsia" w:ascii="仿宋" w:hAnsi="仿宋" w:eastAsia="仿宋" w:cs="仿宋"/>
          <w:color w:val="auto"/>
          <w:sz w:val="24"/>
          <w:highlight w:val="none"/>
          <w:lang w:val="zh-CN"/>
        </w:rPr>
      </w:pPr>
    </w:p>
    <w:p w14:paraId="306E4AA1">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响应的供应商应当在2025年7月9日起至2025年7月15日（上午08:00-12:00，</w:t>
      </w:r>
      <w:r>
        <w:rPr>
          <w:rFonts w:hint="eastAsia" w:ascii="仿宋" w:hAnsi="仿宋" w:eastAsia="仿宋" w:cs="仿宋"/>
          <w:color w:val="auto"/>
          <w:sz w:val="24"/>
          <w:highlight w:val="none"/>
          <w:lang w:eastAsia="zh-CN"/>
        </w:rPr>
        <w:t>14:</w:t>
      </w:r>
      <w:r>
        <w:rPr>
          <w:rFonts w:hint="eastAsia" w:ascii="仿宋" w:hAnsi="仿宋" w:eastAsia="仿宋" w:cs="仿宋"/>
          <w:color w:val="auto"/>
          <w:sz w:val="24"/>
          <w:highlight w:val="none"/>
        </w:rPr>
        <w:t>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14:paraId="7C0638CB">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00时</w:t>
      </w:r>
      <w:r>
        <w:rPr>
          <w:rFonts w:hint="eastAsia" w:ascii="仿宋" w:hAnsi="仿宋" w:eastAsia="仿宋" w:cs="仿宋"/>
          <w:color w:val="auto"/>
          <w:sz w:val="24"/>
          <w:highlight w:val="none"/>
        </w:rPr>
        <w:t>（北京时间）</w:t>
      </w:r>
    </w:p>
    <w:p w14:paraId="09C656FB">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0728CA64">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09F44BB5">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2DDEFD0A">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486697B9">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郑工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1CD0A15C">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0A61A5A6">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E69EAF2">
      <w:pPr>
        <w:pStyle w:val="21"/>
        <w:rPr>
          <w:rFonts w:hint="eastAsia"/>
          <w:color w:val="auto"/>
          <w:highlight w:val="none"/>
          <w:lang w:val="en-US" w:eastAsia="zh-CN"/>
        </w:rPr>
      </w:pPr>
    </w:p>
    <w:p w14:paraId="2BBE4B1D">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6FC559C">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2A50A6FB">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日</w:t>
      </w:r>
    </w:p>
    <w:p w14:paraId="6562212B">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1EE12A89">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23B4A13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655C88D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53369E95">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r>
        <w:rPr>
          <w:rFonts w:hint="eastAsia" w:ascii="仿宋" w:hAnsi="仿宋" w:eastAsia="仿宋" w:cs="仿宋"/>
          <w:color w:val="auto"/>
          <w:sz w:val="24"/>
          <w:highlight w:val="none"/>
          <w:lang w:eastAsia="zh-CN"/>
        </w:rPr>
        <w:t>2022年至今</w:t>
      </w:r>
      <w:r>
        <w:rPr>
          <w:rFonts w:hint="eastAsia" w:ascii="仿宋" w:hAnsi="仿宋" w:eastAsia="仿宋" w:cs="仿宋"/>
          <w:color w:val="auto"/>
          <w:sz w:val="24"/>
          <w:highlight w:val="none"/>
        </w:rPr>
        <w:t>任意一年经审计的审计报告复印件（包含审计报告中所涉及的财务报表和报表附注）；或②</w:t>
      </w:r>
      <w:r>
        <w:rPr>
          <w:rFonts w:hint="eastAsia" w:ascii="仿宋" w:hAnsi="仿宋" w:eastAsia="仿宋" w:cs="仿宋"/>
          <w:color w:val="auto"/>
          <w:sz w:val="24"/>
          <w:highlight w:val="none"/>
          <w:lang w:eastAsia="zh-CN"/>
        </w:rPr>
        <w:t>2022年至今</w:t>
      </w:r>
      <w:r>
        <w:rPr>
          <w:rFonts w:hint="eastAsia" w:ascii="仿宋" w:hAnsi="仿宋" w:eastAsia="仿宋" w:cs="仿宋"/>
          <w:color w:val="auto"/>
          <w:sz w:val="24"/>
          <w:highlight w:val="none"/>
        </w:rPr>
        <w:t>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1BA1885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4942B714">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4957F67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14:paraId="74E4E58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43CB69C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2BADE7F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5A7205A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12F45BD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p>
    <w:p w14:paraId="26B9770B">
      <w:pPr>
        <w:keepNext w:val="0"/>
        <w:keepLines w:val="0"/>
        <w:widowControl w:val="0"/>
        <w:suppressLineNumbers w:val="0"/>
        <w:tabs>
          <w:tab w:val="left" w:pos="0"/>
        </w:tabs>
        <w:wordWrap w:val="0"/>
        <w:spacing w:before="0" w:beforeAutospacing="0" w:after="0" w:afterAutospacing="0" w:line="360" w:lineRule="auto"/>
        <w:ind w:left="0" w:right="0" w:firstLine="486" w:firstLineChars="200"/>
        <w:jc w:val="left"/>
        <w:rPr>
          <w:color w:val="auto"/>
          <w:highlight w:val="none"/>
        </w:rPr>
      </w:pPr>
      <w:r>
        <w:rPr>
          <w:rFonts w:hint="eastAsia" w:ascii="仿宋" w:hAnsi="仿宋" w:eastAsia="仿宋" w:cs="仿宋"/>
          <w:color w:val="auto"/>
          <w:sz w:val="24"/>
          <w:highlight w:val="none"/>
        </w:rPr>
        <w:t>6.本项目是专门面向中小企业采购的项目。</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，具体格式文件见比价文件P49中</w:t>
      </w:r>
      <w:r>
        <w:rPr>
          <w:rFonts w:hint="eastAsia" w:ascii="仿宋" w:hAnsi="仿宋" w:eastAsia="仿宋" w:cs="仿宋"/>
          <w:b/>
          <w:bCs/>
          <w:color w:val="auto"/>
          <w:sz w:val="24"/>
          <w:highlight w:val="none"/>
          <w:lang w:val="hr-HR" w:eastAsia="zh-CN"/>
        </w:rPr>
        <w:t>小企业声明函（工程、服务），未按要求提供声明函的将导致响应无效</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
        </w:rPr>
        <w:t>其他未列明行业</w:t>
      </w:r>
      <w:r>
        <w:rPr>
          <w:rFonts w:hint="eastAsia" w:ascii="仿宋" w:hAnsi="仿宋" w:eastAsia="仿宋" w:cs="仿宋"/>
          <w:color w:val="auto"/>
          <w:sz w:val="24"/>
          <w:szCs w:val="24"/>
          <w:highlight w:val="none"/>
          <w:lang w:eastAsia="zh-CN"/>
        </w:rPr>
        <w:t>。</w:t>
      </w:r>
    </w:p>
    <w:p w14:paraId="53C1D8CD">
      <w:pPr>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en-US" w:eastAsia="zh-CN"/>
        </w:rPr>
        <w:t>7.已在医院办公室报名。</w:t>
      </w:r>
    </w:p>
    <w:p w14:paraId="518CAFAF">
      <w:pPr>
        <w:spacing w:line="360" w:lineRule="auto"/>
        <w:ind w:firstLine="486"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08CDE243">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784FF74B">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64D9E9F3">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6A91FC01">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791FA921">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2FCE62AE">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02E9B3E7">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30F8A51C">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4587ED39">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291222A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为充分保障门诊楼手术室洁净空调系统的稳定安全高效运行，综合考虑医院现状及未来的发展规划，拟对医院3楼手术室洁净空调关联的五楼天面模块机组压缩机进行更换</w:t>
      </w:r>
      <w:r>
        <w:rPr>
          <w:rFonts w:hint="eastAsia" w:ascii="仿宋" w:hAnsi="仿宋" w:eastAsia="仿宋" w:cs="仿宋"/>
          <w:b w:val="0"/>
          <w:bCs w:val="0"/>
          <w:strike w:val="0"/>
          <w:dstrike w:val="0"/>
          <w:color w:val="auto"/>
          <w:sz w:val="24"/>
          <w:highlight w:val="none"/>
          <w:lang w:val="en-US" w:eastAsia="zh-CN"/>
        </w:rPr>
        <w:t>，对</w:t>
      </w:r>
      <w:r>
        <w:rPr>
          <w:rFonts w:hint="eastAsia" w:ascii="仿宋" w:hAnsi="仿宋" w:eastAsia="仿宋" w:cs="仿宋"/>
          <w:b w:val="0"/>
          <w:bCs w:val="0"/>
          <w:color w:val="auto"/>
          <w:sz w:val="24"/>
          <w:highlight w:val="none"/>
          <w:lang w:val="en-US" w:eastAsia="zh-CN"/>
        </w:rPr>
        <w:t>天面冷冻管保温棉失效进行更换。采购专业供应商进行安装。</w:t>
      </w:r>
    </w:p>
    <w:p w14:paraId="4A580B9B">
      <w:pPr>
        <w:autoSpaceDE w:val="0"/>
        <w:autoSpaceDN w:val="0"/>
        <w:spacing w:line="360" w:lineRule="auto"/>
        <w:ind w:firstLine="486"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ZCB-YN-2025024</w:t>
      </w:r>
    </w:p>
    <w:p w14:paraId="1635CAB1">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惠州市第一妇幼保健院更换门诊楼五楼天面模块机机组压缩机及保温棉（二次）</w:t>
      </w:r>
    </w:p>
    <w:p w14:paraId="1E3C9D4B">
      <w:pPr>
        <w:autoSpaceDE w:val="0"/>
        <w:autoSpaceDN w:val="0"/>
        <w:spacing w:line="360" w:lineRule="auto"/>
        <w:ind w:firstLine="486" w:firstLineChars="200"/>
        <w:rPr>
          <w:rFonts w:hint="default"/>
          <w:color w:val="auto"/>
          <w:lang w:val="en-US"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¥108000.00</w:t>
      </w:r>
      <w:r>
        <w:rPr>
          <w:rFonts w:hint="eastAsia" w:ascii="仿宋" w:hAnsi="仿宋" w:eastAsia="仿宋" w:cs="仿宋"/>
          <w:b w:val="0"/>
          <w:bCs w:val="0"/>
          <w:color w:val="auto"/>
          <w:sz w:val="24"/>
          <w:highlight w:val="none"/>
          <w:u w:val="none" w:color="auto"/>
          <w:lang w:val="zh-CN" w:eastAsia="zh-CN"/>
        </w:rPr>
        <w:t>元。</w:t>
      </w:r>
    </w:p>
    <w:p w14:paraId="2A52E9C6">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四、服务要求</w:t>
      </w:r>
    </w:p>
    <w:p w14:paraId="36B3571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1.对采购人3楼手术室洁净空调更换4号、13号及15号主机压缩机,确保设备正常运行,减少机组超负荷运行。拆除原破损的保温棉，对风冷模块机组支管采用 30MM 厚橡塑保温做单层保温处理。且所有管道做铝皮保护，以提高保温寿命和耐腐蚀性能，保证3楼手术室洁净空调的正常运行。</w:t>
      </w:r>
    </w:p>
    <w:p w14:paraId="016F12F7">
      <w:pPr>
        <w:pStyle w:val="8"/>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2.所需更换配件均要求为</w:t>
      </w:r>
      <w:r>
        <w:rPr>
          <w:rFonts w:hint="eastAsia" w:ascii="仿宋" w:hAnsi="仿宋" w:eastAsia="仿宋" w:cs="仿宋"/>
          <w:color w:val="auto"/>
          <w:sz w:val="24"/>
          <w:highlight w:val="none"/>
          <w:lang w:eastAsia="zh-CN"/>
        </w:rPr>
        <w:t>欧科</w:t>
      </w:r>
      <w:r>
        <w:rPr>
          <w:rFonts w:hint="eastAsia" w:ascii="仿宋" w:hAnsi="仿宋" w:eastAsia="仿宋" w:cs="仿宋"/>
          <w:b w:val="0"/>
          <w:bCs w:val="0"/>
          <w:color w:val="auto"/>
          <w:sz w:val="24"/>
          <w:highlight w:val="none"/>
          <w:lang w:val="en-US" w:eastAsia="zh-CN"/>
        </w:rPr>
        <w:t>原厂配件，并提供由厂家出具的产品出货证明等资料，其他均符合国家相关法律法规规定的质量要求。</w:t>
      </w:r>
    </w:p>
    <w:p w14:paraId="65EB5F0B">
      <w:pPr>
        <w:numPr>
          <w:ilvl w:val="0"/>
          <w:numId w:val="0"/>
        </w:numPr>
        <w:spacing w:line="360" w:lineRule="auto"/>
        <w:ind w:firstLine="486" w:firstLineChars="200"/>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服务货物清单</w:t>
      </w:r>
    </w:p>
    <w:tbl>
      <w:tblPr>
        <w:tblStyle w:val="18"/>
        <w:tblW w:w="7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096"/>
        <w:gridCol w:w="1436"/>
        <w:gridCol w:w="1170"/>
        <w:gridCol w:w="975"/>
      </w:tblGrid>
      <w:tr w14:paraId="427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85" w:type="dxa"/>
            <w:noWrap w:val="0"/>
            <w:vAlign w:val="center"/>
          </w:tcPr>
          <w:p w14:paraId="0D13AD1A">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3096" w:type="dxa"/>
            <w:noWrap w:val="0"/>
            <w:vAlign w:val="center"/>
          </w:tcPr>
          <w:p w14:paraId="1272F650">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货物/服务名称</w:t>
            </w:r>
          </w:p>
        </w:tc>
        <w:tc>
          <w:tcPr>
            <w:tcW w:w="1436" w:type="dxa"/>
            <w:noWrap w:val="0"/>
            <w:vAlign w:val="center"/>
          </w:tcPr>
          <w:p w14:paraId="3534C461">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规格型号</w:t>
            </w:r>
          </w:p>
        </w:tc>
        <w:tc>
          <w:tcPr>
            <w:tcW w:w="1170" w:type="dxa"/>
            <w:noWrap w:val="0"/>
            <w:vAlign w:val="center"/>
          </w:tcPr>
          <w:p w14:paraId="7C1BF404">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数量</w:t>
            </w:r>
          </w:p>
        </w:tc>
        <w:tc>
          <w:tcPr>
            <w:tcW w:w="975" w:type="dxa"/>
            <w:noWrap w:val="0"/>
            <w:vAlign w:val="center"/>
          </w:tcPr>
          <w:p w14:paraId="1877732A">
            <w:pPr>
              <w:jc w:val="center"/>
              <w:rPr>
                <w:rFonts w:hint="eastAsia"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单位</w:t>
            </w:r>
          </w:p>
        </w:tc>
      </w:tr>
      <w:tr w14:paraId="13F4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85" w:type="dxa"/>
            <w:noWrap w:val="0"/>
            <w:vAlign w:val="center"/>
          </w:tcPr>
          <w:p w14:paraId="2B854181">
            <w:pPr>
              <w:ind w:left="0" w:leftChars="0" w:right="0" w:rightChars="0"/>
              <w:jc w:val="center"/>
              <w:rPr>
                <w:rFonts w:hint="eastAsia" w:ascii="仿宋" w:hAnsi="仿宋" w:eastAsia="仿宋" w:cs="仿宋"/>
                <w:b w:val="0"/>
                <w:bCs w:val="0"/>
                <w:color w:val="auto"/>
                <w:sz w:val="24"/>
                <w:szCs w:val="24"/>
                <w:u w:val="none"/>
                <w:vertAlign w:val="baseline"/>
                <w:lang w:val="en-US" w:eastAsia="zh-CN" w:bidi="zh-CN"/>
              </w:rPr>
            </w:pPr>
            <w:r>
              <w:rPr>
                <w:rFonts w:hint="eastAsia" w:ascii="仿宋" w:hAnsi="仿宋" w:eastAsia="仿宋" w:cs="仿宋"/>
                <w:b w:val="0"/>
                <w:bCs w:val="0"/>
                <w:color w:val="auto"/>
                <w:sz w:val="24"/>
                <w:szCs w:val="24"/>
                <w:u w:val="none"/>
                <w:vertAlign w:val="baseline"/>
                <w:lang w:val="en-US" w:eastAsia="zh-CN"/>
              </w:rPr>
              <w:t>1</w:t>
            </w:r>
          </w:p>
        </w:tc>
        <w:tc>
          <w:tcPr>
            <w:tcW w:w="3096" w:type="dxa"/>
            <w:noWrap w:val="0"/>
            <w:vAlign w:val="center"/>
          </w:tcPr>
          <w:p w14:paraId="0C2A33B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（原装）压缩机</w:t>
            </w:r>
          </w:p>
        </w:tc>
        <w:tc>
          <w:tcPr>
            <w:tcW w:w="1436" w:type="dxa"/>
            <w:noWrap w:val="0"/>
            <w:vAlign w:val="center"/>
          </w:tcPr>
          <w:p w14:paraId="4761CA57">
            <w:pPr>
              <w:pStyle w:val="8"/>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SH140A4ALC</w:t>
            </w:r>
          </w:p>
        </w:tc>
        <w:tc>
          <w:tcPr>
            <w:tcW w:w="1170" w:type="dxa"/>
            <w:noWrap w:val="0"/>
            <w:vAlign w:val="center"/>
          </w:tcPr>
          <w:p w14:paraId="4371BA37">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975" w:type="dxa"/>
            <w:noWrap w:val="0"/>
            <w:vAlign w:val="center"/>
          </w:tcPr>
          <w:p w14:paraId="07F47FA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台</w:t>
            </w:r>
          </w:p>
        </w:tc>
      </w:tr>
      <w:tr w14:paraId="137D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5C099BD4">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3096" w:type="dxa"/>
            <w:noWrap w:val="0"/>
            <w:vAlign w:val="center"/>
          </w:tcPr>
          <w:p w14:paraId="70E8A6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平行主管道保温</w:t>
            </w:r>
          </w:p>
        </w:tc>
        <w:tc>
          <w:tcPr>
            <w:tcW w:w="1436" w:type="dxa"/>
            <w:noWrap w:val="0"/>
            <w:vAlign w:val="center"/>
          </w:tcPr>
          <w:p w14:paraId="6CCEA2D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2"/>
                <w:szCs w:val="22"/>
                <w:u w:val="none"/>
                <w:lang w:val="en-US" w:eastAsia="zh-CN" w:bidi="ar"/>
              </w:rPr>
              <w:t>25mm*2层</w:t>
            </w:r>
          </w:p>
        </w:tc>
        <w:tc>
          <w:tcPr>
            <w:tcW w:w="1170" w:type="dxa"/>
            <w:noWrap w:val="0"/>
            <w:vAlign w:val="center"/>
          </w:tcPr>
          <w:p w14:paraId="54601B6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0E74FCA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43B1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D7E4C11">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2</w:t>
            </w:r>
          </w:p>
        </w:tc>
        <w:tc>
          <w:tcPr>
            <w:tcW w:w="3096" w:type="dxa"/>
            <w:noWrap w:val="0"/>
            <w:vAlign w:val="center"/>
          </w:tcPr>
          <w:p w14:paraId="590821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阀门及配件保温</w:t>
            </w:r>
          </w:p>
        </w:tc>
        <w:tc>
          <w:tcPr>
            <w:tcW w:w="1436" w:type="dxa"/>
            <w:noWrap w:val="0"/>
            <w:vAlign w:val="center"/>
          </w:tcPr>
          <w:p w14:paraId="25A768D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1734F18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975" w:type="dxa"/>
            <w:noWrap w:val="0"/>
            <w:vAlign w:val="center"/>
          </w:tcPr>
          <w:p w14:paraId="0A97AF27">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57CA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BBD5E6F">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3</w:t>
            </w:r>
          </w:p>
        </w:tc>
        <w:tc>
          <w:tcPr>
            <w:tcW w:w="3096" w:type="dxa"/>
            <w:noWrap w:val="0"/>
            <w:vAlign w:val="center"/>
          </w:tcPr>
          <w:p w14:paraId="0EF135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保温专用胶水</w:t>
            </w:r>
          </w:p>
        </w:tc>
        <w:tc>
          <w:tcPr>
            <w:tcW w:w="1436" w:type="dxa"/>
            <w:noWrap w:val="0"/>
            <w:vAlign w:val="center"/>
          </w:tcPr>
          <w:p w14:paraId="5FFC5E2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70BD6BF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975" w:type="dxa"/>
            <w:noWrap w:val="0"/>
            <w:vAlign w:val="center"/>
          </w:tcPr>
          <w:p w14:paraId="6EC5F39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桶</w:t>
            </w:r>
          </w:p>
        </w:tc>
      </w:tr>
      <w:tr w14:paraId="2688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1AB74AED">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4</w:t>
            </w:r>
          </w:p>
        </w:tc>
        <w:tc>
          <w:tcPr>
            <w:tcW w:w="3096" w:type="dxa"/>
            <w:noWrap w:val="0"/>
            <w:vAlign w:val="center"/>
          </w:tcPr>
          <w:p w14:paraId="5F38F2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管道铝皮保护</w:t>
            </w:r>
          </w:p>
        </w:tc>
        <w:tc>
          <w:tcPr>
            <w:tcW w:w="1436" w:type="dxa"/>
            <w:noWrap w:val="0"/>
            <w:vAlign w:val="center"/>
          </w:tcPr>
          <w:p w14:paraId="10AEEAB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0F76059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0814769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5EC0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679D81C9">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5</w:t>
            </w:r>
          </w:p>
        </w:tc>
        <w:tc>
          <w:tcPr>
            <w:tcW w:w="3096" w:type="dxa"/>
            <w:noWrap w:val="0"/>
            <w:vAlign w:val="center"/>
          </w:tcPr>
          <w:p w14:paraId="7C7A06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阀门及配件铝皮保护</w:t>
            </w:r>
          </w:p>
        </w:tc>
        <w:tc>
          <w:tcPr>
            <w:tcW w:w="1436" w:type="dxa"/>
            <w:noWrap w:val="0"/>
            <w:vAlign w:val="center"/>
          </w:tcPr>
          <w:p w14:paraId="4CBB0AF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66516E1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975" w:type="dxa"/>
            <w:noWrap w:val="0"/>
            <w:vAlign w:val="center"/>
          </w:tcPr>
          <w:p w14:paraId="5E94F8AC">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6B8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5A1E25AA">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6</w:t>
            </w:r>
          </w:p>
        </w:tc>
        <w:tc>
          <w:tcPr>
            <w:tcW w:w="3096" w:type="dxa"/>
            <w:noWrap w:val="0"/>
            <w:vAlign w:val="center"/>
          </w:tcPr>
          <w:p w14:paraId="0B399C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i w:val="0"/>
                <w:iCs w:val="0"/>
                <w:color w:val="auto"/>
                <w:kern w:val="0"/>
                <w:sz w:val="22"/>
                <w:szCs w:val="22"/>
                <w:u w:val="none"/>
                <w:lang w:val="en-US" w:eastAsia="zh-CN" w:bidi="ar"/>
              </w:rPr>
              <w:t>拆除旧保温棉和清理杂质</w:t>
            </w:r>
          </w:p>
        </w:tc>
        <w:tc>
          <w:tcPr>
            <w:tcW w:w="1436" w:type="dxa"/>
            <w:noWrap w:val="0"/>
            <w:vAlign w:val="center"/>
          </w:tcPr>
          <w:p w14:paraId="75393130">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700AF77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170</w:t>
            </w:r>
          </w:p>
        </w:tc>
        <w:tc>
          <w:tcPr>
            <w:tcW w:w="975" w:type="dxa"/>
            <w:noWrap w:val="0"/>
            <w:vAlign w:val="center"/>
          </w:tcPr>
          <w:p w14:paraId="661D850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7C44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37EB5AD0">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7</w:t>
            </w:r>
          </w:p>
        </w:tc>
        <w:tc>
          <w:tcPr>
            <w:tcW w:w="3096" w:type="dxa"/>
            <w:noWrap w:val="0"/>
            <w:vAlign w:val="center"/>
          </w:tcPr>
          <w:p w14:paraId="46BA9E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空调管专用木托</w:t>
            </w:r>
          </w:p>
        </w:tc>
        <w:tc>
          <w:tcPr>
            <w:tcW w:w="1436" w:type="dxa"/>
            <w:noWrap w:val="0"/>
            <w:vAlign w:val="center"/>
          </w:tcPr>
          <w:p w14:paraId="2DED293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5D7AB8C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50</w:t>
            </w:r>
          </w:p>
        </w:tc>
        <w:tc>
          <w:tcPr>
            <w:tcW w:w="975" w:type="dxa"/>
            <w:noWrap w:val="0"/>
            <w:vAlign w:val="center"/>
          </w:tcPr>
          <w:p w14:paraId="7FE99D04">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403D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074583C8">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9</w:t>
            </w:r>
          </w:p>
        </w:tc>
        <w:tc>
          <w:tcPr>
            <w:tcW w:w="3096" w:type="dxa"/>
            <w:noWrap w:val="0"/>
            <w:vAlign w:val="center"/>
          </w:tcPr>
          <w:p w14:paraId="710CAC6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支管管道保温</w:t>
            </w:r>
          </w:p>
        </w:tc>
        <w:tc>
          <w:tcPr>
            <w:tcW w:w="1436" w:type="dxa"/>
            <w:noWrap w:val="0"/>
            <w:vAlign w:val="center"/>
          </w:tcPr>
          <w:p w14:paraId="5FD6705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30mm</w:t>
            </w:r>
          </w:p>
        </w:tc>
        <w:tc>
          <w:tcPr>
            <w:tcW w:w="1170" w:type="dxa"/>
            <w:noWrap w:val="0"/>
            <w:vAlign w:val="center"/>
          </w:tcPr>
          <w:p w14:paraId="0BBD8339">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5788F8E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0BBF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7EF8EFEE">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10</w:t>
            </w:r>
          </w:p>
        </w:tc>
        <w:tc>
          <w:tcPr>
            <w:tcW w:w="3096" w:type="dxa"/>
            <w:noWrap w:val="0"/>
            <w:vAlign w:val="center"/>
          </w:tcPr>
          <w:p w14:paraId="06A6DE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阀门及配件保温</w:t>
            </w:r>
          </w:p>
        </w:tc>
        <w:tc>
          <w:tcPr>
            <w:tcW w:w="1436" w:type="dxa"/>
            <w:noWrap w:val="0"/>
            <w:vAlign w:val="center"/>
          </w:tcPr>
          <w:p w14:paraId="4AAF707F">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FEAD345">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975" w:type="dxa"/>
            <w:noWrap w:val="0"/>
            <w:vAlign w:val="center"/>
          </w:tcPr>
          <w:p w14:paraId="418C192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108D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22FA408A">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11</w:t>
            </w:r>
          </w:p>
        </w:tc>
        <w:tc>
          <w:tcPr>
            <w:tcW w:w="3096" w:type="dxa"/>
            <w:noWrap w:val="0"/>
            <w:vAlign w:val="center"/>
          </w:tcPr>
          <w:p w14:paraId="72E7DD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保温专用胶水</w:t>
            </w:r>
          </w:p>
        </w:tc>
        <w:tc>
          <w:tcPr>
            <w:tcW w:w="1436" w:type="dxa"/>
            <w:noWrap w:val="0"/>
            <w:vAlign w:val="center"/>
          </w:tcPr>
          <w:p w14:paraId="7BC1D042">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6EDD509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975" w:type="dxa"/>
            <w:noWrap w:val="0"/>
            <w:vAlign w:val="center"/>
          </w:tcPr>
          <w:p w14:paraId="2DE7A4C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桶</w:t>
            </w:r>
          </w:p>
        </w:tc>
      </w:tr>
      <w:tr w14:paraId="2596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85" w:type="dxa"/>
            <w:noWrap w:val="0"/>
            <w:vAlign w:val="center"/>
          </w:tcPr>
          <w:p w14:paraId="0E5D8D84">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12</w:t>
            </w:r>
          </w:p>
        </w:tc>
        <w:tc>
          <w:tcPr>
            <w:tcW w:w="3096" w:type="dxa"/>
            <w:noWrap w:val="0"/>
            <w:vAlign w:val="center"/>
          </w:tcPr>
          <w:p w14:paraId="62C3D0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管道铝皮保护</w:t>
            </w:r>
          </w:p>
        </w:tc>
        <w:tc>
          <w:tcPr>
            <w:tcW w:w="1436" w:type="dxa"/>
            <w:noWrap w:val="0"/>
            <w:vAlign w:val="center"/>
          </w:tcPr>
          <w:p w14:paraId="04E1457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2B4B55D">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5E2B5F5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r w14:paraId="0BA7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5" w:type="dxa"/>
            <w:noWrap w:val="0"/>
            <w:vAlign w:val="center"/>
          </w:tcPr>
          <w:p w14:paraId="16B7C4FB">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13</w:t>
            </w:r>
          </w:p>
        </w:tc>
        <w:tc>
          <w:tcPr>
            <w:tcW w:w="3096" w:type="dxa"/>
            <w:noWrap w:val="0"/>
            <w:vAlign w:val="center"/>
          </w:tcPr>
          <w:p w14:paraId="36B001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阀门及配件铝皮保温</w:t>
            </w:r>
          </w:p>
        </w:tc>
        <w:tc>
          <w:tcPr>
            <w:tcW w:w="1436" w:type="dxa"/>
            <w:noWrap w:val="0"/>
            <w:vAlign w:val="center"/>
          </w:tcPr>
          <w:p w14:paraId="7444538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238C4A5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975" w:type="dxa"/>
            <w:noWrap w:val="0"/>
            <w:vAlign w:val="center"/>
          </w:tcPr>
          <w:p w14:paraId="03A0857B">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个</w:t>
            </w:r>
          </w:p>
        </w:tc>
      </w:tr>
      <w:tr w14:paraId="1D8D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85" w:type="dxa"/>
            <w:noWrap w:val="0"/>
            <w:vAlign w:val="center"/>
          </w:tcPr>
          <w:p w14:paraId="689FEB42">
            <w:pPr>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14</w:t>
            </w:r>
          </w:p>
        </w:tc>
        <w:tc>
          <w:tcPr>
            <w:tcW w:w="3096" w:type="dxa"/>
            <w:noWrap w:val="0"/>
            <w:vAlign w:val="center"/>
          </w:tcPr>
          <w:p w14:paraId="12C032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拆除旧保温棉和清理杂质</w:t>
            </w:r>
          </w:p>
        </w:tc>
        <w:tc>
          <w:tcPr>
            <w:tcW w:w="1436" w:type="dxa"/>
            <w:noWrap w:val="0"/>
            <w:vAlign w:val="center"/>
          </w:tcPr>
          <w:p w14:paraId="0C73BC06">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p>
        </w:tc>
        <w:tc>
          <w:tcPr>
            <w:tcW w:w="1170" w:type="dxa"/>
            <w:noWrap w:val="0"/>
            <w:vAlign w:val="center"/>
          </w:tcPr>
          <w:p w14:paraId="071CBCD3">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975" w:type="dxa"/>
            <w:noWrap w:val="0"/>
            <w:vAlign w:val="center"/>
          </w:tcPr>
          <w:p w14:paraId="0EE5F538">
            <w:pPr>
              <w:keepNext w:val="0"/>
              <w:keepLines w:val="0"/>
              <w:widowControl/>
              <w:suppressLineNumbers w:val="0"/>
              <w:ind w:left="0" w:leftChars="0" w:right="0" w:rightChars="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m</w:t>
            </w:r>
          </w:p>
        </w:tc>
      </w:tr>
    </w:tbl>
    <w:p w14:paraId="1F19906E">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3.项目完成后主机可以正常运行，温湿度正常（温度：一般洁净室的温度控制在20℃ - 24℃较为适宜。湿度：相对湿度通常控制在45% - 60%）。</w:t>
      </w:r>
    </w:p>
    <w:p w14:paraId="6AABE7D5">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4.人员要求</w:t>
      </w:r>
    </w:p>
    <w:p w14:paraId="164272D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（1）项目负责人1名，持有安监部门颁发的《特种作业操作证（制冷与空调作业）》上岗作业证书；</w:t>
      </w:r>
    </w:p>
    <w:p w14:paraId="6B8861E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（2）安装技术人员1人，持有安监部门颁发的《特种作业操作证（高处作业）》上岗作业证书；</w:t>
      </w:r>
    </w:p>
    <w:p w14:paraId="34FD8FDB">
      <w:pPr>
        <w:numPr>
          <w:ilvl w:val="0"/>
          <w:numId w:val="0"/>
        </w:numPr>
        <w:spacing w:line="360" w:lineRule="auto"/>
        <w:ind w:firstLine="486" w:firstLineChars="200"/>
        <w:rPr>
          <w:rFonts w:hint="eastAsia" w:ascii="仿宋" w:hAnsi="仿宋" w:eastAsia="仿宋" w:cs="仿宋"/>
          <w:b w:val="0"/>
          <w:bCs w:val="0"/>
          <w:strike/>
          <w:color w:val="auto"/>
          <w:sz w:val="24"/>
          <w:highlight w:val="none"/>
          <w:lang w:val="en-US" w:eastAsia="zh-CN"/>
        </w:rPr>
      </w:pPr>
      <w:r>
        <w:rPr>
          <w:rFonts w:hint="eastAsia" w:ascii="仿宋" w:hAnsi="仿宋" w:eastAsia="仿宋" w:cs="仿宋"/>
          <w:b w:val="0"/>
          <w:bCs w:val="0"/>
          <w:color w:val="auto"/>
          <w:sz w:val="24"/>
          <w:highlight w:val="none"/>
          <w:lang w:val="en-US" w:eastAsia="zh-CN"/>
        </w:rPr>
        <w:t>（3）维修焊接技术人员1人，持有安监部门颁发的《特种作业操作证（融化焊接与热切割作业）》上岗作业证书；</w:t>
      </w:r>
    </w:p>
    <w:p w14:paraId="342A00D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5.施工时需要注意的事项：</w:t>
      </w:r>
    </w:p>
    <w:p w14:paraId="42BD95F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（1）配合医院门诊楼五楼天面天面模块机机组压缩机及保温棉更换安装的进度安排，确保后期正常的设备运行。</w:t>
      </w:r>
    </w:p>
    <w:p w14:paraId="0302D04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（2）严格遵守有关安全规定，制定安全措施，保证人员、设备及建筑物内人员的安全，并保护好环境。</w:t>
      </w:r>
    </w:p>
    <w:p w14:paraId="1B3F578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（3）遵守医院规章制度、遵守医院保密规定。</w:t>
      </w:r>
    </w:p>
    <w:p w14:paraId="5F9992E3">
      <w:pPr>
        <w:numPr>
          <w:ilvl w:val="0"/>
          <w:numId w:val="0"/>
        </w:numPr>
        <w:spacing w:line="360" w:lineRule="auto"/>
        <w:ind w:firstLine="486" w:firstLineChars="200"/>
        <w:rPr>
          <w:rFonts w:hint="default" w:ascii="仿宋" w:hAnsi="仿宋" w:eastAsia="仿宋" w:cs="仿宋"/>
          <w:b w:val="0"/>
          <w:bCs w:val="0"/>
          <w:color w:val="auto"/>
          <w:sz w:val="24"/>
          <w:highlight w:val="yellow"/>
          <w:lang w:val="en-US" w:eastAsia="zh-CN"/>
        </w:rPr>
      </w:pPr>
      <w:r>
        <w:rPr>
          <w:rFonts w:hint="eastAsia" w:ascii="仿宋" w:hAnsi="仿宋" w:eastAsia="仿宋" w:cs="仿宋"/>
          <w:b w:val="0"/>
          <w:bCs w:val="0"/>
          <w:color w:val="auto"/>
          <w:sz w:val="24"/>
          <w:highlight w:val="none"/>
          <w:lang w:val="en-US" w:eastAsia="zh-CN"/>
        </w:rPr>
        <w:t>（4）服务态度好，职业道德好。</w:t>
      </w:r>
    </w:p>
    <w:p w14:paraId="61C0E3A6">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val="zh-CN" w:eastAsia="zh-CN"/>
        </w:rPr>
        <w:t>商务要求</w:t>
      </w:r>
    </w:p>
    <w:p w14:paraId="608C7CE3">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1.交付时间</w:t>
      </w:r>
    </w:p>
    <w:p w14:paraId="7D04B7C2">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strike w:val="0"/>
          <w:color w:val="auto"/>
          <w:sz w:val="24"/>
          <w:highlight w:val="none"/>
          <w:lang w:val="en-US" w:eastAsia="zh-CN"/>
        </w:rPr>
        <w:t>签订合同后，</w:t>
      </w:r>
      <w:r>
        <w:rPr>
          <w:rFonts w:hint="eastAsia" w:ascii="仿宋" w:hAnsi="仿宋" w:eastAsia="仿宋" w:cs="仿宋"/>
          <w:b w:val="0"/>
          <w:bCs w:val="0"/>
          <w:color w:val="auto"/>
          <w:sz w:val="24"/>
          <w:highlight w:val="none"/>
          <w:lang w:val="en-US" w:eastAsia="zh-CN"/>
        </w:rPr>
        <w:t>30个工作日全部完成并交付。</w:t>
      </w:r>
    </w:p>
    <w:p w14:paraId="54C1632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（2）供应商需按时间要求，合理组织，因供应商原因延误交付时间，每延迟一天扣罚人民币2000元。</w:t>
      </w:r>
    </w:p>
    <w:p w14:paraId="70BD42C3">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（3）项目确因不可抗力需要延期的，双方应通过友好协商尽快解决。</w:t>
      </w:r>
    </w:p>
    <w:p w14:paraId="2E88F2B3">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2.服务地点：惠州市第一妇幼保健院采购人指定地点</w:t>
      </w:r>
    </w:p>
    <w:p w14:paraId="5C3FB9F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3.报价要求：</w:t>
      </w:r>
    </w:p>
    <w:p w14:paraId="2165CCA0">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（1）报价方式为整体项目</w:t>
      </w:r>
      <w:r>
        <w:rPr>
          <w:rFonts w:hint="eastAsia" w:ascii="仿宋" w:hAnsi="仿宋" w:eastAsia="仿宋" w:cs="仿宋"/>
          <w:b w:val="0"/>
          <w:bCs w:val="0"/>
          <w:color w:val="auto"/>
          <w:sz w:val="24"/>
          <w:highlight w:val="none"/>
          <w:lang w:val="en-US" w:eastAsia="zh-CN"/>
        </w:rPr>
        <w:t>总价报价</w:t>
      </w:r>
      <w:r>
        <w:rPr>
          <w:rFonts w:hint="eastAsia" w:ascii="仿宋" w:hAnsi="仿宋" w:eastAsia="仿宋" w:cs="仿宋"/>
          <w:b w:val="0"/>
          <w:bCs w:val="0"/>
          <w:color w:val="auto"/>
          <w:sz w:val="24"/>
          <w:highlight w:val="none"/>
          <w:lang w:val="zh-CN" w:eastAsia="zh-CN"/>
        </w:rPr>
        <w:t>。</w:t>
      </w:r>
    </w:p>
    <w:p w14:paraId="30C43ABC">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（2）报价中必须包括服务过程产生的但不限于人工、工具使用、各项税费及合同实施过程中的应预见和不可预见费用等完成合同规定责任和义务、达到合同目的的一切费用及企业利润。</w:t>
      </w:r>
    </w:p>
    <w:p w14:paraId="2785796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（3）供应商必须自行考虑本项目在实施期间的一切可能产生的费用。在合同执行过程中，采购人将不再另行支付与本项目相关的任何费用（非本项目要求的其他内容除外）。</w:t>
      </w:r>
    </w:p>
    <w:p w14:paraId="67D30A71">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4.付款方式</w:t>
      </w:r>
    </w:p>
    <w:p w14:paraId="5270B15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（1）工程完成后，经甲方验收合格后30天内支付合同总金额。</w:t>
      </w:r>
    </w:p>
    <w:p w14:paraId="6274245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（2）乙方必须向甲方出具合法有效完整的完税发票及凭证进行支付结算。</w:t>
      </w:r>
    </w:p>
    <w:p w14:paraId="5988A8B6">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（3）支付方式采用银行转账支付。</w:t>
      </w:r>
    </w:p>
    <w:p w14:paraId="2EB7F9CA">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4.验收方式</w:t>
      </w:r>
    </w:p>
    <w:p w14:paraId="6865E61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由经办部门牵头组织验收小组对照项目内容要求进行验收。</w:t>
      </w:r>
    </w:p>
    <w:p w14:paraId="6CBCD8F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验收流程：资料准备：施工单位需提供保温工程的施工方案、材料质量合格证明、检验报告、验收记录等。人员组织：成立验收小组，成员包括建设单位、施工单位、物业单位等相关人员，明确各人员的职责，准备好检测工具，如温度计、测厚仪、量尺等，用于对保温工程的各项指标进行检测。</w:t>
      </w:r>
    </w:p>
    <w:p w14:paraId="0109815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（2）验收标准：根据门诊楼五楼天面天面模块机机组压缩机及保温棉更换，设备稳定正常运行。</w:t>
      </w:r>
    </w:p>
    <w:p w14:paraId="7BE4F34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5.其他要求</w:t>
      </w:r>
    </w:p>
    <w:p w14:paraId="4A5AA6AC">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color w:val="auto"/>
          <w:kern w:val="2"/>
          <w:sz w:val="24"/>
          <w:szCs w:val="24"/>
          <w:highlight w:val="none"/>
          <w:lang w:val="en-US" w:eastAsia="zh-CN" w:bidi="ar-SA"/>
        </w:rPr>
        <w:t>根据响应供应商提出的实施方案（包括人力投入、进度计划、具体操作、服务便利措施等情况）进行综合评审。</w:t>
      </w:r>
    </w:p>
    <w:p w14:paraId="056F818A">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（2）根据响应供应商提供的培训与管理方案（包括项目培训计划、安全管理及高空作业安全培训计划、实施细则等情况）进行综合评审。</w:t>
      </w:r>
    </w:p>
    <w:p w14:paraId="443AB00F">
      <w:pPr>
        <w:keepNext w:val="0"/>
        <w:keepLines w:val="0"/>
        <w:widowControl/>
        <w:numPr>
          <w:ilvl w:val="0"/>
          <w:numId w:val="0"/>
        </w:numPr>
        <w:suppressLineNumbers w:val="0"/>
        <w:spacing w:before="0" w:beforeAutospacing="0" w:after="0" w:afterAutospacing="0" w:line="360" w:lineRule="auto"/>
        <w:ind w:left="0" w:right="0"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（3）根据响应供应商提供的突发事件处理方案（包括人员到位时间、处置措施等情况）进行综合评审。</w:t>
      </w:r>
    </w:p>
    <w:p w14:paraId="3CC61F99">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（4）根据响应供应商提供的项目质保期限在符合采购文件要求的质保期基础上承诺期限进行评分。</w:t>
      </w:r>
    </w:p>
    <w:p w14:paraId="66D08A0D">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（5）根据响应供应商提供针对本项目质量控制和安全保障措施是否合理，编制内容是否符合技术要求等内容进行对比评审。</w:t>
      </w:r>
    </w:p>
    <w:p w14:paraId="17B9AFAE">
      <w:pPr>
        <w:numPr>
          <w:ilvl w:val="0"/>
          <w:numId w:val="0"/>
        </w:numPr>
        <w:spacing w:line="360" w:lineRule="auto"/>
        <w:ind w:firstLine="486"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auto"/>
          <w:kern w:val="2"/>
          <w:sz w:val="24"/>
          <w:highlight w:val="none"/>
          <w:lang w:val="en-US"/>
        </w:rPr>
        <w:t>根据</w:t>
      </w:r>
      <w:r>
        <w:rPr>
          <w:rFonts w:hint="eastAsia" w:ascii="仿宋" w:hAnsi="仿宋" w:eastAsia="仿宋" w:cs="仿宋"/>
          <w:color w:val="auto"/>
          <w:kern w:val="2"/>
          <w:sz w:val="24"/>
          <w:highlight w:val="none"/>
          <w:lang w:val="en-US" w:eastAsia="zh-CN"/>
        </w:rPr>
        <w:t>响应</w:t>
      </w:r>
      <w:r>
        <w:rPr>
          <w:rFonts w:hint="eastAsia" w:ascii="仿宋" w:hAnsi="仿宋" w:eastAsia="仿宋" w:cs="仿宋"/>
          <w:color w:val="auto"/>
          <w:kern w:val="2"/>
          <w:sz w:val="24"/>
          <w:highlight w:val="none"/>
          <w:lang w:val="en-US"/>
        </w:rPr>
        <w:t>供应商</w:t>
      </w:r>
      <w:r>
        <w:rPr>
          <w:rFonts w:hint="eastAsia" w:ascii="仿宋" w:hAnsi="仿宋" w:eastAsia="仿宋" w:cs="仿宋"/>
          <w:color w:val="auto"/>
          <w:kern w:val="2"/>
          <w:sz w:val="24"/>
          <w:highlight w:val="none"/>
          <w:lang w:val="en-US" w:eastAsia="zh-CN"/>
        </w:rPr>
        <w:t>提供</w:t>
      </w:r>
      <w:r>
        <w:rPr>
          <w:rFonts w:hint="eastAsia" w:ascii="仿宋" w:hAnsi="仿宋" w:eastAsia="仿宋" w:cs="仿宋"/>
          <w:color w:val="auto"/>
          <w:kern w:val="2"/>
          <w:sz w:val="24"/>
          <w:highlight w:val="none"/>
          <w:lang w:val="en-US"/>
        </w:rPr>
        <w:t>20</w:t>
      </w:r>
      <w:r>
        <w:rPr>
          <w:rFonts w:hint="eastAsia" w:ascii="仿宋" w:hAnsi="仿宋" w:eastAsia="仿宋" w:cs="仿宋"/>
          <w:color w:val="auto"/>
          <w:kern w:val="0"/>
          <w:sz w:val="24"/>
          <w:highlight w:val="none"/>
          <w:lang w:val="en-US" w:eastAsia="zh-CN"/>
        </w:rPr>
        <w:t>2</w:t>
      </w:r>
      <w:r>
        <w:rPr>
          <w:rFonts w:hint="default" w:ascii="仿宋" w:hAnsi="仿宋" w:eastAsia="仿宋" w:cs="仿宋"/>
          <w:color w:val="auto"/>
          <w:kern w:val="0"/>
          <w:sz w:val="24"/>
          <w:highlight w:val="none"/>
          <w:lang w:val="en-US" w:eastAsia="zh-CN"/>
        </w:rPr>
        <w:t>2</w:t>
      </w:r>
      <w:r>
        <w:rPr>
          <w:rFonts w:hint="eastAsia" w:ascii="仿宋" w:hAnsi="仿宋" w:eastAsia="仿宋" w:cs="仿宋"/>
          <w:color w:val="auto"/>
          <w:kern w:val="2"/>
          <w:sz w:val="24"/>
          <w:highlight w:val="none"/>
          <w:lang w:val="en-US"/>
        </w:rPr>
        <w:t>年1月1日至今</w:t>
      </w:r>
      <w:r>
        <w:rPr>
          <w:rFonts w:hint="eastAsia" w:ascii="仿宋" w:hAnsi="仿宋" w:eastAsia="仿宋" w:cs="仿宋"/>
          <w:color w:val="auto"/>
          <w:kern w:val="0"/>
          <w:sz w:val="24"/>
          <w:highlight w:val="none"/>
          <w:lang w:val="en-US" w:eastAsia="zh-CN"/>
        </w:rPr>
        <w:t>（以合同签订时间为准）</w:t>
      </w:r>
      <w:r>
        <w:rPr>
          <w:rFonts w:hint="eastAsia" w:ascii="仿宋" w:hAnsi="仿宋" w:eastAsia="仿宋" w:cs="仿宋"/>
          <w:color w:val="auto"/>
          <w:kern w:val="2"/>
          <w:sz w:val="24"/>
          <w:highlight w:val="none"/>
          <w:lang w:val="en-US"/>
        </w:rPr>
        <w:t>的同类项目业绩情况进行评分</w:t>
      </w:r>
    </w:p>
    <w:p w14:paraId="0F1FEC18">
      <w:pPr>
        <w:numPr>
          <w:ilvl w:val="0"/>
          <w:numId w:val="0"/>
        </w:numPr>
        <w:spacing w:line="360" w:lineRule="auto"/>
        <w:ind w:firstLine="486" w:firstLineChars="200"/>
        <w:rPr>
          <w:rFonts w:hint="eastAsia" w:ascii="仿宋" w:hAnsi="仿宋" w:eastAsia="仿宋" w:cs="仿宋"/>
          <w:color w:val="auto"/>
          <w:kern w:val="2"/>
          <w:sz w:val="24"/>
          <w:szCs w:val="24"/>
          <w:highlight w:val="none"/>
          <w:lang w:val="en-US" w:eastAsia="zh-CN" w:bidi="ar-SA"/>
        </w:rPr>
      </w:pPr>
    </w:p>
    <w:p w14:paraId="455EF3D2">
      <w:pPr>
        <w:spacing w:line="360" w:lineRule="auto"/>
        <w:ind w:firstLine="510" w:firstLineChars="210"/>
        <w:rPr>
          <w:rFonts w:hint="eastAsia" w:ascii="仿宋" w:hAnsi="仿宋" w:eastAsia="仿宋" w:cs="仿宋"/>
          <w:color w:val="auto"/>
          <w:sz w:val="24"/>
          <w:highlight w:val="none"/>
          <w:lang w:val="en-US" w:eastAsia="zh-CN"/>
        </w:rPr>
      </w:pPr>
    </w:p>
    <w:p w14:paraId="620F7834">
      <w:pPr>
        <w:spacing w:line="360" w:lineRule="auto"/>
        <w:ind w:firstLine="510"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14:paraId="4455C80C">
      <w:pPr>
        <w:pStyle w:val="13"/>
        <w:adjustRightInd w:val="0"/>
        <w:snapToGrid w:val="0"/>
        <w:spacing w:line="380" w:lineRule="exact"/>
        <w:rPr>
          <w:rFonts w:hint="eastAsia" w:ascii="仿宋" w:hAnsi="仿宋" w:eastAsia="仿宋" w:cs="仿宋"/>
          <w:color w:val="auto"/>
          <w:sz w:val="28"/>
          <w:szCs w:val="28"/>
          <w:highlight w:val="none"/>
        </w:rPr>
      </w:pPr>
    </w:p>
    <w:p w14:paraId="1BB08684">
      <w:pPr>
        <w:pStyle w:val="13"/>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7496CBBF">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18DC7FE7">
      <w:pPr>
        <w:pStyle w:val="13"/>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4132091B">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67D35F10">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5947433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56FBCD40">
      <w:pPr>
        <w:pStyle w:val="13"/>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61227543">
      <w:pPr>
        <w:pStyle w:val="13"/>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467D50A7">
      <w:pPr>
        <w:pStyle w:val="13"/>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40E06CCD">
      <w:pPr>
        <w:pStyle w:val="13"/>
        <w:adjustRightInd w:val="0"/>
        <w:snapToGrid w:val="0"/>
        <w:spacing w:line="360" w:lineRule="auto"/>
        <w:ind w:firstLine="486" w:firstLineChars="2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（5）</w:t>
      </w:r>
      <w:r>
        <w:rPr>
          <w:rFonts w:hint="eastAsia" w:ascii="仿宋" w:hAnsi="仿宋" w:eastAsia="仿宋" w:cs="仿宋"/>
          <w:color w:val="auto"/>
          <w:sz w:val="24"/>
          <w:szCs w:val="24"/>
          <w:highlight w:val="green"/>
        </w:rPr>
        <w:t>“</w:t>
      </w:r>
      <w:r>
        <w:rPr>
          <w:rFonts w:hint="eastAsia" w:ascii="仿宋" w:hAnsi="仿宋" w:eastAsia="仿宋" w:cs="仿宋"/>
          <w:color w:val="auto"/>
          <w:sz w:val="24"/>
          <w:szCs w:val="24"/>
          <w:highlight w:val="green"/>
          <w:lang w:val="en-US" w:eastAsia="zh-CN"/>
        </w:rPr>
        <w:t>成交</w:t>
      </w:r>
      <w:r>
        <w:rPr>
          <w:rFonts w:hint="eastAsia" w:ascii="仿宋" w:hAnsi="仿宋" w:eastAsia="仿宋" w:cs="仿宋"/>
          <w:color w:val="auto"/>
          <w:sz w:val="24"/>
          <w:szCs w:val="24"/>
          <w:highlight w:val="green"/>
        </w:rPr>
        <w:t>供应商”是指经</w:t>
      </w:r>
      <w:r>
        <w:rPr>
          <w:rFonts w:hint="eastAsia" w:ascii="仿宋" w:hAnsi="仿宋" w:eastAsia="仿宋" w:cs="仿宋"/>
          <w:color w:val="auto"/>
          <w:sz w:val="24"/>
          <w:szCs w:val="24"/>
          <w:highlight w:val="green"/>
          <w:lang w:val="en-US" w:eastAsia="zh-CN"/>
        </w:rPr>
        <w:t>评审小组</w:t>
      </w:r>
      <w:r>
        <w:rPr>
          <w:rFonts w:hint="eastAsia" w:ascii="仿宋" w:hAnsi="仿宋" w:eastAsia="仿宋" w:cs="仿宋"/>
          <w:color w:val="auto"/>
          <w:sz w:val="24"/>
          <w:szCs w:val="24"/>
          <w:highlight w:val="green"/>
        </w:rPr>
        <w:t>评审确定的对</w:t>
      </w:r>
      <w:r>
        <w:rPr>
          <w:rFonts w:hint="eastAsia" w:ascii="仿宋" w:hAnsi="仿宋" w:eastAsia="仿宋" w:cs="仿宋"/>
          <w:color w:val="auto"/>
          <w:sz w:val="24"/>
          <w:szCs w:val="24"/>
          <w:highlight w:val="green"/>
          <w:lang w:val="en-US" w:eastAsia="zh-CN"/>
        </w:rPr>
        <w:t>采购</w:t>
      </w:r>
      <w:r>
        <w:rPr>
          <w:rFonts w:hint="eastAsia" w:ascii="仿宋" w:hAnsi="仿宋" w:eastAsia="仿宋" w:cs="仿宋"/>
          <w:color w:val="auto"/>
          <w:sz w:val="24"/>
          <w:szCs w:val="24"/>
          <w:highlight w:val="green"/>
        </w:rPr>
        <w:t>文件做出实质性响应，</w:t>
      </w:r>
      <w:r>
        <w:rPr>
          <w:rFonts w:hint="eastAsia" w:ascii="仿宋" w:hAnsi="仿宋" w:eastAsia="仿宋" w:cs="仿宋"/>
          <w:color w:val="auto"/>
          <w:sz w:val="24"/>
          <w:szCs w:val="24"/>
          <w:highlight w:val="green"/>
          <w:lang w:eastAsia="zh-CN"/>
        </w:rPr>
        <w:t>按评审结果顺序推荐的成交候选人及采购文件中明确的定标方法，由采购人党委会或（院长办公会）确定的</w:t>
      </w:r>
      <w:r>
        <w:rPr>
          <w:rFonts w:hint="eastAsia" w:ascii="仿宋" w:hAnsi="仿宋" w:eastAsia="仿宋" w:cs="仿宋"/>
          <w:color w:val="auto"/>
          <w:sz w:val="24"/>
          <w:szCs w:val="24"/>
          <w:highlight w:val="green"/>
          <w:lang w:val="en-US" w:eastAsia="zh-CN"/>
        </w:rPr>
        <w:t>响应供应商</w:t>
      </w:r>
      <w:r>
        <w:rPr>
          <w:rFonts w:hint="eastAsia" w:ascii="仿宋" w:hAnsi="仿宋" w:eastAsia="仿宋" w:cs="仿宋"/>
          <w:color w:val="auto"/>
          <w:sz w:val="24"/>
          <w:szCs w:val="24"/>
          <w:highlight w:val="green"/>
        </w:rPr>
        <w:t>。</w:t>
      </w:r>
    </w:p>
    <w:p w14:paraId="123338EE">
      <w:pPr>
        <w:pStyle w:val="13"/>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1D544324">
      <w:pPr>
        <w:pStyle w:val="13"/>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0C3FE0E3">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759D1A09">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36E20D6D">
      <w:pPr>
        <w:pStyle w:val="13"/>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4E3152B9">
      <w:pPr>
        <w:pStyle w:val="13"/>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2F33EF0D">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28E1AEA2">
      <w:pPr>
        <w:pStyle w:val="13"/>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724F6AAE">
      <w:pPr>
        <w:pStyle w:val="13"/>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214F9A45">
      <w:pPr>
        <w:pStyle w:val="13"/>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15127927">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5D60B18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1C9ADD7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1DA1DCB9">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08CC48A1">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753BAD25">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w:t>
      </w:r>
    </w:p>
    <w:p w14:paraId="7BE28597">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18B44F4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设区的市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含新疆生产建设兵团</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出具的属于监狱企业的证明文件，不再提供《中小企业声明函》。</w:t>
      </w:r>
    </w:p>
    <w:p w14:paraId="4D451722">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6DCD4A30">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23FF7F74">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4D035DE8">
      <w:pPr>
        <w:pStyle w:val="1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43F58B0C">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5FA60CE3">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5433F1CB">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46E2D9C3">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25932DB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w:t>
      </w:r>
      <w:r>
        <w:rPr>
          <w:rFonts w:hint="eastAsia" w:ascii="仿宋" w:hAnsi="仿宋" w:eastAsia="仿宋" w:cs="仿宋"/>
          <w:bCs/>
          <w:color w:val="auto"/>
          <w:sz w:val="24"/>
          <w:szCs w:val="24"/>
          <w:highlight w:val="none"/>
          <w:lang w:eastAsia="zh-CN"/>
        </w:rPr>
        <w:t>的</w:t>
      </w:r>
      <w:r>
        <w:rPr>
          <w:rFonts w:hint="eastAsia" w:ascii="仿宋" w:hAnsi="仿宋" w:eastAsia="仿宋" w:cs="仿宋"/>
          <w:bCs/>
          <w:color w:val="auto"/>
          <w:sz w:val="24"/>
          <w:szCs w:val="24"/>
          <w:highlight w:val="none"/>
        </w:rPr>
        <w:t>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2E5007CB">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12D4EDA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32800056">
      <w:pPr>
        <w:pStyle w:val="13"/>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395C32E4">
      <w:pPr>
        <w:pStyle w:val="13"/>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2917C40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49FBAAEA">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06FCF8B4">
      <w:pPr>
        <w:pStyle w:val="13"/>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20DC269D">
      <w:pPr>
        <w:pStyle w:val="13"/>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53245794">
      <w:pPr>
        <w:pStyle w:val="13"/>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5BAF9308">
      <w:pPr>
        <w:pStyle w:val="13"/>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335292D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78652F46">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07E53DD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17DB9BF">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0CEBEB6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4D9DB08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767B848D">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17421FDB">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6D553D6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2513AE97">
      <w:pPr>
        <w:pStyle w:val="13"/>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69395837">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4ADD1453">
      <w:pPr>
        <w:pStyle w:val="13"/>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7914A6C2">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6BDDCEA6">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14:paraId="207A94AB">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5CECC95F">
      <w:pPr>
        <w:pStyle w:val="13"/>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66BE0299">
      <w:pPr>
        <w:pStyle w:val="13"/>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4ADBE2E0">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4B33AA08">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04ECC88A">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7B64DBD2">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0D8904F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07FBF6B0">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5B066538">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7BC0CAD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4A76EF9D">
      <w:pPr>
        <w:pStyle w:val="13"/>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745AD633">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1C6B6F3C">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546D9AF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26B52DDF">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76B20E64">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4705A688">
      <w:pPr>
        <w:pStyle w:val="13"/>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11178A69">
      <w:pPr>
        <w:pStyle w:val="13"/>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7BC75340">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33D6AEEF">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3503E113">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4B8EF864">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7C2651A6">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726C14DE">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03A4C04C">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2A448555">
      <w:pPr>
        <w:pStyle w:val="13"/>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1E9A7715">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2D2EDD11">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4637CB28">
      <w:pPr>
        <w:pStyle w:val="13"/>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2CE0FD29">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0D45E7BA">
      <w:pPr>
        <w:pStyle w:val="13"/>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65EE54BA">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091FBE85">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744118D2">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60B24DF2">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627DE64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4AB04C03">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2D08EC95">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32E5F5F9">
      <w:pPr>
        <w:pStyle w:val="13"/>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78C153D9">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3246E61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47C6BE66">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671ED8AB">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24D3748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7A79353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6B12F6F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60B2B7B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2CEEA3FA">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3DE3351D">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6497FAA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6940CAE3">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0142C244">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2C8D9D28">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79632BB6">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14891CCC">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07706A04">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0CD0C201">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047F273F">
      <w:pPr>
        <w:pStyle w:val="13"/>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3B74A22F">
      <w:pPr>
        <w:pStyle w:val="13"/>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452BD471">
      <w:pPr>
        <w:pStyle w:val="13"/>
        <w:adjustRightInd w:val="0"/>
        <w:snapToGrid w:val="0"/>
        <w:spacing w:line="360" w:lineRule="auto"/>
        <w:ind w:firstLine="486" w:firstLineChars="200"/>
        <w:rPr>
          <w:rFonts w:hint="eastAsia"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五、比选和定标</w:t>
      </w:r>
    </w:p>
    <w:p w14:paraId="2658F165">
      <w:pPr>
        <w:pStyle w:val="13"/>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669FB8F5">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72F162AE">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796FEA48">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58303B1E">
      <w:pPr>
        <w:pStyle w:val="13"/>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3A7948DE">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25EF811D">
      <w:pPr>
        <w:pStyle w:val="13"/>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77B7627D">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1B14D664">
      <w:pPr>
        <w:pStyle w:val="13"/>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结论。持不同意见的评审小组成员应当在评审报告上签署不同意见并说明理由，否则视为同意。</w:t>
      </w:r>
    </w:p>
    <w:p w14:paraId="5BF9621C">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7239B5C8">
      <w:pPr>
        <w:pStyle w:val="13"/>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5B1882E2">
      <w:pPr>
        <w:pStyle w:val="13"/>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14D4A326">
      <w:pPr>
        <w:pStyle w:val="13"/>
        <w:adjustRightInd w:val="0"/>
        <w:snapToGrid w:val="0"/>
        <w:spacing w:line="360" w:lineRule="auto"/>
        <w:ind w:firstLine="486" w:firstLineChars="200"/>
        <w:rPr>
          <w:rFonts w:hint="eastAsia" w:ascii="仿宋" w:hAnsi="仿宋" w:eastAsia="仿宋" w:cs="仿宋"/>
          <w:strike w:val="0"/>
          <w:dstrike w:val="0"/>
          <w:color w:val="auto"/>
          <w:sz w:val="24"/>
          <w:szCs w:val="24"/>
          <w:highlight w:val="green"/>
          <w:lang w:eastAsia="zh-CN"/>
        </w:rPr>
      </w:pPr>
      <w:r>
        <w:rPr>
          <w:rFonts w:hint="eastAsia" w:ascii="仿宋" w:hAnsi="仿宋" w:eastAsia="仿宋" w:cs="仿宋"/>
          <w:color w:val="auto"/>
          <w:sz w:val="24"/>
          <w:szCs w:val="24"/>
          <w:highlight w:val="green"/>
          <w:lang w:eastAsia="zh-CN"/>
        </w:rPr>
        <w:t>本项目采用“定量评审”方式。</w:t>
      </w:r>
      <w:r>
        <w:rPr>
          <w:rFonts w:hint="eastAsia" w:ascii="仿宋" w:hAnsi="仿宋" w:eastAsia="仿宋" w:cs="仿宋"/>
          <w:color w:val="auto"/>
          <w:sz w:val="24"/>
          <w:szCs w:val="24"/>
          <w:highlight w:val="green"/>
          <w:lang w:val="en-US" w:eastAsia="zh-CN"/>
        </w:rPr>
        <w:t>采用“定量评审”方式推荐成交候选人的，评审小组根据比选文件规定的评审办法对通过资格性、符合性审查的响应文件进行评审，按评审结果顺序，推荐前3名成交候选人。</w:t>
      </w:r>
    </w:p>
    <w:p w14:paraId="4CFB3CA9">
      <w:pPr>
        <w:pStyle w:val="13"/>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评审步骤</w:t>
      </w:r>
    </w:p>
    <w:p w14:paraId="07BA5E77">
      <w:pPr>
        <w:pStyle w:val="13"/>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46E42F43">
      <w:pPr>
        <w:pStyle w:val="13"/>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333F9FEA">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7"/>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6480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2199E72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267CD1C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5B16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647290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0F55F20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4474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3A948BDE">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49CBAEC8">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5EC9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4D5CBB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1996858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2EB2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8779168">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4D37D2A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4B3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F925B0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2A5F281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1E60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8C9E3EA">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71AE0A96">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421D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7FCE474">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56997D7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02C57539">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016CD259">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616E5DAC">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7EB0C739">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0DA4BB0B">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2A07A656">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64FDD179">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675A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613D3133">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7A2A4578">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1BC5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3FE6C261">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54C48913">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799648E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0DD9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88BCC99">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F2855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5A5CB023">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2022年至今</w:t>
            </w:r>
            <w:r>
              <w:rPr>
                <w:rFonts w:hint="eastAsia" w:ascii="仿宋" w:hAnsi="仿宋" w:eastAsia="仿宋" w:cs="仿宋"/>
                <w:color w:val="auto"/>
                <w:highlight w:val="none"/>
              </w:rPr>
              <w:t>任意一年经审计的审计报告复印件（包含审计报告中所涉及的财务报表和报表附注）；或②</w:t>
            </w:r>
            <w:r>
              <w:rPr>
                <w:rFonts w:hint="eastAsia" w:ascii="仿宋" w:hAnsi="仿宋" w:eastAsia="仿宋" w:cs="仿宋"/>
                <w:color w:val="auto"/>
                <w:highlight w:val="none"/>
                <w:lang w:eastAsia="zh-CN"/>
              </w:rPr>
              <w:t>2022年至今</w:t>
            </w:r>
            <w:r>
              <w:rPr>
                <w:rFonts w:hint="eastAsia" w:ascii="仿宋" w:hAnsi="仿宋" w:eastAsia="仿宋" w:cs="仿宋"/>
                <w:color w:val="auto"/>
                <w:highlight w:val="none"/>
              </w:rPr>
              <w:t>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571E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E575A5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BCC8BD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65BF0F4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11A9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393CC66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C97135A">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4117006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0737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56EA6AB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12A0DB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21AB8C2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6AA8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325168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13B6B4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25798F6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55EA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765C09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7446170">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21F6CA6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3263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2883F5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7DF27F4">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2A9B02A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0D58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8F7E26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3096ECE">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09AA506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0D6A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59BF47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7AFE16A">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2BC7F42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r>
      <w:tr w14:paraId="2D38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04F7AE8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ED0039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14:paraId="460D864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r>
      <w:tr w14:paraId="22DC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35FC7BF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7606F08">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323AF846">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14:paraId="493D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1C8CD2CC">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55E34578">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1057B796">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4387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263A6F5B">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A62B9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6EA0DD83">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7556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3F5D095">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251A43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3302F76A">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22CC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0FF8E560">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5DACE2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730499BD">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6A3E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66FE23C5">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24FE24C6">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0A13A4F0">
      <w:pPr>
        <w:pStyle w:val="13"/>
        <w:adjustRightInd w:val="0"/>
        <w:snapToGrid w:val="0"/>
        <w:spacing w:line="360" w:lineRule="auto"/>
        <w:ind w:right="32"/>
        <w:rPr>
          <w:rFonts w:hint="eastAsia" w:ascii="仿宋" w:hAnsi="仿宋" w:eastAsia="仿宋" w:cs="仿宋"/>
          <w:b w:val="0"/>
          <w:bCs/>
          <w:color w:val="auto"/>
          <w:sz w:val="24"/>
          <w:szCs w:val="24"/>
          <w:highlight w:val="none"/>
        </w:rPr>
      </w:pPr>
    </w:p>
    <w:p w14:paraId="2E9E0446">
      <w:pPr>
        <w:pStyle w:val="13"/>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1D64F30F">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06FE4895">
      <w:pPr>
        <w:pStyle w:val="13"/>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59AED60E">
      <w:pPr>
        <w:pStyle w:val="13"/>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02576488">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3590D764">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2E6B187C">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p w14:paraId="7E02B10B">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p>
    <w:tbl>
      <w:tblPr>
        <w:tblStyle w:val="17"/>
        <w:tblW w:w="7840" w:type="dxa"/>
        <w:tblInd w:w="0" w:type="dxa"/>
        <w:tblLayout w:type="fixed"/>
        <w:tblCellMar>
          <w:top w:w="0" w:type="dxa"/>
          <w:left w:w="108" w:type="dxa"/>
          <w:bottom w:w="0" w:type="dxa"/>
          <w:right w:w="108" w:type="dxa"/>
        </w:tblCellMar>
      </w:tblPr>
      <w:tblGrid>
        <w:gridCol w:w="673"/>
        <w:gridCol w:w="1216"/>
        <w:gridCol w:w="847"/>
        <w:gridCol w:w="5104"/>
      </w:tblGrid>
      <w:tr w14:paraId="48C152CF">
        <w:tblPrEx>
          <w:tblCellMar>
            <w:top w:w="0" w:type="dxa"/>
            <w:left w:w="108" w:type="dxa"/>
            <w:bottom w:w="0" w:type="dxa"/>
            <w:right w:w="108" w:type="dxa"/>
          </w:tblCellMar>
        </w:tblPrEx>
        <w:trPr>
          <w:trHeight w:val="427" w:hRule="atLeast"/>
        </w:trPr>
        <w:tc>
          <w:tcPr>
            <w:tcW w:w="7840" w:type="dxa"/>
            <w:gridSpan w:val="4"/>
            <w:tcBorders>
              <w:top w:val="single" w:color="000000" w:sz="4" w:space="0"/>
              <w:left w:val="single" w:color="000000" w:sz="4" w:space="0"/>
              <w:bottom w:val="single" w:color="000000" w:sz="4" w:space="0"/>
              <w:right w:val="single" w:color="000000" w:sz="4" w:space="0"/>
            </w:tcBorders>
            <w:noWrap w:val="0"/>
            <w:vAlign w:val="center"/>
          </w:tcPr>
          <w:p w14:paraId="108E5D4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401D1D85">
        <w:tblPrEx>
          <w:tblCellMar>
            <w:top w:w="0" w:type="dxa"/>
            <w:left w:w="108" w:type="dxa"/>
            <w:bottom w:w="0" w:type="dxa"/>
            <w:right w:w="108" w:type="dxa"/>
          </w:tblCellMar>
        </w:tblPrEx>
        <w:trPr>
          <w:trHeight w:val="563"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00DD3B7">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276ECD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295B5C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3FED68F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53BF74D2">
        <w:tblPrEx>
          <w:tblCellMar>
            <w:top w:w="0" w:type="dxa"/>
            <w:left w:w="108" w:type="dxa"/>
            <w:bottom w:w="0" w:type="dxa"/>
            <w:right w:w="108" w:type="dxa"/>
          </w:tblCellMar>
        </w:tblPrEx>
        <w:trPr>
          <w:trHeight w:val="1848"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A0C89CD">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4335F24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4C3FF9">
            <w:pPr>
              <w:keepNext w:val="0"/>
              <w:keepLines w:val="0"/>
              <w:widowControl/>
              <w:suppressLineNumbers w:val="0"/>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30</w:t>
            </w:r>
          </w:p>
        </w:tc>
        <w:tc>
          <w:tcPr>
            <w:tcW w:w="5104" w:type="dxa"/>
            <w:tcBorders>
              <w:top w:val="single" w:color="000000" w:sz="4" w:space="0"/>
              <w:left w:val="single" w:color="000000" w:sz="4" w:space="0"/>
              <w:bottom w:val="single" w:color="000000" w:sz="4" w:space="0"/>
              <w:right w:val="single" w:color="000000" w:sz="4" w:space="0"/>
            </w:tcBorders>
            <w:noWrap w:val="0"/>
            <w:vAlign w:val="top"/>
          </w:tcPr>
          <w:p w14:paraId="7FF57E4A">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3D10302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r w14:paraId="472D502E">
        <w:tblPrEx>
          <w:tblCellMar>
            <w:top w:w="0" w:type="dxa"/>
            <w:left w:w="108" w:type="dxa"/>
            <w:bottom w:w="0" w:type="dxa"/>
            <w:right w:w="108" w:type="dxa"/>
          </w:tblCellMar>
        </w:tblPrEx>
        <w:trPr>
          <w:trHeight w:val="246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537DE9C">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3D8C0E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rPr>
              <w:t>的响应程度</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4F943B8">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15</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28AB76E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响应程度进行评分：</w:t>
            </w:r>
          </w:p>
          <w:p w14:paraId="6A402FA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完全满足“采购项目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 有三项不带▲号条款负偏离，得6分； 有四项不带▲号条款负偏离，得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以此类推，当不带▲号条款负偏离达到</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r>
      <w:tr w14:paraId="40771D4D">
        <w:tblPrEx>
          <w:tblCellMar>
            <w:top w:w="0" w:type="dxa"/>
            <w:left w:w="108" w:type="dxa"/>
            <w:bottom w:w="0" w:type="dxa"/>
            <w:right w:w="108" w:type="dxa"/>
          </w:tblCellMar>
        </w:tblPrEx>
        <w:trPr>
          <w:trHeight w:val="338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40B20624">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593BC0AA">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实施方案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FC208B">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50088259">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根据各响应供应商提出的实施方案（包括人力投入、进度计划、具体操作、服务便利措施等情况）进行综合评审，</w:t>
            </w:r>
          </w:p>
          <w:p w14:paraId="00D16EE3">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1.实施方案优于采购人的需求，完整包括以上评审内容，且科学可靠，完善、可行程度高，得 10分；</w:t>
            </w:r>
          </w:p>
          <w:p w14:paraId="69D423E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2.实施方案响应采购人的需求，基本包括以上评审内容，较科学可靠、完善、基本可行的，得7分；</w:t>
            </w:r>
          </w:p>
          <w:p w14:paraId="1E7A88C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3.实施方案基本响应采购人的需求，对以上评审内容有缺失，科学可靠、完善、可行性程度一般，得4分；</w:t>
            </w:r>
          </w:p>
          <w:p w14:paraId="12539E64">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4.无提供方案不得分。</w:t>
            </w:r>
          </w:p>
        </w:tc>
      </w:tr>
      <w:tr w14:paraId="558E4982">
        <w:tblPrEx>
          <w:tblCellMar>
            <w:top w:w="0" w:type="dxa"/>
            <w:left w:w="108" w:type="dxa"/>
            <w:bottom w:w="0" w:type="dxa"/>
            <w:right w:w="108" w:type="dxa"/>
          </w:tblCellMar>
        </w:tblPrEx>
        <w:trPr>
          <w:trHeight w:val="3380"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DF380B5">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292B87F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突发事件处理方案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A0314A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5C895B5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根据各响应供应商提供的突发事件处理方案（</w:t>
            </w:r>
            <w:r>
              <w:rPr>
                <w:rFonts w:hint="eastAsia" w:ascii="仿宋" w:hAnsi="仿宋" w:eastAsia="仿宋" w:cs="仿宋"/>
                <w:color w:val="auto"/>
                <w:sz w:val="24"/>
                <w:lang w:eastAsia="zh-CN"/>
              </w:rPr>
              <w:t>：更换期间爆管，</w:t>
            </w:r>
            <w:r>
              <w:rPr>
                <w:rFonts w:hint="eastAsia" w:ascii="仿宋" w:hAnsi="仿宋" w:eastAsia="仿宋" w:cs="仿宋"/>
                <w:color w:val="auto"/>
                <w:kern w:val="2"/>
                <w:sz w:val="24"/>
                <w:szCs w:val="24"/>
                <w:lang w:val="en-US" w:eastAsia="zh-CN" w:bidi="ar-SA"/>
              </w:rPr>
              <w:t>包括人员到位时间、处置措施等情况）进行综合评审，</w:t>
            </w:r>
          </w:p>
          <w:p w14:paraId="6D758DF7">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1.突发事件处理方案优于采购人的需求，完整包括以上评审内容，且科学可靠，完善、可行程度高，得 10分；</w:t>
            </w:r>
          </w:p>
          <w:p w14:paraId="5B9BB600">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2.突发事件处理方案响应采购人的需求，基本包括以上评审内容，较科学可靠、完善、基本可行的，得6分；</w:t>
            </w:r>
          </w:p>
          <w:p w14:paraId="2FCDC71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3.突发事件处理方案基本响应采购人的需求，对以上评审内容有缺失，科学可靠、完善、可行性程度一般，得3分；</w:t>
            </w:r>
          </w:p>
          <w:p w14:paraId="223FF187">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4.无提供方案不得分。</w:t>
            </w:r>
          </w:p>
        </w:tc>
      </w:tr>
      <w:tr w14:paraId="76F7F909">
        <w:tblPrEx>
          <w:tblCellMar>
            <w:top w:w="0" w:type="dxa"/>
            <w:left w:w="108" w:type="dxa"/>
            <w:bottom w:w="0" w:type="dxa"/>
            <w:right w:w="108" w:type="dxa"/>
          </w:tblCellMar>
        </w:tblPrEx>
        <w:trPr>
          <w:trHeight w:val="1542"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386A4D40">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08A5E38B">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 xml:space="preserve">服务团队要求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54FD01D">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2E37E63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根据各响应供应商拟派3名人员作为团队要求：</w:t>
            </w:r>
          </w:p>
          <w:p w14:paraId="14640FD4">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1.项目负责人持有安监部门颁发的《特种作业操作证（制冷与空调作业）》上岗作业证书，得3分；</w:t>
            </w:r>
          </w:p>
          <w:p w14:paraId="41472F39">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2.安装技术人员1人，持有安监部门颁发的《特种作业操作证（高处作业）》上岗作业证书，得3分；</w:t>
            </w:r>
          </w:p>
          <w:p w14:paraId="5D5CA40F">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3.维修焊接技术人员1人，持有安监部门颁发的《特种作业操作证（融化焊接与热切割作业）》上岗作业证书，得3分；</w:t>
            </w:r>
          </w:p>
          <w:p w14:paraId="4D01CAA5">
            <w:pPr>
              <w:keepNext w:val="0"/>
              <w:keepLines w:val="0"/>
              <w:widowControl/>
              <w:suppressLineNumbers w:val="0"/>
              <w:spacing w:before="0" w:beforeAutospacing="0" w:after="0" w:afterAutospacing="0"/>
              <w:ind w:left="0" w:right="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（本项满分6分，须提供人员相关证书和近三个月社保缴纳证明文件复印件，否则不得分。）</w:t>
            </w:r>
          </w:p>
        </w:tc>
      </w:tr>
      <w:tr w14:paraId="5C3A1EF4">
        <w:tblPrEx>
          <w:tblCellMar>
            <w:top w:w="0" w:type="dxa"/>
            <w:left w:w="108" w:type="dxa"/>
            <w:bottom w:w="0" w:type="dxa"/>
            <w:right w:w="108" w:type="dxa"/>
          </w:tblCellMar>
        </w:tblPrEx>
        <w:trPr>
          <w:trHeight w:val="311"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56EF0FA6">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13C0C24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质保期限的响应</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C7EA11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6</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38B750CA">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根据各响应供应商</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的项目质保期限在符合采购文件要求的质保期基础上承诺期限进行评分</w:t>
            </w:r>
            <w:r>
              <w:rPr>
                <w:rFonts w:hint="eastAsia" w:ascii="仿宋" w:hAnsi="仿宋" w:eastAsia="仿宋" w:cs="仿宋"/>
                <w:color w:val="auto"/>
                <w:kern w:val="2"/>
                <w:sz w:val="24"/>
                <w:szCs w:val="24"/>
                <w:lang w:val="en-US" w:eastAsia="zh-CN" w:bidi="ar-SA"/>
              </w:rPr>
              <w:t>。</w:t>
            </w:r>
          </w:p>
          <w:p w14:paraId="581349E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质保期限符合招标文件要求，</w:t>
            </w:r>
            <w:r>
              <w:rPr>
                <w:rFonts w:hint="eastAsia" w:ascii="仿宋" w:hAnsi="仿宋" w:eastAsia="仿宋" w:cs="仿宋"/>
                <w:color w:val="auto"/>
                <w:sz w:val="24"/>
                <w:lang w:val="en-US" w:eastAsia="zh-CN"/>
              </w:rPr>
              <w:t>在1年质保期的基础上，承诺1年得2分；承诺2年得4分</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lang w:val="en-US" w:eastAsia="zh-CN"/>
              </w:rPr>
              <w:t>承诺3年得6分，提供承诺函，格式自拟，不提供</w:t>
            </w:r>
            <w:r>
              <w:rPr>
                <w:rFonts w:hint="eastAsia" w:ascii="仿宋" w:hAnsi="仿宋" w:eastAsia="仿宋" w:cs="仿宋"/>
                <w:color w:val="auto"/>
                <w:kern w:val="2"/>
                <w:sz w:val="24"/>
                <w:szCs w:val="24"/>
                <w:lang w:val="en-US" w:eastAsia="zh-CN" w:bidi="ar-SA"/>
              </w:rPr>
              <w:t>不得分。</w:t>
            </w:r>
          </w:p>
        </w:tc>
      </w:tr>
      <w:tr w14:paraId="26B94B88">
        <w:tblPrEx>
          <w:tblCellMar>
            <w:top w:w="0" w:type="dxa"/>
            <w:left w:w="108" w:type="dxa"/>
            <w:bottom w:w="0" w:type="dxa"/>
            <w:right w:w="108" w:type="dxa"/>
          </w:tblCellMar>
        </w:tblPrEx>
        <w:trPr>
          <w:trHeight w:val="3074"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184F95C8">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61E1CF42">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质量控制和安全保障措施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3E07E77">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75218C04">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根据响应供应商提供的针对本项目质量控制和安全保障措施是否合理，编制内容是否符合技术要求等内容进行对比评审。</w:t>
            </w:r>
          </w:p>
          <w:p w14:paraId="58D6F503">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1.质量控制和安全保障措施体系完整，制度健全，措施有力得9分；</w:t>
            </w:r>
          </w:p>
          <w:p w14:paraId="34A5FD11">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2.质量控制和安全保障措施体系较完整，制度较健全，措施较有力得6分；</w:t>
            </w:r>
          </w:p>
          <w:p w14:paraId="0FE74C26">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3.质量控制和安全保障措施体系不完整，制度不够健全，措施不得力得3分；</w:t>
            </w:r>
          </w:p>
          <w:p w14:paraId="40E78250">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4.无提供内容不得分。</w:t>
            </w:r>
          </w:p>
        </w:tc>
      </w:tr>
      <w:tr w14:paraId="192E5A66">
        <w:tblPrEx>
          <w:tblCellMar>
            <w:top w:w="0" w:type="dxa"/>
            <w:left w:w="108" w:type="dxa"/>
            <w:bottom w:w="0" w:type="dxa"/>
            <w:right w:w="108" w:type="dxa"/>
          </w:tblCellMar>
        </w:tblPrEx>
        <w:trPr>
          <w:trHeight w:val="3167"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03BF7C6F">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14:paraId="7334F23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同类业绩情况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733568B">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6</w:t>
            </w:r>
          </w:p>
        </w:tc>
        <w:tc>
          <w:tcPr>
            <w:tcW w:w="5104" w:type="dxa"/>
            <w:tcBorders>
              <w:top w:val="single" w:color="000000" w:sz="4" w:space="0"/>
              <w:left w:val="single" w:color="000000" w:sz="4" w:space="0"/>
              <w:bottom w:val="single" w:color="000000" w:sz="4" w:space="0"/>
              <w:right w:val="single" w:color="000000" w:sz="4" w:space="0"/>
            </w:tcBorders>
            <w:noWrap w:val="0"/>
            <w:vAlign w:val="center"/>
          </w:tcPr>
          <w:p w14:paraId="0E222859">
            <w:pPr>
              <w:widowControl/>
              <w:spacing w:line="240" w:lineRule="auto"/>
              <w:ind w:left="0" w:leftChars="0" w:right="0" w:rightChars="0"/>
              <w:jc w:val="left"/>
              <w:rPr>
                <w:rFonts w:hint="eastAsia" w:ascii="仿宋" w:hAnsi="仿宋" w:eastAsia="仿宋" w:cs="仿宋"/>
                <w:color w:val="auto"/>
                <w:kern w:val="2"/>
                <w:sz w:val="24"/>
                <w:lang w:val="en-US"/>
              </w:rPr>
            </w:pPr>
            <w:r>
              <w:rPr>
                <w:rFonts w:hint="eastAsia" w:ascii="仿宋" w:hAnsi="仿宋" w:eastAsia="仿宋" w:cs="仿宋"/>
                <w:color w:val="auto"/>
                <w:kern w:val="2"/>
                <w:sz w:val="24"/>
                <w:lang w:val="en-US"/>
              </w:rPr>
              <w:t>根据</w:t>
            </w:r>
            <w:r>
              <w:rPr>
                <w:rFonts w:hint="eastAsia" w:ascii="仿宋" w:hAnsi="仿宋" w:eastAsia="仿宋" w:cs="仿宋"/>
                <w:color w:val="auto"/>
                <w:kern w:val="2"/>
                <w:sz w:val="24"/>
                <w:lang w:val="en-US" w:eastAsia="zh-CN"/>
              </w:rPr>
              <w:t>各</w:t>
            </w:r>
            <w:r>
              <w:rPr>
                <w:rFonts w:hint="eastAsia" w:ascii="仿宋" w:hAnsi="仿宋" w:eastAsia="仿宋" w:cs="仿宋"/>
                <w:color w:val="auto"/>
                <w:kern w:val="2"/>
                <w:sz w:val="24"/>
                <w:lang w:val="en-US"/>
              </w:rPr>
              <w:t>供应商</w:t>
            </w:r>
            <w:r>
              <w:rPr>
                <w:rFonts w:hint="eastAsia" w:ascii="仿宋" w:hAnsi="仿宋" w:eastAsia="仿宋" w:cs="仿宋"/>
                <w:color w:val="auto"/>
                <w:kern w:val="2"/>
                <w:sz w:val="24"/>
                <w:lang w:val="en-US" w:eastAsia="zh-CN"/>
              </w:rPr>
              <w:t>提供的</w:t>
            </w:r>
            <w:r>
              <w:rPr>
                <w:rFonts w:hint="eastAsia" w:ascii="仿宋" w:hAnsi="仿宋" w:eastAsia="仿宋" w:cs="仿宋"/>
                <w:color w:val="auto"/>
                <w:kern w:val="2"/>
                <w:sz w:val="24"/>
                <w:lang w:val="en-US"/>
              </w:rPr>
              <w:t>20</w:t>
            </w:r>
            <w:r>
              <w:rPr>
                <w:rFonts w:hint="eastAsia" w:ascii="仿宋" w:hAnsi="仿宋" w:eastAsia="仿宋" w:cs="仿宋"/>
                <w:color w:val="auto"/>
                <w:kern w:val="2"/>
                <w:sz w:val="24"/>
                <w:lang w:val="en-US" w:eastAsia="zh-CN"/>
              </w:rPr>
              <w:t>22</w:t>
            </w:r>
            <w:r>
              <w:rPr>
                <w:rFonts w:hint="eastAsia" w:ascii="仿宋" w:hAnsi="仿宋" w:eastAsia="仿宋" w:cs="仿宋"/>
                <w:color w:val="auto"/>
                <w:kern w:val="2"/>
                <w:sz w:val="24"/>
                <w:lang w:val="en-US"/>
              </w:rPr>
              <w:t>年1月1日至今</w:t>
            </w:r>
            <w:r>
              <w:rPr>
                <w:rFonts w:hint="eastAsia" w:ascii="仿宋" w:hAnsi="仿宋" w:eastAsia="仿宋" w:cs="仿宋"/>
                <w:color w:val="auto"/>
                <w:kern w:val="2"/>
                <w:sz w:val="24"/>
                <w:lang w:val="en-US" w:eastAsia="zh-CN"/>
              </w:rPr>
              <w:t>（以合同签订时间为准）</w:t>
            </w:r>
            <w:r>
              <w:rPr>
                <w:rFonts w:hint="eastAsia" w:ascii="仿宋" w:hAnsi="仿宋" w:eastAsia="仿宋" w:cs="仿宋"/>
                <w:color w:val="auto"/>
                <w:kern w:val="2"/>
                <w:sz w:val="24"/>
                <w:lang w:val="en-US"/>
              </w:rPr>
              <w:t>的同类项目业绩情况进行评分，每提供一个业绩得</w:t>
            </w:r>
            <w:r>
              <w:rPr>
                <w:rFonts w:hint="eastAsia" w:ascii="仿宋" w:hAnsi="仿宋" w:eastAsia="仿宋" w:cs="仿宋"/>
                <w:color w:val="auto"/>
                <w:kern w:val="2"/>
                <w:sz w:val="24"/>
                <w:lang w:val="en-US" w:eastAsia="zh-CN"/>
              </w:rPr>
              <w:t>1</w:t>
            </w:r>
            <w:r>
              <w:rPr>
                <w:rFonts w:hint="eastAsia" w:ascii="仿宋" w:hAnsi="仿宋" w:eastAsia="仿宋" w:cs="仿宋"/>
                <w:color w:val="auto"/>
                <w:kern w:val="2"/>
                <w:sz w:val="24"/>
                <w:lang w:val="en-US"/>
              </w:rPr>
              <w:t>分，本项最高得分</w:t>
            </w:r>
            <w:r>
              <w:rPr>
                <w:rFonts w:hint="eastAsia" w:ascii="仿宋" w:hAnsi="仿宋" w:eastAsia="仿宋" w:cs="仿宋"/>
                <w:color w:val="auto"/>
                <w:kern w:val="2"/>
                <w:sz w:val="24"/>
                <w:lang w:val="en-US" w:eastAsia="zh-CN"/>
              </w:rPr>
              <w:t>6</w:t>
            </w:r>
            <w:r>
              <w:rPr>
                <w:rFonts w:hint="eastAsia" w:ascii="仿宋" w:hAnsi="仿宋" w:eastAsia="仿宋" w:cs="仿宋"/>
                <w:color w:val="auto"/>
                <w:kern w:val="2"/>
                <w:sz w:val="24"/>
                <w:lang w:val="en-US"/>
              </w:rPr>
              <w:t>分。</w:t>
            </w:r>
          </w:p>
          <w:p w14:paraId="202A9534">
            <w:pPr>
              <w:widowControl/>
              <w:spacing w:before="0" w:after="0"/>
              <w:rPr>
                <w:rFonts w:hint="eastAsia" w:ascii="仿宋" w:hAnsi="仿宋" w:eastAsia="仿宋" w:cs="仿宋"/>
                <w:color w:val="auto"/>
                <w:sz w:val="24"/>
                <w:lang w:val="en-US" w:eastAsia="zh-CN"/>
              </w:rPr>
            </w:pPr>
            <w:r>
              <w:rPr>
                <w:rFonts w:hint="eastAsia" w:ascii="仿宋" w:hAnsi="仿宋" w:eastAsia="仿宋" w:cs="仿宋"/>
                <w:color w:val="auto"/>
                <w:kern w:val="2"/>
                <w:sz w:val="24"/>
              </w:rPr>
              <w:t>同类业绩证明文件是中标/成交通知书或合同关键页的复印件或扫描件（合同关键页是指包括：①能显示</w:t>
            </w:r>
            <w:r>
              <w:rPr>
                <w:rFonts w:hint="eastAsia" w:ascii="仿宋" w:hAnsi="仿宋" w:eastAsia="仿宋" w:cs="仿宋"/>
                <w:color w:val="auto"/>
                <w:kern w:val="2"/>
                <w:sz w:val="24"/>
                <w:lang w:eastAsia="zh-CN"/>
              </w:rPr>
              <w:t>服务内容</w:t>
            </w:r>
            <w:r>
              <w:rPr>
                <w:rFonts w:hint="eastAsia" w:ascii="仿宋" w:hAnsi="仿宋" w:eastAsia="仿宋" w:cs="仿宋"/>
                <w:color w:val="auto"/>
                <w:kern w:val="2"/>
                <w:sz w:val="24"/>
              </w:rPr>
              <w:t>等相关信息；②签订合同双方的单位名称、合同项目名称；③签订合同双方的签章、盖章及签订日期），无提供不得分。</w:t>
            </w:r>
          </w:p>
        </w:tc>
      </w:tr>
      <w:tr w14:paraId="5C694738">
        <w:tblPrEx>
          <w:tblCellMar>
            <w:top w:w="0" w:type="dxa"/>
            <w:left w:w="108" w:type="dxa"/>
            <w:bottom w:w="0" w:type="dxa"/>
            <w:right w:w="108" w:type="dxa"/>
          </w:tblCellMar>
        </w:tblPrEx>
        <w:trPr>
          <w:trHeight w:val="1245"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14:paraId="798C6D92">
            <w:pPr>
              <w:widowControl/>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CF28D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对采购文件的商务响应程度</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2B2573">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5</w:t>
            </w:r>
          </w:p>
        </w:tc>
        <w:tc>
          <w:tcPr>
            <w:tcW w:w="51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8CA58">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本项目的采购文件对各响应供应商的商务要求响应文件响应情况进行综合评审，全部满足采购文件“商务要求”要求得5分，有一项不满足采购文件要求得4分，有两项不满足采购文件要求得3分，以此类推，扣完为止。</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r>
    </w:tbl>
    <w:p w14:paraId="033F4AA6">
      <w:pPr>
        <w:widowControl/>
        <w:jc w:val="left"/>
        <w:rPr>
          <w:rFonts w:hint="eastAsia" w:ascii="仿宋" w:hAnsi="仿宋" w:eastAsia="仿宋" w:cs="仿宋"/>
          <w:color w:val="auto"/>
          <w:sz w:val="24"/>
          <w:szCs w:val="24"/>
          <w:highlight w:val="none"/>
        </w:rPr>
      </w:pPr>
    </w:p>
    <w:p w14:paraId="7597C166">
      <w:pPr>
        <w:pStyle w:val="13"/>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green"/>
          <w:lang w:val="en-US" w:eastAsia="zh-CN"/>
        </w:rPr>
        <w:t>推荐</w:t>
      </w:r>
      <w:r>
        <w:rPr>
          <w:rFonts w:hint="eastAsia" w:ascii="仿宋" w:hAnsi="仿宋" w:eastAsia="仿宋" w:cs="仿宋"/>
          <w:b w:val="0"/>
          <w:bCs/>
          <w:color w:val="auto"/>
          <w:sz w:val="24"/>
          <w:szCs w:val="24"/>
          <w:highlight w:val="none"/>
        </w:rPr>
        <w:t>成交候选供应商</w:t>
      </w:r>
    </w:p>
    <w:p w14:paraId="005DA4EC">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w:t>
      </w:r>
      <w:r>
        <w:rPr>
          <w:rFonts w:hint="eastAsia" w:ascii="仿宋" w:hAnsi="仿宋" w:eastAsia="仿宋" w:cs="仿宋"/>
          <w:color w:val="auto"/>
          <w:kern w:val="0"/>
          <w:sz w:val="24"/>
          <w:highlight w:val="green"/>
          <w:lang w:val="en-US" w:eastAsia="zh-CN"/>
        </w:rPr>
        <w:t>推荐前3名</w:t>
      </w:r>
      <w:r>
        <w:rPr>
          <w:rFonts w:hint="eastAsia" w:ascii="仿宋" w:hAnsi="仿宋" w:eastAsia="仿宋" w:cs="仿宋"/>
          <w:color w:val="auto"/>
          <w:kern w:val="0"/>
          <w:sz w:val="24"/>
          <w:highlight w:val="none"/>
        </w:rPr>
        <w:t>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3CA8293E">
      <w:pPr>
        <w:pStyle w:val="13"/>
        <w:adjustRightInd w:val="0"/>
        <w:snapToGrid w:val="0"/>
        <w:spacing w:line="360" w:lineRule="auto"/>
        <w:ind w:firstLine="486" w:firstLineChars="200"/>
        <w:rPr>
          <w:rFonts w:hint="default" w:ascii="仿宋" w:hAnsi="仿宋" w:eastAsia="仿宋" w:cs="仿宋"/>
          <w:b/>
          <w:bCs/>
          <w:color w:val="auto"/>
          <w:sz w:val="24"/>
          <w:szCs w:val="24"/>
          <w:highlight w:val="green"/>
          <w:lang w:val="en-US" w:eastAsia="zh-CN"/>
        </w:rPr>
      </w:pPr>
      <w:r>
        <w:rPr>
          <w:rFonts w:hint="eastAsia" w:ascii="仿宋" w:hAnsi="仿宋" w:eastAsia="仿宋" w:cs="仿宋"/>
          <w:b/>
          <w:bCs/>
          <w:color w:val="auto"/>
          <w:sz w:val="24"/>
          <w:szCs w:val="24"/>
          <w:highlight w:val="green"/>
          <w:lang w:val="en-US" w:eastAsia="zh-CN"/>
        </w:rPr>
        <w:t>（三）定标</w:t>
      </w:r>
    </w:p>
    <w:p w14:paraId="3EB78146">
      <w:pPr>
        <w:pStyle w:val="13"/>
        <w:adjustRightInd w:val="0"/>
        <w:snapToGrid w:val="0"/>
        <w:spacing w:line="360" w:lineRule="auto"/>
        <w:ind w:firstLine="486" w:firstLineChars="200"/>
        <w:rPr>
          <w:rFonts w:hint="eastAsia"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1.定标方法：定标由采购人负责，按照科学、民主决策原则，根据评审结果和采购需求，由党委会（或院务会）从成交候选供应商中确定最终成交供应商。</w:t>
      </w:r>
    </w:p>
    <w:p w14:paraId="7C44F58E">
      <w:pPr>
        <w:pStyle w:val="13"/>
        <w:adjustRightInd w:val="0"/>
        <w:snapToGrid w:val="0"/>
        <w:spacing w:line="360" w:lineRule="auto"/>
        <w:ind w:firstLine="486" w:firstLineChars="200"/>
        <w:rPr>
          <w:rFonts w:hint="default" w:ascii="仿宋" w:hAnsi="仿宋" w:eastAsia="仿宋" w:cs="仿宋"/>
          <w:color w:val="auto"/>
          <w:sz w:val="24"/>
          <w:szCs w:val="24"/>
          <w:highlight w:val="green"/>
          <w:lang w:val="en-US" w:eastAsia="zh-CN"/>
        </w:rPr>
      </w:pPr>
      <w:r>
        <w:rPr>
          <w:rFonts w:hint="eastAsia" w:ascii="仿宋" w:hAnsi="仿宋" w:eastAsia="仿宋" w:cs="仿宋"/>
          <w:color w:val="auto"/>
          <w:sz w:val="24"/>
          <w:szCs w:val="24"/>
          <w:highlight w:val="green"/>
          <w:lang w:val="en-US" w:eastAsia="zh-CN"/>
        </w:rPr>
        <w:t>2.</w:t>
      </w:r>
      <w:r>
        <w:rPr>
          <w:rFonts w:hint="default" w:ascii="仿宋" w:hAnsi="仿宋" w:eastAsia="仿宋" w:cs="仿宋"/>
          <w:color w:val="auto"/>
          <w:sz w:val="24"/>
          <w:szCs w:val="24"/>
          <w:highlight w:val="green"/>
          <w:lang w:val="en-US" w:eastAsia="zh-CN"/>
        </w:rPr>
        <w:t>定标因素：本项目定标因素包括企业实力、企业信誉、投标文件响应情况、投标报价、拟派团队管理能力与水平等多方面因素，结合医院发展需求，择优选择履约能力较强、价格合理的供应商。</w:t>
      </w:r>
    </w:p>
    <w:p w14:paraId="118C3D02">
      <w:pPr>
        <w:pStyle w:val="13"/>
        <w:adjustRightInd w:val="0"/>
        <w:snapToGrid w:val="0"/>
        <w:spacing w:line="360" w:lineRule="auto"/>
        <w:ind w:firstLine="486" w:firstLineChars="200"/>
        <w:rPr>
          <w:rFonts w:hint="default" w:ascii="仿宋" w:hAnsi="仿宋" w:eastAsia="仿宋" w:cs="仿宋"/>
          <w:color w:val="auto"/>
          <w:sz w:val="24"/>
          <w:szCs w:val="24"/>
          <w:highlight w:val="green"/>
          <w:lang w:val="en-US" w:eastAsia="zh-CN"/>
        </w:rPr>
      </w:pPr>
      <w:r>
        <w:rPr>
          <w:rFonts w:hint="default" w:ascii="仿宋" w:hAnsi="仿宋" w:eastAsia="仿宋" w:cs="仿宋"/>
          <w:color w:val="auto"/>
          <w:sz w:val="24"/>
          <w:szCs w:val="24"/>
          <w:highlight w:val="green"/>
          <w:lang w:val="en-US" w:eastAsia="zh-CN"/>
        </w:rPr>
        <w:t>3</w:t>
      </w:r>
      <w:r>
        <w:rPr>
          <w:rFonts w:hint="eastAsia" w:ascii="仿宋" w:hAnsi="仿宋" w:eastAsia="仿宋" w:cs="仿宋"/>
          <w:color w:val="auto"/>
          <w:sz w:val="24"/>
          <w:szCs w:val="24"/>
          <w:highlight w:val="green"/>
          <w:lang w:val="en-US" w:eastAsia="zh-CN"/>
        </w:rPr>
        <w:t>.</w:t>
      </w:r>
      <w:r>
        <w:rPr>
          <w:rFonts w:hint="default" w:ascii="仿宋" w:hAnsi="仿宋" w:eastAsia="仿宋" w:cs="仿宋"/>
          <w:color w:val="auto"/>
          <w:sz w:val="24"/>
          <w:szCs w:val="24"/>
          <w:highlight w:val="green"/>
          <w:lang w:val="en-US" w:eastAsia="zh-CN"/>
        </w:rPr>
        <w:t>定标时间：在评标报告</w:t>
      </w:r>
      <w:r>
        <w:rPr>
          <w:rFonts w:hint="eastAsia" w:ascii="仿宋" w:hAnsi="仿宋" w:eastAsia="仿宋" w:cs="仿宋"/>
          <w:color w:val="auto"/>
          <w:sz w:val="24"/>
          <w:szCs w:val="24"/>
          <w:highlight w:val="green"/>
          <w:lang w:val="en-US" w:eastAsia="zh-CN"/>
        </w:rPr>
        <w:t>出具后</w:t>
      </w:r>
      <w:r>
        <w:rPr>
          <w:rFonts w:hint="default" w:ascii="仿宋" w:hAnsi="仿宋" w:eastAsia="仿宋" w:cs="仿宋"/>
          <w:color w:val="auto"/>
          <w:sz w:val="24"/>
          <w:szCs w:val="24"/>
          <w:highlight w:val="green"/>
          <w:lang w:val="en-US" w:eastAsia="zh-CN"/>
        </w:rPr>
        <w:t>3周内完成定标工作。</w:t>
      </w:r>
    </w:p>
    <w:p w14:paraId="39DF182C">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4.成交候选供应商公示</w:t>
      </w:r>
    </w:p>
    <w:p w14:paraId="19EAC364">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采购人应当在决策确定后3个工作日内公示成交候选供应商，公示期不得少于1个工作日。公示应当包括以下内容:</w:t>
      </w:r>
    </w:p>
    <w:p w14:paraId="45C5E580">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(1)响应供应商名称、报价；</w:t>
      </w:r>
    </w:p>
    <w:p w14:paraId="646AF7E9">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(2)成交候选供应商名单；</w:t>
      </w:r>
    </w:p>
    <w:p w14:paraId="32C2CA53">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(3)确定的成交供应商名单；</w:t>
      </w:r>
    </w:p>
    <w:p w14:paraId="023ED58C">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(4)法律、法规和规章规定的其他内容。</w:t>
      </w:r>
    </w:p>
    <w:p w14:paraId="51BC479D">
      <w:pPr>
        <w:pStyle w:val="13"/>
        <w:adjustRightInd w:val="0"/>
        <w:snapToGrid w:val="0"/>
        <w:spacing w:line="360" w:lineRule="auto"/>
        <w:ind w:firstLine="486" w:firstLineChars="200"/>
        <w:rPr>
          <w:rFonts w:hint="eastAsia" w:ascii="仿宋" w:hAnsi="仿宋" w:eastAsia="仿宋" w:cs="仿宋"/>
          <w:b w:val="0"/>
          <w:bCs w:val="0"/>
          <w:color w:val="auto"/>
          <w:sz w:val="24"/>
          <w:szCs w:val="24"/>
          <w:highlight w:val="green"/>
          <w:lang w:val="en-US" w:eastAsia="zh-CN"/>
        </w:rPr>
      </w:pPr>
      <w:r>
        <w:rPr>
          <w:rFonts w:hint="eastAsia" w:ascii="仿宋" w:hAnsi="仿宋" w:eastAsia="仿宋" w:cs="仿宋"/>
          <w:b w:val="0"/>
          <w:bCs w:val="0"/>
          <w:color w:val="auto"/>
          <w:sz w:val="24"/>
          <w:szCs w:val="24"/>
          <w:highlight w:val="green"/>
          <w:lang w:val="en-US" w:eastAsia="zh-CN"/>
        </w:rPr>
        <w:t>5.成交通知书：</w:t>
      </w:r>
    </w:p>
    <w:p w14:paraId="51321737">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val="0"/>
          <w:bCs w:val="0"/>
          <w:color w:val="auto"/>
          <w:sz w:val="24"/>
          <w:szCs w:val="24"/>
          <w:highlight w:val="green"/>
          <w:lang w:val="en-US" w:eastAsia="zh-CN"/>
        </w:rPr>
        <w:t xml:space="preserve"> 公示期满无异议或者异议不成立的，采购人确定成交候选供应商为成交供应商，发出成交通知书。成交供应商放弃中标、因不可抗力不能履行合同或者被查实存在影响中标结果的违法行为等情形，采购人可以按照成交候选供应商名单排序依次确定其他成交候选供应商为成交供应商，也可以重新比选。</w:t>
      </w: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576894C5">
      <w:pPr>
        <w:pStyle w:val="13"/>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53F9EEC1">
      <w:pPr>
        <w:pStyle w:val="13"/>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3F5D5473">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2E0F82CC">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145D7DD0">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399AC142">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460A64F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48EA7E4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w:t>
      </w:r>
      <w:r>
        <w:rPr>
          <w:rFonts w:hint="eastAsia" w:ascii="仿宋" w:hAnsi="仿宋" w:eastAsia="仿宋" w:cs="仿宋"/>
          <w:strike w:val="0"/>
          <w:dstrike w:val="0"/>
          <w:color w:val="auto"/>
          <w:sz w:val="24"/>
          <w:highlight w:val="green"/>
          <w:lang w:val="en-US" w:eastAsia="zh-CN"/>
        </w:rPr>
        <w:t>响应</w:t>
      </w:r>
      <w:r>
        <w:rPr>
          <w:rFonts w:hint="eastAsia" w:ascii="仿宋" w:hAnsi="仿宋" w:eastAsia="仿宋" w:cs="仿宋"/>
          <w:strike w:val="0"/>
          <w:dstrike w:val="0"/>
          <w:color w:val="auto"/>
          <w:sz w:val="24"/>
          <w:highlight w:val="green"/>
        </w:rPr>
        <w:t>文件、评定标过程的评</w:t>
      </w:r>
      <w:r>
        <w:rPr>
          <w:rFonts w:hint="eastAsia" w:ascii="仿宋" w:hAnsi="仿宋" w:eastAsia="仿宋" w:cs="仿宋"/>
          <w:strike w:val="0"/>
          <w:dstrike w:val="0"/>
          <w:color w:val="auto"/>
          <w:sz w:val="24"/>
          <w:highlight w:val="green"/>
          <w:lang w:eastAsia="zh-CN"/>
        </w:rPr>
        <w:t>审及</w:t>
      </w:r>
      <w:r>
        <w:rPr>
          <w:rFonts w:hint="eastAsia" w:ascii="仿宋" w:hAnsi="仿宋" w:eastAsia="仿宋" w:cs="仿宋"/>
          <w:strike w:val="0"/>
          <w:dstrike w:val="0"/>
          <w:color w:val="auto"/>
          <w:sz w:val="24"/>
          <w:highlight w:val="green"/>
        </w:rPr>
        <w:t>定标结果</w:t>
      </w:r>
      <w:r>
        <w:rPr>
          <w:rFonts w:hint="eastAsia" w:ascii="仿宋" w:hAnsi="仿宋" w:eastAsia="仿宋" w:cs="仿宋"/>
          <w:color w:val="auto"/>
          <w:sz w:val="24"/>
          <w:highlight w:val="none"/>
        </w:rPr>
        <w:t>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7D917A15">
      <w:pPr>
        <w:pStyle w:val="13"/>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068B9D55">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102D1FCB">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包括证明材料清单、证明文件及获取途径说明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。质疑函应当包括下列内容：</w:t>
      </w:r>
    </w:p>
    <w:p w14:paraId="5AE40704">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4411E9C4">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D899C91">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05B40D3A">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0979BCC0">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31C68406">
      <w:pPr>
        <w:pStyle w:val="13"/>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04B56A58">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10FEC892">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637B0966">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6E43A09E">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33EEB10A">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01870DA1">
      <w:pPr>
        <w:pStyle w:val="13"/>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37D22DA1">
      <w:pPr>
        <w:pStyle w:val="13"/>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7CAF78FD">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42C27F8E">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lang w:eastAsia="zh-CN"/>
        </w:rPr>
        <w:t>，也</w:t>
      </w:r>
      <w:r>
        <w:rPr>
          <w:rFonts w:hint="eastAsia" w:ascii="仿宋" w:hAnsi="仿宋" w:eastAsia="仿宋" w:cs="仿宋"/>
          <w:color w:val="auto"/>
          <w:kern w:val="0"/>
          <w:sz w:val="24"/>
          <w:highlight w:val="none"/>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5B61C13F">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5F1B0B51">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74EB7AC7">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6E207C99">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4DE6A2A8">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4E1C2D3C">
      <w:pPr>
        <w:pStyle w:val="13"/>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4BE41702">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CB02516">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24C3F87B">
      <w:pPr>
        <w:autoSpaceDE w:val="0"/>
        <w:autoSpaceDN w:val="0"/>
        <w:adjustRightInd w:val="0"/>
        <w:spacing w:before="100" w:beforeAutospacing="1" w:after="100" w:afterAutospacing="1"/>
        <w:jc w:val="right"/>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p>
    <w:p w14:paraId="0181BDD6">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531FBB51">
        <w:tblPrEx>
          <w:tblCellMar>
            <w:top w:w="0" w:type="dxa"/>
            <w:left w:w="108" w:type="dxa"/>
            <w:bottom w:w="0" w:type="dxa"/>
            <w:right w:w="108" w:type="dxa"/>
          </w:tblCellMar>
        </w:tblPrEx>
        <w:trPr>
          <w:trHeight w:val="446" w:hRule="atLeast"/>
        </w:trPr>
        <w:tc>
          <w:tcPr>
            <w:tcW w:w="6629" w:type="dxa"/>
            <w:noWrap w:val="0"/>
            <w:vAlign w:val="top"/>
          </w:tcPr>
          <w:p w14:paraId="1A5D327E">
            <w:pPr>
              <w:pStyle w:val="13"/>
              <w:spacing w:line="800" w:lineRule="exact"/>
              <w:jc w:val="left"/>
              <w:rPr>
                <w:rFonts w:hAnsi="宋体"/>
                <w:b/>
                <w:color w:val="auto"/>
                <w:sz w:val="30"/>
                <w:szCs w:val="30"/>
                <w:highlight w:val="none"/>
              </w:rPr>
            </w:pPr>
            <w:r>
              <w:rPr>
                <w:rFonts w:ascii="Times New Roman" w:hAnsi="Times New Roman"/>
                <w:b/>
                <w:color w:val="auto"/>
                <w:sz w:val="30"/>
                <w:szCs w:val="30"/>
              </w:rPr>
              <w:t>采购编号：</w:t>
            </w:r>
          </w:p>
          <w:p w14:paraId="5CBCEABB">
            <w:pPr>
              <w:pStyle w:val="13"/>
              <w:spacing w:line="800" w:lineRule="exact"/>
              <w:jc w:val="left"/>
              <w:rPr>
                <w:rFonts w:ascii="Times New Roman" w:hAnsi="Times New Roman"/>
                <w:b/>
                <w:color w:val="auto"/>
                <w:sz w:val="30"/>
                <w:szCs w:val="30"/>
              </w:rPr>
            </w:pPr>
            <w:r>
              <w:rPr>
                <w:rFonts w:ascii="Times New Roman" w:hAnsi="Times New Roman"/>
                <w:b/>
                <w:color w:val="auto"/>
                <w:sz w:val="30"/>
                <w:szCs w:val="30"/>
              </w:rPr>
              <w:t>项目名称：</w:t>
            </w:r>
          </w:p>
          <w:p w14:paraId="31220B3E">
            <w:pPr>
              <w:pStyle w:val="13"/>
              <w:spacing w:line="800" w:lineRule="exact"/>
              <w:jc w:val="left"/>
              <w:rPr>
                <w:rFonts w:ascii="Times New Roman" w:hAnsi="Times New Roman"/>
                <w:b/>
                <w:bCs/>
                <w:color w:val="auto"/>
                <w:sz w:val="30"/>
                <w:szCs w:val="30"/>
              </w:rPr>
            </w:pPr>
            <w:r>
              <w:rPr>
                <w:rFonts w:ascii="Times New Roman" w:hAnsi="Times New Roman"/>
                <w:b/>
                <w:bCs/>
                <w:color w:val="auto"/>
                <w:sz w:val="30"/>
                <w:szCs w:val="30"/>
              </w:rPr>
              <w:t>甲方：惠州市第一妇幼保健院</w:t>
            </w:r>
          </w:p>
          <w:p w14:paraId="0DF01E23">
            <w:pPr>
              <w:pStyle w:val="13"/>
              <w:spacing w:line="800" w:lineRule="exact"/>
              <w:jc w:val="left"/>
              <w:rPr>
                <w:rFonts w:ascii="宋体"/>
                <w:b/>
                <w:color w:val="auto"/>
                <w:sz w:val="30"/>
                <w:szCs w:val="30"/>
                <w:highlight w:val="none"/>
              </w:rPr>
            </w:pPr>
            <w:r>
              <w:rPr>
                <w:rFonts w:ascii="Times New Roman" w:hAnsi="Times New Roman"/>
                <w:b/>
                <w:bCs/>
                <w:color w:val="auto"/>
                <w:sz w:val="30"/>
                <w:szCs w:val="30"/>
              </w:rPr>
              <w:t>乙方：</w:t>
            </w:r>
          </w:p>
        </w:tc>
      </w:tr>
    </w:tbl>
    <w:p w14:paraId="6C1B9348">
      <w:pPr>
        <w:autoSpaceDE w:val="0"/>
        <w:autoSpaceDN w:val="0"/>
        <w:adjustRightInd w:val="0"/>
        <w:spacing w:before="100" w:beforeAutospacing="1" w:after="100" w:afterAutospacing="1"/>
        <w:jc w:val="center"/>
        <w:rPr>
          <w:rFonts w:hint="eastAsia" w:ascii="宋体" w:eastAsia="仿宋"/>
          <w:bCs/>
          <w:color w:val="auto"/>
          <w:sz w:val="24"/>
          <w:highlight w:val="none"/>
          <w:lang w:val="en-US" w:eastAsia="zh-CN"/>
        </w:rPr>
      </w:pPr>
      <w:r>
        <w:rPr>
          <w:rFonts w:hint="eastAsia" w:ascii="仿宋" w:hAnsi="仿宋" w:eastAsia="仿宋" w:cs="FangSong_GB2312-Identity-H"/>
          <w:b/>
          <w:bCs/>
          <w:color w:val="auto"/>
          <w:spacing w:val="60"/>
          <w:kern w:val="0"/>
          <w:sz w:val="84"/>
          <w:szCs w:val="84"/>
          <w:highlight w:val="none"/>
        </w:rPr>
        <w:t>合同</w:t>
      </w:r>
      <w:r>
        <w:rPr>
          <w:rFonts w:hint="eastAsia" w:ascii="仿宋" w:hAnsi="仿宋" w:eastAsia="仿宋" w:cs="FangSong_GB2312-Identity-H"/>
          <w:b/>
          <w:bCs/>
          <w:color w:val="auto"/>
          <w:spacing w:val="60"/>
          <w:kern w:val="0"/>
          <w:sz w:val="84"/>
          <w:szCs w:val="84"/>
          <w:highlight w:val="none"/>
          <w:lang w:val="en-US" w:eastAsia="zh-CN"/>
        </w:rPr>
        <w:t>书</w:t>
      </w:r>
    </w:p>
    <w:p w14:paraId="4240482A">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622C7045">
      <w:pPr>
        <w:spacing w:line="360" w:lineRule="auto"/>
        <w:jc w:val="center"/>
        <w:rPr>
          <w:rFonts w:ascii="宋体"/>
          <w:b/>
          <w:color w:val="auto"/>
          <w:sz w:val="44"/>
          <w:szCs w:val="44"/>
          <w:highlight w:val="none"/>
        </w:rPr>
      </w:pPr>
    </w:p>
    <w:p w14:paraId="6E308A0F">
      <w:pPr>
        <w:spacing w:line="360" w:lineRule="auto"/>
        <w:jc w:val="left"/>
        <w:rPr>
          <w:rFonts w:ascii="宋体"/>
          <w:b/>
          <w:color w:val="auto"/>
          <w:sz w:val="24"/>
          <w:highlight w:val="none"/>
        </w:rPr>
      </w:pPr>
      <w:r>
        <w:rPr>
          <w:rFonts w:hint="eastAsia" w:ascii="宋体" w:hAnsi="宋体"/>
          <w:b/>
          <w:color w:val="auto"/>
          <w:sz w:val="24"/>
          <w:highlight w:val="none"/>
        </w:rPr>
        <w:t>甲方：</w:t>
      </w:r>
      <w:r>
        <w:rPr>
          <w:rFonts w:hint="eastAsia" w:ascii="宋体" w:hAnsi="宋体"/>
          <w:b/>
          <w:color w:val="auto"/>
          <w:kern w:val="0"/>
          <w:sz w:val="24"/>
          <w:highlight w:val="none"/>
        </w:rPr>
        <w:t>惠州市第一妇幼保健院</w:t>
      </w:r>
    </w:p>
    <w:p w14:paraId="0B5C6C6B">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2ABFF25C">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rPr>
        <w:t xml:space="preserve">                                          </w:t>
      </w: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rPr>
        <w:t>）的中标结果，按照《中华人民共和国政府采购法》、《中华人民共和国民法典》的规定，经双方协商，本着平等互利和诚实信用的原则，一致同意签订本合同如下。</w:t>
      </w:r>
    </w:p>
    <w:p w14:paraId="41914A54">
      <w:pPr>
        <w:numPr>
          <w:ilvl w:val="0"/>
          <w:numId w:val="2"/>
        </w:numPr>
        <w:tabs>
          <w:tab w:val="left" w:pos="1575"/>
          <w:tab w:val="clear" w:pos="1080"/>
        </w:tabs>
        <w:spacing w:before="120" w:line="440" w:lineRule="exact"/>
        <w:ind w:left="709" w:hanging="709"/>
        <w:jc w:val="left"/>
        <w:rPr>
          <w:b/>
          <w:color w:val="auto"/>
          <w:sz w:val="24"/>
        </w:rPr>
      </w:pPr>
      <w:r>
        <w:rPr>
          <w:b/>
          <w:color w:val="auto"/>
          <w:sz w:val="24"/>
        </w:rPr>
        <w:t>工程名称及概况：</w:t>
      </w:r>
    </w:p>
    <w:p w14:paraId="7D7E9C61">
      <w:pPr>
        <w:spacing w:line="360" w:lineRule="auto"/>
        <w:ind w:firstLine="121" w:firstLineChars="50"/>
        <w:rPr>
          <w:rFonts w:hint="eastAsia" w:eastAsia="宋体"/>
          <w:color w:val="auto"/>
          <w:sz w:val="24"/>
          <w:lang w:eastAsia="zh-CN"/>
        </w:rPr>
      </w:pPr>
      <w:r>
        <w:rPr>
          <w:color w:val="auto"/>
          <w:sz w:val="24"/>
        </w:rPr>
        <w:t>1.工程名称：</w:t>
      </w:r>
      <w:r>
        <w:rPr>
          <w:color w:val="auto"/>
          <w:sz w:val="24"/>
          <w:u w:val="single"/>
        </w:rPr>
        <w:t>惠州市第一妇幼保健院</w:t>
      </w:r>
      <w:r>
        <w:rPr>
          <w:rFonts w:hint="eastAsia"/>
          <w:color w:val="auto"/>
          <w:sz w:val="24"/>
          <w:u w:val="single"/>
          <w:lang w:eastAsia="zh-CN"/>
        </w:rPr>
        <w:t>门诊楼五楼天面模块机机组压缩机及保温棉（二次）</w:t>
      </w:r>
    </w:p>
    <w:p w14:paraId="40682763">
      <w:pPr>
        <w:spacing w:line="360" w:lineRule="auto"/>
        <w:ind w:firstLine="121" w:firstLineChars="50"/>
        <w:rPr>
          <w:color w:val="auto"/>
          <w:sz w:val="24"/>
          <w:u w:val="single"/>
        </w:rPr>
      </w:pPr>
      <w:r>
        <w:rPr>
          <w:color w:val="auto"/>
          <w:sz w:val="24"/>
        </w:rPr>
        <w:t>2.工程地址：</w:t>
      </w:r>
      <w:r>
        <w:rPr>
          <w:color w:val="auto"/>
          <w:sz w:val="24"/>
          <w:u w:val="single"/>
        </w:rPr>
        <w:t xml:space="preserve"> 惠州市第一妇幼保健院 </w:t>
      </w:r>
    </w:p>
    <w:p w14:paraId="1942D43B">
      <w:pPr>
        <w:numPr>
          <w:ilvl w:val="0"/>
          <w:numId w:val="2"/>
        </w:numPr>
        <w:tabs>
          <w:tab w:val="left" w:pos="1575"/>
          <w:tab w:val="clear" w:pos="1080"/>
        </w:tabs>
        <w:spacing w:before="120" w:line="440" w:lineRule="exact"/>
        <w:ind w:left="709" w:hanging="709"/>
        <w:jc w:val="left"/>
        <w:rPr>
          <w:b/>
          <w:color w:val="auto"/>
          <w:sz w:val="24"/>
        </w:rPr>
      </w:pPr>
      <w:r>
        <w:rPr>
          <w:b/>
          <w:color w:val="auto"/>
          <w:sz w:val="24"/>
        </w:rPr>
        <w:t>合同及工程范围</w:t>
      </w:r>
    </w:p>
    <w:p w14:paraId="7F4B300B">
      <w:pPr>
        <w:spacing w:line="360" w:lineRule="auto"/>
        <w:ind w:firstLine="486" w:firstLineChars="200"/>
        <w:rPr>
          <w:color w:val="auto"/>
          <w:sz w:val="24"/>
        </w:rPr>
      </w:pPr>
      <w:r>
        <w:rPr>
          <w:rFonts w:hint="eastAsia"/>
          <w:color w:val="auto"/>
          <w:sz w:val="24"/>
        </w:rPr>
        <w:t>完成院方</w:t>
      </w:r>
      <w:r>
        <w:rPr>
          <w:rFonts w:hint="eastAsia"/>
          <w:color w:val="auto"/>
          <w:sz w:val="24"/>
          <w:lang w:eastAsia="zh-CN"/>
        </w:rPr>
        <w:t>门诊楼五楼天面模块机机组压缩机及保温棉更换采购项目</w:t>
      </w:r>
      <w:r>
        <w:rPr>
          <w:rFonts w:hint="eastAsia"/>
          <w:color w:val="auto"/>
          <w:sz w:val="24"/>
        </w:rPr>
        <w:t>的设计安装，保证冷库的稳定安全运行</w:t>
      </w:r>
      <w:r>
        <w:rPr>
          <w:color w:val="auto"/>
          <w:sz w:val="24"/>
        </w:rPr>
        <w:t>。</w:t>
      </w:r>
    </w:p>
    <w:p w14:paraId="55E9ADC7">
      <w:pPr>
        <w:numPr>
          <w:ilvl w:val="0"/>
          <w:numId w:val="2"/>
        </w:numPr>
        <w:tabs>
          <w:tab w:val="left" w:pos="1575"/>
          <w:tab w:val="clear" w:pos="1080"/>
        </w:tabs>
        <w:spacing w:before="120" w:line="440" w:lineRule="exact"/>
        <w:ind w:left="709" w:hanging="709"/>
        <w:jc w:val="left"/>
        <w:rPr>
          <w:b/>
          <w:color w:val="auto"/>
          <w:sz w:val="24"/>
        </w:rPr>
      </w:pPr>
      <w:r>
        <w:rPr>
          <w:b/>
          <w:color w:val="auto"/>
          <w:sz w:val="24"/>
        </w:rPr>
        <w:t>合同价款（人民币）</w:t>
      </w:r>
    </w:p>
    <w:p w14:paraId="30A19F85">
      <w:pPr>
        <w:spacing w:line="360" w:lineRule="auto"/>
        <w:rPr>
          <w:color w:val="auto"/>
          <w:sz w:val="24"/>
          <w:u w:val="single"/>
        </w:rPr>
      </w:pPr>
      <w:r>
        <w:rPr>
          <w:color w:val="auto"/>
          <w:sz w:val="24"/>
        </w:rPr>
        <w:t>1、合同含税总价人民币：</w:t>
      </w:r>
    </w:p>
    <w:p w14:paraId="3E78A520">
      <w:pPr>
        <w:spacing w:line="360" w:lineRule="auto"/>
        <w:rPr>
          <w:rFonts w:eastAsia="黑体"/>
          <w:b/>
          <w:color w:val="auto"/>
          <w:sz w:val="24"/>
          <w:u w:val="single"/>
        </w:rPr>
      </w:pPr>
      <w:r>
        <w:rPr>
          <w:color w:val="auto"/>
          <w:sz w:val="24"/>
        </w:rPr>
        <w:t>2、其他：</w:t>
      </w:r>
      <w:r>
        <w:rPr>
          <w:color w:val="auto"/>
          <w:sz w:val="24"/>
          <w:u w:val="single"/>
        </w:rPr>
        <w:t xml:space="preserve">   </w:t>
      </w:r>
      <w:r>
        <w:rPr>
          <w:rFonts w:hint="eastAsia"/>
          <w:color w:val="auto"/>
          <w:sz w:val="24"/>
          <w:u w:val="single"/>
        </w:rPr>
        <w:t>无</w:t>
      </w:r>
      <w:r>
        <w:rPr>
          <w:color w:val="auto"/>
          <w:sz w:val="24"/>
          <w:u w:val="single"/>
        </w:rPr>
        <w:t xml:space="preserve">                                 </w:t>
      </w:r>
    </w:p>
    <w:p w14:paraId="7E6D9661">
      <w:pPr>
        <w:spacing w:line="360" w:lineRule="auto"/>
        <w:rPr>
          <w:color w:val="auto"/>
          <w:sz w:val="24"/>
        </w:rPr>
      </w:pPr>
      <w:r>
        <w:rPr>
          <w:color w:val="auto"/>
          <w:sz w:val="24"/>
        </w:rPr>
        <w:t>3、乙方须开具</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税率的增值税专用发票给甲方。</w:t>
      </w:r>
    </w:p>
    <w:p w14:paraId="4D3E0606">
      <w:pPr>
        <w:rPr>
          <w:color w:val="auto"/>
          <w:sz w:val="24"/>
        </w:rPr>
      </w:pPr>
      <w:r>
        <w:rPr>
          <w:color w:val="auto"/>
          <w:sz w:val="24"/>
        </w:rPr>
        <w:br w:type="page"/>
      </w:r>
    </w:p>
    <w:p w14:paraId="4D63514D">
      <w:pPr>
        <w:numPr>
          <w:ilvl w:val="0"/>
          <w:numId w:val="2"/>
        </w:numPr>
        <w:tabs>
          <w:tab w:val="left" w:pos="1575"/>
          <w:tab w:val="clear" w:pos="1080"/>
        </w:tabs>
        <w:spacing w:before="120" w:line="440" w:lineRule="exact"/>
        <w:ind w:left="709" w:hanging="709"/>
        <w:jc w:val="left"/>
        <w:rPr>
          <w:b/>
          <w:color w:val="auto"/>
          <w:sz w:val="24"/>
        </w:rPr>
      </w:pPr>
      <w:r>
        <w:rPr>
          <w:b/>
          <w:color w:val="auto"/>
          <w:sz w:val="24"/>
        </w:rPr>
        <w:t>付款方式：</w:t>
      </w:r>
    </w:p>
    <w:p w14:paraId="390FC1C2">
      <w:pPr>
        <w:pStyle w:val="23"/>
        <w:spacing w:line="360" w:lineRule="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1、工程完成后，经甲方验收合格后30天内支付合同总金额。</w:t>
      </w:r>
    </w:p>
    <w:p w14:paraId="798F2C52">
      <w:pPr>
        <w:pStyle w:val="23"/>
        <w:spacing w:line="360" w:lineRule="auto"/>
        <w:rPr>
          <w:rFonts w:hint="eastAsia"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2、乙方必须向甲方出具合法有效完整的完税发票及凭证进行支付结算。</w:t>
      </w:r>
    </w:p>
    <w:p w14:paraId="6F18DBFA">
      <w:pPr>
        <w:rPr>
          <w:color w:val="auto"/>
        </w:rPr>
      </w:pPr>
      <w:r>
        <w:rPr>
          <w:rFonts w:hint="eastAsia" w:ascii="Times New Roman" w:hAnsi="Times New Roman" w:eastAsia="宋体" w:cs="Times New Roman"/>
          <w:color w:val="auto"/>
          <w:sz w:val="24"/>
          <w:szCs w:val="28"/>
        </w:rPr>
        <w:t>3、支付方式采用银行转账支付。</w:t>
      </w:r>
    </w:p>
    <w:p w14:paraId="5D594BDE">
      <w:pPr>
        <w:numPr>
          <w:ilvl w:val="0"/>
          <w:numId w:val="2"/>
        </w:numPr>
        <w:tabs>
          <w:tab w:val="left" w:pos="1575"/>
          <w:tab w:val="clear" w:pos="1080"/>
        </w:tabs>
        <w:spacing w:before="120" w:line="440" w:lineRule="exact"/>
        <w:ind w:left="709" w:hanging="709"/>
        <w:jc w:val="left"/>
        <w:rPr>
          <w:b/>
          <w:strike w:val="0"/>
          <w:color w:val="auto"/>
          <w:sz w:val="24"/>
        </w:rPr>
      </w:pPr>
      <w:r>
        <w:rPr>
          <w:b/>
          <w:strike w:val="0"/>
          <w:color w:val="auto"/>
          <w:sz w:val="24"/>
        </w:rPr>
        <w:t>甲方驻工地代表</w:t>
      </w:r>
    </w:p>
    <w:p w14:paraId="4BE5EAB4">
      <w:pPr>
        <w:tabs>
          <w:tab w:val="left" w:pos="420"/>
        </w:tabs>
        <w:spacing w:line="440" w:lineRule="exact"/>
        <w:ind w:firstLine="364" w:firstLineChars="150"/>
        <w:jc w:val="left"/>
        <w:rPr>
          <w:strike w:val="0"/>
          <w:color w:val="auto"/>
          <w:sz w:val="24"/>
        </w:rPr>
      </w:pPr>
      <w:r>
        <w:rPr>
          <w:strike w:val="0"/>
          <w:color w:val="auto"/>
          <w:sz w:val="24"/>
        </w:rPr>
        <w:t xml:space="preserve"> 甲方委派驻工地现场总代表及其委托的现场管理协调人员，必须是甲方书面指定的人员。若甲方代表换人，必须提前通知乙方，后任也必须全面继承前任应担负的责任，不得以换人为由推脱责任。</w:t>
      </w:r>
    </w:p>
    <w:p w14:paraId="03CD784A">
      <w:pPr>
        <w:numPr>
          <w:ilvl w:val="0"/>
          <w:numId w:val="2"/>
        </w:numPr>
        <w:tabs>
          <w:tab w:val="left" w:pos="1575"/>
          <w:tab w:val="clear" w:pos="1080"/>
        </w:tabs>
        <w:spacing w:before="120" w:line="440" w:lineRule="exact"/>
        <w:ind w:left="993" w:hanging="1077"/>
        <w:rPr>
          <w:b/>
          <w:strike w:val="0"/>
          <w:color w:val="auto"/>
          <w:sz w:val="24"/>
        </w:rPr>
      </w:pPr>
      <w:r>
        <w:rPr>
          <w:b/>
          <w:strike w:val="0"/>
          <w:color w:val="auto"/>
          <w:sz w:val="24"/>
        </w:rPr>
        <w:t>甲方工作</w:t>
      </w:r>
    </w:p>
    <w:p w14:paraId="21BE233F">
      <w:pPr>
        <w:tabs>
          <w:tab w:val="left" w:pos="1050"/>
        </w:tabs>
        <w:spacing w:line="440" w:lineRule="exact"/>
        <w:ind w:firstLine="486" w:firstLineChars="200"/>
        <w:rPr>
          <w:strike w:val="0"/>
          <w:color w:val="auto"/>
          <w:sz w:val="24"/>
        </w:rPr>
      </w:pPr>
      <w:r>
        <w:rPr>
          <w:strike w:val="0"/>
          <w:color w:val="auto"/>
          <w:sz w:val="24"/>
        </w:rPr>
        <w:t>协调处理施工现场有关事宜，避免乙方产生待工或误工。协助安排施工场所及施工时段、协调处理有关突发事件，让工程进度顺利进行；同时</w:t>
      </w:r>
      <w:r>
        <w:rPr>
          <w:bCs/>
          <w:strike w:val="0"/>
          <w:color w:val="auto"/>
          <w:sz w:val="24"/>
        </w:rPr>
        <w:t>甲方</w:t>
      </w:r>
      <w:r>
        <w:rPr>
          <w:strike w:val="0"/>
          <w:color w:val="auto"/>
          <w:sz w:val="24"/>
        </w:rPr>
        <w:t>对工程质量享有最高的监督权和纠正权，</w:t>
      </w:r>
      <w:r>
        <w:rPr>
          <w:strike w:val="0"/>
          <w:color w:val="auto"/>
          <w:sz w:val="24"/>
          <w:shd w:val="clear" w:color="auto" w:fill="FFFFFF"/>
        </w:rPr>
        <w:t>确保工程安全施工、文明施工，</w:t>
      </w:r>
      <w:r>
        <w:rPr>
          <w:strike w:val="0"/>
          <w:color w:val="auto"/>
          <w:sz w:val="24"/>
        </w:rPr>
        <w:t>直至总工程验收。</w:t>
      </w:r>
    </w:p>
    <w:p w14:paraId="298C0B93">
      <w:pPr>
        <w:numPr>
          <w:ilvl w:val="0"/>
          <w:numId w:val="2"/>
        </w:numPr>
        <w:tabs>
          <w:tab w:val="left" w:pos="1575"/>
          <w:tab w:val="clear" w:pos="1080"/>
        </w:tabs>
        <w:spacing w:before="120" w:line="440" w:lineRule="exact"/>
        <w:ind w:left="1077" w:hanging="1077"/>
        <w:rPr>
          <w:b/>
          <w:color w:val="auto"/>
          <w:sz w:val="24"/>
        </w:rPr>
      </w:pPr>
      <w:r>
        <w:rPr>
          <w:b/>
          <w:color w:val="auto"/>
          <w:sz w:val="24"/>
        </w:rPr>
        <w:t>乙方驻工地代表</w:t>
      </w:r>
    </w:p>
    <w:p w14:paraId="7456100F">
      <w:pPr>
        <w:tabs>
          <w:tab w:val="left" w:pos="1050"/>
        </w:tabs>
        <w:spacing w:line="440" w:lineRule="exact"/>
        <w:rPr>
          <w:color w:val="auto"/>
          <w:sz w:val="24"/>
        </w:rPr>
      </w:pPr>
      <w:r>
        <w:rPr>
          <w:color w:val="auto"/>
          <w:sz w:val="24"/>
        </w:rPr>
        <w:t>1、乙方委派驻工地的总负责人或总代表，应书面通知甲方，若乙方代表换人，须提前1天通知甲方，其后任必须全面继承承担前任应负的责任，不得以换人为由推脱责任。</w:t>
      </w:r>
    </w:p>
    <w:p w14:paraId="60F15997">
      <w:pPr>
        <w:tabs>
          <w:tab w:val="left" w:pos="630"/>
          <w:tab w:val="left" w:pos="1050"/>
        </w:tabs>
        <w:spacing w:line="440" w:lineRule="exact"/>
        <w:rPr>
          <w:color w:val="auto"/>
          <w:sz w:val="24"/>
        </w:rPr>
      </w:pPr>
      <w:r>
        <w:rPr>
          <w:color w:val="auto"/>
          <w:sz w:val="24"/>
        </w:rPr>
        <w:t>2、乙方代表按合同约定履行职责。</w:t>
      </w:r>
    </w:p>
    <w:p w14:paraId="270FC229">
      <w:pPr>
        <w:tabs>
          <w:tab w:val="left" w:pos="630"/>
          <w:tab w:val="left" w:pos="1050"/>
        </w:tabs>
        <w:spacing w:line="440" w:lineRule="exact"/>
        <w:ind w:left="480" w:hanging="486" w:hangingChars="200"/>
        <w:rPr>
          <w:color w:val="auto"/>
          <w:sz w:val="24"/>
        </w:rPr>
      </w:pPr>
      <w:r>
        <w:rPr>
          <w:color w:val="auto"/>
          <w:sz w:val="24"/>
        </w:rPr>
        <w:t>3、乙方代表统一结算领取该项目工程款，并向所有施工人员结算发放工资及劳务费。</w:t>
      </w:r>
    </w:p>
    <w:p w14:paraId="612A23FF">
      <w:pPr>
        <w:numPr>
          <w:ilvl w:val="0"/>
          <w:numId w:val="2"/>
        </w:numPr>
        <w:tabs>
          <w:tab w:val="left" w:pos="1575"/>
          <w:tab w:val="clear" w:pos="1080"/>
        </w:tabs>
        <w:spacing w:line="440" w:lineRule="exact"/>
        <w:rPr>
          <w:b/>
          <w:color w:val="auto"/>
          <w:sz w:val="24"/>
        </w:rPr>
      </w:pPr>
      <w:r>
        <w:rPr>
          <w:b/>
          <w:color w:val="auto"/>
          <w:sz w:val="24"/>
        </w:rPr>
        <w:t>乙方工作</w:t>
      </w:r>
    </w:p>
    <w:p w14:paraId="14B5C8FB">
      <w:pPr>
        <w:spacing w:before="120" w:line="400" w:lineRule="exact"/>
        <w:rPr>
          <w:color w:val="auto"/>
          <w:sz w:val="24"/>
        </w:rPr>
      </w:pPr>
      <w:r>
        <w:rPr>
          <w:color w:val="auto"/>
          <w:sz w:val="24"/>
        </w:rPr>
        <w:t xml:space="preserve">    乙方须提供符合甲方要求的设备及材料，具体内容如下：</w:t>
      </w:r>
    </w:p>
    <w:p w14:paraId="4F6840EE">
      <w:pPr>
        <w:tabs>
          <w:tab w:val="left" w:pos="1575"/>
        </w:tabs>
        <w:spacing w:line="440" w:lineRule="exact"/>
        <w:rPr>
          <w:color w:val="auto"/>
          <w:sz w:val="24"/>
        </w:rPr>
      </w:pPr>
      <w:r>
        <w:rPr>
          <w:color w:val="auto"/>
          <w:sz w:val="24"/>
        </w:rPr>
        <w:t>1、对施工现场进行全面勘察，确定项目设备</w:t>
      </w:r>
      <w:r>
        <w:rPr>
          <w:rFonts w:hint="eastAsia"/>
          <w:color w:val="auto"/>
          <w:sz w:val="24"/>
        </w:rPr>
        <w:t>的</w:t>
      </w:r>
      <w:r>
        <w:rPr>
          <w:color w:val="auto"/>
          <w:sz w:val="24"/>
        </w:rPr>
        <w:t>设计及安装施工方案；出具相应的技术图纸；</w:t>
      </w:r>
    </w:p>
    <w:p w14:paraId="01F593FD">
      <w:pPr>
        <w:tabs>
          <w:tab w:val="left" w:pos="1575"/>
        </w:tabs>
        <w:spacing w:line="440" w:lineRule="exact"/>
        <w:rPr>
          <w:color w:val="auto"/>
          <w:sz w:val="24"/>
        </w:rPr>
      </w:pPr>
      <w:r>
        <w:rPr>
          <w:color w:val="auto"/>
          <w:sz w:val="24"/>
        </w:rPr>
        <w:t>2、根据双方确定的设计方案、施工方案，按业主方和甲方现场人员要求进行安装进行施工。</w:t>
      </w:r>
    </w:p>
    <w:p w14:paraId="54675C60">
      <w:pPr>
        <w:tabs>
          <w:tab w:val="left" w:pos="1575"/>
        </w:tabs>
        <w:spacing w:line="440" w:lineRule="exact"/>
        <w:rPr>
          <w:color w:val="auto"/>
          <w:sz w:val="24"/>
        </w:rPr>
      </w:pPr>
      <w:r>
        <w:rPr>
          <w:color w:val="auto"/>
          <w:sz w:val="24"/>
        </w:rPr>
        <w:t>3、工程所涉及设备和工具，由乙方负责提供并自行保管；</w:t>
      </w:r>
    </w:p>
    <w:p w14:paraId="020F9E17">
      <w:pPr>
        <w:tabs>
          <w:tab w:val="left" w:pos="1575"/>
        </w:tabs>
        <w:spacing w:line="440" w:lineRule="exact"/>
        <w:rPr>
          <w:color w:val="auto"/>
          <w:sz w:val="24"/>
        </w:rPr>
      </w:pPr>
      <w:r>
        <w:rPr>
          <w:color w:val="auto"/>
          <w:sz w:val="24"/>
        </w:rPr>
        <w:t>4、乙方遵循甲方指令，并遵循业主方的相关厂纪厂规。</w:t>
      </w:r>
    </w:p>
    <w:p w14:paraId="4B6BD184">
      <w:pPr>
        <w:tabs>
          <w:tab w:val="left" w:pos="1575"/>
        </w:tabs>
        <w:spacing w:line="440" w:lineRule="exact"/>
        <w:rPr>
          <w:color w:val="auto"/>
          <w:sz w:val="24"/>
        </w:rPr>
      </w:pPr>
      <w:r>
        <w:rPr>
          <w:color w:val="auto"/>
          <w:sz w:val="24"/>
        </w:rPr>
        <w:t>5、乙方应对施工步骤进行合理规划，并提前报甲方和业主方审核备案，以尽量不影响业主方生产为原则。施工过程中，严禁私自拉线、接电，否则，由此给业主方带来的损失将全部由乙方承担。</w:t>
      </w:r>
    </w:p>
    <w:p w14:paraId="159A3DB5">
      <w:pPr>
        <w:numPr>
          <w:ilvl w:val="0"/>
          <w:numId w:val="2"/>
        </w:numPr>
        <w:tabs>
          <w:tab w:val="left" w:pos="1575"/>
          <w:tab w:val="clear" w:pos="1080"/>
        </w:tabs>
        <w:spacing w:before="120" w:line="440" w:lineRule="exact"/>
        <w:ind w:left="1077" w:hanging="1077"/>
        <w:rPr>
          <w:b/>
          <w:color w:val="auto"/>
          <w:sz w:val="24"/>
        </w:rPr>
      </w:pPr>
      <w:r>
        <w:rPr>
          <w:b/>
          <w:color w:val="auto"/>
          <w:sz w:val="24"/>
        </w:rPr>
        <w:t>工期保证</w:t>
      </w:r>
    </w:p>
    <w:p w14:paraId="4C4A3EB5">
      <w:pPr>
        <w:tabs>
          <w:tab w:val="left" w:pos="945"/>
        </w:tabs>
        <w:spacing w:line="440" w:lineRule="exact"/>
        <w:rPr>
          <w:bCs/>
          <w:color w:val="auto"/>
          <w:sz w:val="24"/>
        </w:rPr>
      </w:pPr>
      <w:r>
        <w:rPr>
          <w:bCs/>
          <w:color w:val="auto"/>
          <w:sz w:val="24"/>
        </w:rPr>
        <w:t>1、乙方须于合同签订后三天内将具体项目施工计划、工期安排、人员安排报甲方备案；</w:t>
      </w:r>
    </w:p>
    <w:p w14:paraId="45540DEA">
      <w:pPr>
        <w:tabs>
          <w:tab w:val="left" w:pos="945"/>
        </w:tabs>
        <w:spacing w:line="440" w:lineRule="exact"/>
        <w:rPr>
          <w:bCs/>
          <w:color w:val="auto"/>
          <w:sz w:val="24"/>
        </w:rPr>
      </w:pPr>
      <w:r>
        <w:rPr>
          <w:bCs/>
          <w:color w:val="auto"/>
          <w:sz w:val="24"/>
        </w:rPr>
        <w:t>2、甲乙双方商议定的工期，乙方必须按甲方要求时间完成，如果造成工程验收延时，每延迟一天，甲方按照总工程款</w:t>
      </w:r>
      <w:r>
        <w:rPr>
          <w:rFonts w:hint="eastAsia"/>
          <w:bCs/>
          <w:color w:val="auto"/>
          <w:sz w:val="24"/>
          <w:lang w:val="en-US" w:eastAsia="zh-CN"/>
        </w:rPr>
        <w:t>2000元</w:t>
      </w:r>
      <w:r>
        <w:rPr>
          <w:bCs/>
          <w:color w:val="auto"/>
          <w:sz w:val="24"/>
        </w:rPr>
        <w:t>的金额扣除乙方工程款项</w:t>
      </w:r>
      <w:r>
        <w:rPr>
          <w:color w:val="auto"/>
          <w:sz w:val="24"/>
        </w:rPr>
        <w:t>（不可抗力除外）</w:t>
      </w:r>
      <w:r>
        <w:rPr>
          <w:bCs/>
          <w:color w:val="auto"/>
          <w:sz w:val="24"/>
        </w:rPr>
        <w:t>。</w:t>
      </w:r>
    </w:p>
    <w:p w14:paraId="646C2535">
      <w:pPr>
        <w:numPr>
          <w:ilvl w:val="0"/>
          <w:numId w:val="2"/>
        </w:numPr>
        <w:tabs>
          <w:tab w:val="left" w:pos="1575"/>
          <w:tab w:val="clear" w:pos="1080"/>
        </w:tabs>
        <w:spacing w:before="120" w:line="440" w:lineRule="exact"/>
        <w:ind w:left="1077" w:hanging="1077"/>
        <w:rPr>
          <w:b/>
          <w:color w:val="auto"/>
          <w:sz w:val="24"/>
        </w:rPr>
      </w:pPr>
      <w:r>
        <w:rPr>
          <w:b/>
          <w:color w:val="auto"/>
          <w:sz w:val="24"/>
        </w:rPr>
        <w:t>工程质量</w:t>
      </w:r>
    </w:p>
    <w:p w14:paraId="40794A58">
      <w:pPr>
        <w:tabs>
          <w:tab w:val="left" w:pos="945"/>
        </w:tabs>
        <w:spacing w:line="440" w:lineRule="exact"/>
        <w:rPr>
          <w:bCs/>
          <w:color w:val="auto"/>
          <w:sz w:val="24"/>
        </w:rPr>
      </w:pPr>
      <w:r>
        <w:rPr>
          <w:bCs/>
          <w:color w:val="auto"/>
          <w:sz w:val="24"/>
        </w:rPr>
        <w:t>1、乙方应对其提供的材料设备质量负责。乙方提供的材料设备须有合格证、出厂检测资料、样本、说明书等。所有资料须及时分类建档，保证做到完整齐全。本项目使用到的乙方提供的所有设备、材料货到项目现场后，均需通过甲方的审查通过，方可投入使用，否则甲方有权不予以接受，并保留要求乙方拆除并更换的权利。甲方的审查通过并不解除乙方对设备、材料质量、规格应承担的责任。</w:t>
      </w:r>
    </w:p>
    <w:p w14:paraId="1312EC06">
      <w:pPr>
        <w:tabs>
          <w:tab w:val="left" w:pos="945"/>
        </w:tabs>
        <w:spacing w:line="440" w:lineRule="exact"/>
        <w:rPr>
          <w:color w:val="auto"/>
          <w:sz w:val="24"/>
          <w:szCs w:val="28"/>
        </w:rPr>
      </w:pPr>
      <w:r>
        <w:rPr>
          <w:bCs/>
          <w:color w:val="auto"/>
          <w:sz w:val="24"/>
        </w:rPr>
        <w:t>2、</w:t>
      </w:r>
      <w:r>
        <w:rPr>
          <w:color w:val="auto"/>
          <w:sz w:val="24"/>
          <w:szCs w:val="28"/>
        </w:rPr>
        <w:t>乙方提供的全部材料设备的包装须有良好的防潮、防震、防锈、防爆炸和利于装卸等保护措施，以确保材料设备安全无损运抵指定交货地点。一旦发现包装有损坏，甲方有权拒绝接收，由此产生的所有损失和费用将由乙方承担。重新交付导致材料设备的包装物由乙方提供。</w:t>
      </w:r>
    </w:p>
    <w:p w14:paraId="11252F60">
      <w:pPr>
        <w:tabs>
          <w:tab w:val="left" w:pos="945"/>
        </w:tabs>
        <w:spacing w:line="440" w:lineRule="exact"/>
        <w:rPr>
          <w:color w:val="auto"/>
          <w:sz w:val="24"/>
          <w:szCs w:val="28"/>
        </w:rPr>
      </w:pPr>
      <w:r>
        <w:rPr>
          <w:color w:val="auto"/>
          <w:sz w:val="24"/>
          <w:szCs w:val="28"/>
        </w:rPr>
        <w:t>3、乙方采购的材料设备与设计标准要求、合同要求或甲方要求不符时，乙方应按甲方项目负责人或工程师要求的时间运出施工场地，重新采购符合要求的产品，承担由此发生的费用。</w:t>
      </w:r>
    </w:p>
    <w:p w14:paraId="728A6716">
      <w:pPr>
        <w:tabs>
          <w:tab w:val="left" w:pos="945"/>
        </w:tabs>
        <w:spacing w:line="440" w:lineRule="exact"/>
        <w:rPr>
          <w:color w:val="auto"/>
          <w:sz w:val="24"/>
          <w:szCs w:val="28"/>
        </w:rPr>
      </w:pPr>
      <w:r>
        <w:rPr>
          <w:color w:val="auto"/>
          <w:sz w:val="24"/>
          <w:szCs w:val="28"/>
        </w:rPr>
        <w:t>4、乙方采购的材料设备在使用前，乙方应按甲方项目负责人或工程师的要求进行检验或试验，不合格的不得使用，检验或试验费用由乙方承担。</w:t>
      </w:r>
    </w:p>
    <w:p w14:paraId="28660BBC">
      <w:pPr>
        <w:tabs>
          <w:tab w:val="left" w:pos="945"/>
        </w:tabs>
        <w:spacing w:line="440" w:lineRule="exact"/>
        <w:rPr>
          <w:bCs/>
          <w:color w:val="auto"/>
          <w:sz w:val="24"/>
        </w:rPr>
      </w:pPr>
      <w:r>
        <w:rPr>
          <w:color w:val="auto"/>
          <w:sz w:val="24"/>
          <w:szCs w:val="28"/>
        </w:rPr>
        <w:t>5、乙方需要使用代用材料时，应经甲方项目负责人认可后才能使用。由此增减的合同价款经甲方书面确认同意后方为有效。</w:t>
      </w:r>
    </w:p>
    <w:p w14:paraId="013D6446">
      <w:pPr>
        <w:tabs>
          <w:tab w:val="left" w:pos="1575"/>
        </w:tabs>
        <w:spacing w:line="440" w:lineRule="exact"/>
        <w:rPr>
          <w:color w:val="auto"/>
          <w:sz w:val="24"/>
        </w:rPr>
      </w:pPr>
      <w:r>
        <w:rPr>
          <w:color w:val="auto"/>
          <w:sz w:val="24"/>
        </w:rPr>
        <w:t>6、乙方对系统的工程均需符合国家标准，如因乙方设计或安装不符合验收标准，直接导致验收延期的，乙方应立即组织人员返工，甲方按照工期保证条款中的金额扣除乙方工程款项。</w:t>
      </w:r>
    </w:p>
    <w:p w14:paraId="0C395DDF">
      <w:pPr>
        <w:tabs>
          <w:tab w:val="left" w:pos="1575"/>
        </w:tabs>
        <w:spacing w:line="440" w:lineRule="exact"/>
        <w:rPr>
          <w:color w:val="auto"/>
          <w:sz w:val="24"/>
        </w:rPr>
      </w:pPr>
      <w:r>
        <w:rPr>
          <w:color w:val="auto"/>
          <w:sz w:val="24"/>
        </w:rPr>
        <w:t>7、工程完工后，乙方应将所有工地废料杂物及临时设备及时清理完毕，并将所有剩余材料及设备运离工地，且试车合格后，应向甲方提报完整的竣工资料(包含图纸及其他相关资料)及验收报告，经甲方查核无未完成的工作项目后，方得申报验收。</w:t>
      </w:r>
    </w:p>
    <w:p w14:paraId="125C23B0">
      <w:pPr>
        <w:tabs>
          <w:tab w:val="left" w:pos="1575"/>
        </w:tabs>
        <w:spacing w:line="440" w:lineRule="exact"/>
        <w:rPr>
          <w:color w:val="auto"/>
          <w:sz w:val="24"/>
          <w:szCs w:val="28"/>
        </w:rPr>
      </w:pPr>
      <w:r>
        <w:rPr>
          <w:color w:val="auto"/>
          <w:sz w:val="24"/>
        </w:rPr>
        <w:t>8、</w:t>
      </w:r>
      <w:r>
        <w:rPr>
          <w:color w:val="auto"/>
          <w:sz w:val="24"/>
          <w:szCs w:val="28"/>
        </w:rPr>
        <w:t>本项目进度在符合完工或阶段性验收标准时，乙方应书面报请最终验收，由甲方进行初验。验收时，乙方应派员会同办理。如乙方未到场，甲方亦可进行验收，乙方事后对验收结果不得表示异议。</w:t>
      </w:r>
    </w:p>
    <w:p w14:paraId="73D37862">
      <w:pPr>
        <w:tabs>
          <w:tab w:val="left" w:pos="1575"/>
        </w:tabs>
        <w:spacing w:line="440" w:lineRule="exact"/>
        <w:rPr>
          <w:color w:val="auto"/>
          <w:sz w:val="24"/>
          <w:szCs w:val="28"/>
        </w:rPr>
      </w:pPr>
      <w:r>
        <w:rPr>
          <w:color w:val="auto"/>
          <w:sz w:val="24"/>
          <w:szCs w:val="28"/>
        </w:rPr>
        <w:t>9、初验结果发现本项目有缺点或乙方工作有不符合本合同规定之处，乙方应在甲方的规定期限内无偿修改完毕。</w:t>
      </w:r>
    </w:p>
    <w:p w14:paraId="62A19E20">
      <w:pPr>
        <w:tabs>
          <w:tab w:val="left" w:pos="1575"/>
        </w:tabs>
        <w:spacing w:line="440" w:lineRule="exact"/>
        <w:rPr>
          <w:color w:val="auto"/>
          <w:sz w:val="24"/>
          <w:szCs w:val="28"/>
        </w:rPr>
      </w:pPr>
      <w:r>
        <w:rPr>
          <w:color w:val="auto"/>
          <w:sz w:val="24"/>
          <w:szCs w:val="28"/>
        </w:rPr>
        <w:t>10、工程最终验收以工程符合本合同、本次招标技术要求为前提，以甲方的验收为最终验收，且需甲方项目经理签字方为有效。最终验收完成之日为工程最终验收合格之日。</w:t>
      </w:r>
    </w:p>
    <w:p w14:paraId="639469A0">
      <w:pPr>
        <w:tabs>
          <w:tab w:val="left" w:pos="1575"/>
        </w:tabs>
        <w:spacing w:line="440" w:lineRule="exact"/>
        <w:rPr>
          <w:color w:val="auto"/>
          <w:sz w:val="24"/>
        </w:rPr>
      </w:pPr>
      <w:r>
        <w:rPr>
          <w:color w:val="auto"/>
          <w:sz w:val="24"/>
          <w:szCs w:val="28"/>
        </w:rPr>
        <w:t>11、乙方应在工程最终验收后7日内免费提供1套完整的纸质图纸、1套完整的电子版图纸和其它竣工资料给甲方。工程最终验收合格后，乙方应立即按甲方要求将各种工程资料交付给甲方，甲乙双方办理交接手续。</w:t>
      </w:r>
    </w:p>
    <w:p w14:paraId="53FF3437">
      <w:pPr>
        <w:tabs>
          <w:tab w:val="left" w:pos="1575"/>
        </w:tabs>
        <w:spacing w:line="440" w:lineRule="exact"/>
        <w:rPr>
          <w:color w:val="auto"/>
          <w:sz w:val="24"/>
        </w:rPr>
      </w:pPr>
      <w:r>
        <w:rPr>
          <w:color w:val="auto"/>
          <w:sz w:val="24"/>
        </w:rPr>
        <w:t>12、安装工程质保期为工程竣工后</w:t>
      </w:r>
      <w:r>
        <w:rPr>
          <w:rFonts w:hint="eastAsia"/>
          <w:color w:val="auto"/>
          <w:sz w:val="24"/>
        </w:rPr>
        <w:t>1</w:t>
      </w:r>
      <w:r>
        <w:rPr>
          <w:color w:val="auto"/>
          <w:sz w:val="24"/>
        </w:rPr>
        <w:t>年，在质保期内如果发现安装质量问题，乙方接到甲方通知后，应当8小时以内组织施工人员到现场维修或返工。乙方在保修过程中如更换设备、配件、材料的，应经甲方确认，且其质量标准不低于施工时所使用的相应设备、配件和材料。</w:t>
      </w:r>
    </w:p>
    <w:p w14:paraId="67B5EB66">
      <w:pPr>
        <w:numPr>
          <w:ilvl w:val="0"/>
          <w:numId w:val="2"/>
        </w:numPr>
        <w:tabs>
          <w:tab w:val="left" w:pos="1575"/>
          <w:tab w:val="clear" w:pos="1080"/>
        </w:tabs>
        <w:spacing w:before="120" w:line="440" w:lineRule="exact"/>
        <w:ind w:left="1077" w:hanging="1077"/>
        <w:rPr>
          <w:b/>
          <w:color w:val="auto"/>
          <w:sz w:val="24"/>
        </w:rPr>
      </w:pPr>
      <w:r>
        <w:rPr>
          <w:b/>
          <w:color w:val="auto"/>
          <w:sz w:val="24"/>
        </w:rPr>
        <w:t>安全施工</w:t>
      </w:r>
    </w:p>
    <w:p w14:paraId="0C3F32D1">
      <w:pPr>
        <w:spacing w:line="440" w:lineRule="atLeast"/>
        <w:rPr>
          <w:color w:val="auto"/>
          <w:sz w:val="24"/>
        </w:rPr>
      </w:pPr>
      <w:r>
        <w:rPr>
          <w:color w:val="auto"/>
          <w:sz w:val="24"/>
        </w:rPr>
        <w:t>1、施工现场安全工作达标率100%，优良率95%以上。财产及人员损伤、损失为零。</w:t>
      </w:r>
    </w:p>
    <w:p w14:paraId="406F6452">
      <w:pPr>
        <w:tabs>
          <w:tab w:val="left" w:pos="1575"/>
        </w:tabs>
        <w:spacing w:line="440" w:lineRule="exact"/>
        <w:rPr>
          <w:color w:val="auto"/>
          <w:sz w:val="24"/>
        </w:rPr>
      </w:pPr>
      <w:bookmarkStart w:id="1" w:name="_Toc202343229"/>
      <w:bookmarkStart w:id="2" w:name="_Toc34790020"/>
      <w:bookmarkStart w:id="3" w:name="_Toc202343384"/>
      <w:bookmarkStart w:id="4" w:name="_Toc202341303"/>
      <w:bookmarkStart w:id="5" w:name="_Toc202341775"/>
      <w:bookmarkStart w:id="6" w:name="_Toc202343100"/>
      <w:bookmarkStart w:id="7" w:name="_Toc151352468"/>
      <w:bookmarkStart w:id="8" w:name="_Toc201597505"/>
      <w:bookmarkStart w:id="9" w:name="_Toc202342941"/>
      <w:bookmarkStart w:id="10" w:name="_Toc151544403"/>
      <w:r>
        <w:rPr>
          <w:color w:val="auto"/>
          <w:sz w:val="24"/>
        </w:rPr>
        <w:t>2、施工纪律</w:t>
      </w:r>
      <w:bookmarkEnd w:id="1"/>
      <w:bookmarkEnd w:id="2"/>
      <w:bookmarkEnd w:id="3"/>
      <w:bookmarkEnd w:id="4"/>
      <w:bookmarkEnd w:id="5"/>
      <w:bookmarkEnd w:id="6"/>
      <w:bookmarkEnd w:id="7"/>
      <w:bookmarkEnd w:id="8"/>
      <w:bookmarkEnd w:id="9"/>
      <w:bookmarkEnd w:id="10"/>
    </w:p>
    <w:p w14:paraId="03C53F83">
      <w:pPr>
        <w:tabs>
          <w:tab w:val="left" w:pos="1575"/>
        </w:tabs>
        <w:spacing w:line="440" w:lineRule="exact"/>
        <w:rPr>
          <w:color w:val="auto"/>
          <w:sz w:val="24"/>
        </w:rPr>
      </w:pPr>
      <w:r>
        <w:rPr>
          <w:color w:val="auto"/>
          <w:sz w:val="24"/>
        </w:rPr>
        <w:t>（1）乙方每天进场施工时间严格按照甲方与业主方协调沟通时间，工程施工不得影响业主方正常工作和生产活动。</w:t>
      </w:r>
    </w:p>
    <w:p w14:paraId="5EE58AEB">
      <w:pPr>
        <w:tabs>
          <w:tab w:val="left" w:pos="1575"/>
        </w:tabs>
        <w:spacing w:line="440" w:lineRule="exact"/>
        <w:rPr>
          <w:color w:val="auto"/>
          <w:sz w:val="24"/>
        </w:rPr>
      </w:pPr>
      <w:r>
        <w:rPr>
          <w:color w:val="auto"/>
          <w:sz w:val="24"/>
        </w:rPr>
        <w:t>（2）</w:t>
      </w:r>
      <w:r>
        <w:rPr>
          <w:color w:val="auto"/>
          <w:sz w:val="24"/>
          <w:szCs w:val="28"/>
        </w:rPr>
        <w:t>乙方应对其在施工场地的工作人员进行安全教育、安全技术交底，对他们的安全负责，乙方应保存相关书面记录供甲方审查，特殊作业人员必须持证上岗</w:t>
      </w:r>
    </w:p>
    <w:p w14:paraId="6990AC2A">
      <w:pPr>
        <w:tabs>
          <w:tab w:val="left" w:pos="1575"/>
        </w:tabs>
        <w:spacing w:line="440" w:lineRule="exact"/>
        <w:rPr>
          <w:color w:val="auto"/>
          <w:sz w:val="24"/>
        </w:rPr>
      </w:pPr>
      <w:r>
        <w:rPr>
          <w:color w:val="auto"/>
          <w:sz w:val="24"/>
        </w:rPr>
        <w:t>（3）进入施工现场，必须严格遵守业主方场所内的所有规定，乙方应随时接受行业安全检查人员依法实施的监督检查，采取必要的安全防护措施，消除事故隐患。因乙方安全管理不善、安全措施不力或安全防护不规范等而造成安全事故的，由乙方承担全部责任，包括但不限于甲方、任何第三方的一切损失及行政处罚。</w:t>
      </w:r>
    </w:p>
    <w:p w14:paraId="5CD18132">
      <w:pPr>
        <w:tabs>
          <w:tab w:val="left" w:pos="1575"/>
        </w:tabs>
        <w:spacing w:line="440" w:lineRule="exact"/>
        <w:rPr>
          <w:color w:val="auto"/>
          <w:sz w:val="24"/>
        </w:rPr>
      </w:pPr>
      <w:r>
        <w:rPr>
          <w:color w:val="auto"/>
          <w:sz w:val="24"/>
        </w:rPr>
        <w:t>（4）施工时必须严格执行交底中的安全技术措施（标示牌、警示牌、安全绳等等），未经交底严禁作业；</w:t>
      </w:r>
    </w:p>
    <w:p w14:paraId="4315A58D">
      <w:pPr>
        <w:tabs>
          <w:tab w:val="left" w:pos="1575"/>
        </w:tabs>
        <w:spacing w:line="440" w:lineRule="exact"/>
        <w:rPr>
          <w:color w:val="auto"/>
          <w:sz w:val="24"/>
        </w:rPr>
      </w:pPr>
      <w:r>
        <w:rPr>
          <w:color w:val="auto"/>
          <w:sz w:val="24"/>
        </w:rPr>
        <w:t>（5）乙方从事特种作业人员必须持有特种作业操作证（如电工证等），并且证件需报甲方备案，未备案人员禁止进行特种作业施工，否则造成的人身财产损失由乙方承担；</w:t>
      </w:r>
    </w:p>
    <w:p w14:paraId="62439FA9">
      <w:pPr>
        <w:tabs>
          <w:tab w:val="left" w:pos="1575"/>
        </w:tabs>
        <w:spacing w:line="440" w:lineRule="exact"/>
        <w:rPr>
          <w:color w:val="auto"/>
          <w:sz w:val="24"/>
        </w:rPr>
      </w:pPr>
      <w:r>
        <w:rPr>
          <w:color w:val="auto"/>
          <w:sz w:val="24"/>
        </w:rPr>
        <w:t>（6）施工人员必须服从双方及业主方现场管理人员的指挥和管理；</w:t>
      </w:r>
    </w:p>
    <w:p w14:paraId="1A24FA24">
      <w:pPr>
        <w:tabs>
          <w:tab w:val="left" w:pos="1575"/>
        </w:tabs>
        <w:spacing w:line="440" w:lineRule="exact"/>
        <w:rPr>
          <w:color w:val="auto"/>
          <w:sz w:val="24"/>
        </w:rPr>
      </w:pPr>
      <w:r>
        <w:rPr>
          <w:color w:val="auto"/>
          <w:sz w:val="24"/>
        </w:rPr>
        <w:t>（7）施工过程禁止任何违规操作，若造成任何一方人身安全及财产损失的，一切由乙方承担损失；</w:t>
      </w:r>
    </w:p>
    <w:p w14:paraId="5CB6A298">
      <w:pPr>
        <w:tabs>
          <w:tab w:val="left" w:pos="1575"/>
        </w:tabs>
        <w:spacing w:line="440" w:lineRule="exact"/>
        <w:rPr>
          <w:color w:val="auto"/>
          <w:sz w:val="24"/>
        </w:rPr>
      </w:pPr>
      <w:r>
        <w:rPr>
          <w:color w:val="auto"/>
          <w:sz w:val="24"/>
        </w:rPr>
        <w:t>（8）任何特种作业乙方需有必要的安全措施，否则造成的人身财产损失由乙方承担；</w:t>
      </w:r>
    </w:p>
    <w:p w14:paraId="1FD8A45F">
      <w:pPr>
        <w:tabs>
          <w:tab w:val="left" w:pos="1575"/>
        </w:tabs>
        <w:spacing w:line="440" w:lineRule="exact"/>
        <w:rPr>
          <w:color w:val="auto"/>
          <w:sz w:val="24"/>
        </w:rPr>
      </w:pPr>
      <w:r>
        <w:rPr>
          <w:color w:val="auto"/>
          <w:sz w:val="24"/>
        </w:rPr>
        <w:t>（9）乙方在施工现场危险范围需有明显的安全警示标识；如因乙方的疏忽、设备故障、材料瑕疵或施工不良，损害他人人身或财产，致使甲方负担赔偿责任、受到损害或支出费用时，乙方需负责赔偿甲方之损害。</w:t>
      </w:r>
    </w:p>
    <w:p w14:paraId="5AA5CFE4">
      <w:pPr>
        <w:tabs>
          <w:tab w:val="left" w:pos="1575"/>
        </w:tabs>
        <w:spacing w:line="440" w:lineRule="exact"/>
        <w:rPr>
          <w:color w:val="auto"/>
          <w:sz w:val="24"/>
        </w:rPr>
      </w:pPr>
      <w:r>
        <w:rPr>
          <w:color w:val="auto"/>
          <w:sz w:val="24"/>
        </w:rPr>
        <w:t>（10）所有拆卸、安装均需按要求操作，小心轻放，确保拆卸设备的完好，并且按要求对拆卸设备进行包装堆放，按安装区域整理标清，并移交运送甲方和业主方作入库确认。</w:t>
      </w:r>
    </w:p>
    <w:p w14:paraId="25ADE0F4">
      <w:pPr>
        <w:tabs>
          <w:tab w:val="left" w:pos="1575"/>
        </w:tabs>
        <w:spacing w:line="440" w:lineRule="exact"/>
        <w:rPr>
          <w:color w:val="auto"/>
          <w:sz w:val="24"/>
        </w:rPr>
      </w:pPr>
      <w:r>
        <w:rPr>
          <w:color w:val="auto"/>
          <w:sz w:val="24"/>
        </w:rPr>
        <w:t>（11）施工现场业主方财产安全，施工期间，禁止擅自挪动、动用、偷窃业甲方和主方的任何办公设备、物料、产品、文件资料等设备财产。</w:t>
      </w:r>
    </w:p>
    <w:p w14:paraId="082F6ED8">
      <w:pPr>
        <w:tabs>
          <w:tab w:val="left" w:pos="1575"/>
        </w:tabs>
        <w:spacing w:line="440" w:lineRule="exact"/>
        <w:rPr>
          <w:color w:val="auto"/>
          <w:sz w:val="24"/>
        </w:rPr>
      </w:pPr>
      <w:r>
        <w:rPr>
          <w:color w:val="auto"/>
          <w:sz w:val="24"/>
        </w:rPr>
        <w:t>（12）乙方需保证施工现场环境的清洁，做好施工卫生保护措施。施工完后，按要求对现场进行清理，现场不得留有任何废弃物。</w:t>
      </w:r>
    </w:p>
    <w:p w14:paraId="6346E9B2">
      <w:pPr>
        <w:numPr>
          <w:ilvl w:val="0"/>
          <w:numId w:val="2"/>
        </w:numPr>
        <w:tabs>
          <w:tab w:val="left" w:pos="1575"/>
          <w:tab w:val="clear" w:pos="1080"/>
        </w:tabs>
        <w:spacing w:before="120" w:line="440" w:lineRule="exact"/>
        <w:ind w:left="1077" w:hanging="1077"/>
        <w:rPr>
          <w:b/>
          <w:color w:val="auto"/>
          <w:sz w:val="24"/>
        </w:rPr>
      </w:pPr>
      <w:r>
        <w:rPr>
          <w:b/>
          <w:color w:val="auto"/>
          <w:sz w:val="24"/>
        </w:rPr>
        <w:t>工程分包</w:t>
      </w:r>
    </w:p>
    <w:p w14:paraId="45D8B231">
      <w:pPr>
        <w:tabs>
          <w:tab w:val="left" w:pos="1890"/>
        </w:tabs>
        <w:spacing w:line="440" w:lineRule="exact"/>
        <w:ind w:left="0" w:leftChars="0" w:firstLine="486" w:firstLineChars="200"/>
        <w:rPr>
          <w:color w:val="auto"/>
          <w:sz w:val="24"/>
        </w:rPr>
      </w:pPr>
      <w:r>
        <w:rPr>
          <w:bCs/>
          <w:color w:val="auto"/>
          <w:sz w:val="24"/>
        </w:rPr>
        <w:t>本工程乙方不得分包或转包给其他方，否则乙方将承担单方违约的责任，一切后果责任由乙方承担。</w:t>
      </w:r>
    </w:p>
    <w:p w14:paraId="2CDED32A">
      <w:pPr>
        <w:numPr>
          <w:ilvl w:val="0"/>
          <w:numId w:val="2"/>
        </w:numPr>
        <w:tabs>
          <w:tab w:val="left" w:pos="1575"/>
          <w:tab w:val="clear" w:pos="1080"/>
        </w:tabs>
        <w:spacing w:before="120" w:line="440" w:lineRule="exact"/>
        <w:ind w:left="1077" w:hanging="1077"/>
        <w:rPr>
          <w:b/>
          <w:color w:val="auto"/>
          <w:sz w:val="24"/>
        </w:rPr>
      </w:pPr>
      <w:r>
        <w:rPr>
          <w:b/>
          <w:color w:val="auto"/>
          <w:sz w:val="24"/>
        </w:rPr>
        <w:t>不可抗力</w:t>
      </w:r>
    </w:p>
    <w:p w14:paraId="28D277A3">
      <w:pPr>
        <w:tabs>
          <w:tab w:val="left" w:pos="1575"/>
        </w:tabs>
        <w:spacing w:line="440" w:lineRule="exact"/>
        <w:rPr>
          <w:color w:val="auto"/>
          <w:sz w:val="24"/>
        </w:rPr>
      </w:pPr>
      <w:r>
        <w:rPr>
          <w:color w:val="auto"/>
          <w:sz w:val="24"/>
        </w:rPr>
        <w:t>1、不可抗力原因和因素的认定标准：</w:t>
      </w:r>
    </w:p>
    <w:p w14:paraId="3EEB970F">
      <w:pPr>
        <w:tabs>
          <w:tab w:val="left" w:pos="1575"/>
        </w:tabs>
        <w:spacing w:line="440" w:lineRule="exact"/>
        <w:rPr>
          <w:color w:val="auto"/>
          <w:sz w:val="24"/>
        </w:rPr>
      </w:pPr>
      <w:r>
        <w:rPr>
          <w:color w:val="auto"/>
          <w:sz w:val="24"/>
        </w:rPr>
        <w:t>（1）六级以上地震；</w:t>
      </w:r>
    </w:p>
    <w:p w14:paraId="0C8C3332">
      <w:pPr>
        <w:tabs>
          <w:tab w:val="left" w:pos="1575"/>
        </w:tabs>
        <w:spacing w:line="440" w:lineRule="exact"/>
        <w:rPr>
          <w:color w:val="auto"/>
          <w:sz w:val="24"/>
        </w:rPr>
      </w:pPr>
      <w:r>
        <w:rPr>
          <w:color w:val="auto"/>
          <w:sz w:val="24"/>
        </w:rPr>
        <w:t>（2）六级以上的持续24小时大风；</w:t>
      </w:r>
    </w:p>
    <w:p w14:paraId="17CE0112">
      <w:pPr>
        <w:tabs>
          <w:tab w:val="left" w:pos="1575"/>
        </w:tabs>
        <w:spacing w:line="440" w:lineRule="exact"/>
        <w:rPr>
          <w:color w:val="auto"/>
          <w:sz w:val="24"/>
        </w:rPr>
      </w:pPr>
      <w:r>
        <w:rPr>
          <w:color w:val="auto"/>
          <w:sz w:val="24"/>
        </w:rPr>
        <w:t>（3）30mm以上持续24小时的大雨、暴雨；</w:t>
      </w:r>
    </w:p>
    <w:p w14:paraId="174661E9">
      <w:pPr>
        <w:tabs>
          <w:tab w:val="left" w:pos="1575"/>
        </w:tabs>
        <w:spacing w:line="440" w:lineRule="exact"/>
        <w:rPr>
          <w:color w:val="auto"/>
          <w:sz w:val="24"/>
        </w:rPr>
      </w:pPr>
      <w:r>
        <w:rPr>
          <w:color w:val="auto"/>
          <w:sz w:val="24"/>
        </w:rPr>
        <w:t>（4）15年以上未发生过、持续二天的高温天气；</w:t>
      </w:r>
    </w:p>
    <w:p w14:paraId="6A31893D">
      <w:pPr>
        <w:tabs>
          <w:tab w:val="left" w:pos="1575"/>
        </w:tabs>
        <w:spacing w:line="440" w:lineRule="exact"/>
        <w:rPr>
          <w:color w:val="auto"/>
          <w:sz w:val="24"/>
        </w:rPr>
      </w:pPr>
      <w:r>
        <w:rPr>
          <w:color w:val="auto"/>
          <w:sz w:val="24"/>
        </w:rPr>
        <w:t>（5）自然原因发生的火灾；</w:t>
      </w:r>
    </w:p>
    <w:p w14:paraId="447C1017">
      <w:pPr>
        <w:tabs>
          <w:tab w:val="left" w:pos="1575"/>
        </w:tabs>
        <w:spacing w:line="440" w:lineRule="exact"/>
        <w:rPr>
          <w:color w:val="auto"/>
          <w:sz w:val="24"/>
        </w:rPr>
      </w:pPr>
      <w:r>
        <w:rPr>
          <w:color w:val="auto"/>
          <w:sz w:val="24"/>
        </w:rPr>
        <w:t xml:space="preserve">（6）其它不可抗力原因（包括因战争、动乱、空中飞行物体坠落或非甲、乙双方责任造成的爆炸等）。 </w:t>
      </w:r>
    </w:p>
    <w:p w14:paraId="368AC26F">
      <w:pPr>
        <w:tabs>
          <w:tab w:val="left" w:pos="1575"/>
        </w:tabs>
        <w:spacing w:line="440" w:lineRule="exact"/>
        <w:rPr>
          <w:color w:val="auto"/>
          <w:sz w:val="24"/>
        </w:rPr>
      </w:pPr>
      <w:r>
        <w:rPr>
          <w:color w:val="auto"/>
          <w:sz w:val="24"/>
        </w:rPr>
        <w:t>（7）因雷雨或大风天气因素不可施工，故须延长施工时间或延长停气时间，乙方需尽力配合，乙方不承担任何责任。</w:t>
      </w:r>
    </w:p>
    <w:p w14:paraId="1B90AF0D">
      <w:pPr>
        <w:tabs>
          <w:tab w:val="left" w:pos="1575"/>
        </w:tabs>
        <w:spacing w:line="440" w:lineRule="exact"/>
        <w:rPr>
          <w:color w:val="auto"/>
          <w:sz w:val="24"/>
        </w:rPr>
      </w:pPr>
      <w:r>
        <w:rPr>
          <w:color w:val="auto"/>
          <w:sz w:val="24"/>
        </w:rPr>
        <w:t>2、上述不可抗拒因素出现，乙方应立即采取措施并向甲方通报受灾情况，在上述因素引起的损害终止后两日内向甲方报告损失情况和清理、修复的费用。若灾害间歇形式继续发生，乙方应每隔一天向甲方报告一次灾害情况，直到灾害结束。</w:t>
      </w:r>
    </w:p>
    <w:p w14:paraId="413C67F9">
      <w:pPr>
        <w:tabs>
          <w:tab w:val="left" w:pos="1575"/>
        </w:tabs>
        <w:spacing w:line="440" w:lineRule="exact"/>
        <w:rPr>
          <w:color w:val="auto"/>
          <w:sz w:val="24"/>
        </w:rPr>
      </w:pPr>
      <w:r>
        <w:rPr>
          <w:color w:val="auto"/>
          <w:sz w:val="24"/>
        </w:rPr>
        <w:t>3、 因13.1所列灾害发生的费用由双方分别承担：</w:t>
      </w:r>
    </w:p>
    <w:p w14:paraId="199EAA12">
      <w:pPr>
        <w:tabs>
          <w:tab w:val="left" w:pos="1575"/>
        </w:tabs>
        <w:spacing w:line="440" w:lineRule="exact"/>
        <w:rPr>
          <w:color w:val="auto"/>
          <w:sz w:val="24"/>
        </w:rPr>
      </w:pPr>
      <w:r>
        <w:rPr>
          <w:color w:val="auto"/>
          <w:sz w:val="24"/>
        </w:rPr>
        <w:t>（1） 人员伤亡由乙方负责并承担相应费用；</w:t>
      </w:r>
    </w:p>
    <w:p w14:paraId="3A3445C6">
      <w:pPr>
        <w:tabs>
          <w:tab w:val="left" w:pos="1575"/>
        </w:tabs>
        <w:spacing w:line="440" w:lineRule="exact"/>
        <w:rPr>
          <w:color w:val="auto"/>
          <w:sz w:val="24"/>
        </w:rPr>
      </w:pPr>
      <w:r>
        <w:rPr>
          <w:color w:val="auto"/>
          <w:sz w:val="24"/>
        </w:rPr>
        <w:t>（2） 造成施工现场乙方临时设施损坏和修复费用，由乙方承担；</w:t>
      </w:r>
    </w:p>
    <w:p w14:paraId="7A6C7CD6">
      <w:pPr>
        <w:tabs>
          <w:tab w:val="left" w:pos="1575"/>
        </w:tabs>
        <w:spacing w:line="440" w:lineRule="exact"/>
        <w:rPr>
          <w:color w:val="auto"/>
          <w:sz w:val="24"/>
        </w:rPr>
      </w:pPr>
      <w:r>
        <w:rPr>
          <w:color w:val="auto"/>
          <w:sz w:val="24"/>
        </w:rPr>
        <w:t>（3） 乙方设备、机械、车辆等现场施工用具及人员停工、窝工、机械、设备停置损失，由乙方承担；</w:t>
      </w:r>
    </w:p>
    <w:p w14:paraId="15B97560">
      <w:pPr>
        <w:tabs>
          <w:tab w:val="left" w:pos="1575"/>
        </w:tabs>
        <w:spacing w:line="440" w:lineRule="exact"/>
        <w:rPr>
          <w:color w:val="auto"/>
          <w:sz w:val="24"/>
        </w:rPr>
      </w:pPr>
      <w:r>
        <w:rPr>
          <w:color w:val="auto"/>
          <w:sz w:val="24"/>
        </w:rPr>
        <w:t>（4） 造成已验收工程损坏的，由乙方负责返修，返修费用由甲方承担。</w:t>
      </w:r>
    </w:p>
    <w:p w14:paraId="59B6939E">
      <w:pPr>
        <w:tabs>
          <w:tab w:val="left" w:pos="1575"/>
        </w:tabs>
        <w:spacing w:line="440" w:lineRule="exact"/>
        <w:rPr>
          <w:color w:val="auto"/>
          <w:sz w:val="24"/>
        </w:rPr>
      </w:pPr>
      <w:r>
        <w:rPr>
          <w:color w:val="auto"/>
          <w:sz w:val="24"/>
        </w:rPr>
        <w:t>（5） 清理、修理工作的责任与费用的承担，双方商议后另签补充协议。</w:t>
      </w:r>
    </w:p>
    <w:p w14:paraId="631BAC3E">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保险</w:t>
      </w:r>
    </w:p>
    <w:p w14:paraId="542C31DC">
      <w:pPr>
        <w:tabs>
          <w:tab w:val="left" w:pos="1890"/>
        </w:tabs>
        <w:spacing w:before="120" w:line="440" w:lineRule="exact"/>
        <w:rPr>
          <w:color w:val="auto"/>
          <w:sz w:val="24"/>
          <w:szCs w:val="28"/>
        </w:rPr>
      </w:pPr>
      <w:r>
        <w:rPr>
          <w:color w:val="auto"/>
          <w:sz w:val="24"/>
        </w:rPr>
        <w:t>1、</w:t>
      </w:r>
      <w:r>
        <w:rPr>
          <w:color w:val="auto"/>
          <w:sz w:val="24"/>
          <w:szCs w:val="28"/>
        </w:rPr>
        <w:t>乙方必须对施工工程、进场设备与材料及与其施工工程有关者办理以下保险并支付相应费用：</w:t>
      </w:r>
    </w:p>
    <w:p w14:paraId="6F3AC653">
      <w:pPr>
        <w:tabs>
          <w:tab w:val="left" w:pos="1575"/>
        </w:tabs>
        <w:spacing w:line="440" w:lineRule="exact"/>
        <w:rPr>
          <w:color w:val="auto"/>
          <w:sz w:val="24"/>
        </w:rPr>
      </w:pPr>
      <w:r>
        <w:rPr>
          <w:color w:val="auto"/>
          <w:sz w:val="24"/>
        </w:rPr>
        <w:t>（1）、为施工人员办理意外伤害险及惠州市政府要求的社会保险；</w:t>
      </w:r>
    </w:p>
    <w:p w14:paraId="16B67AE6">
      <w:pPr>
        <w:tabs>
          <w:tab w:val="left" w:pos="1575"/>
        </w:tabs>
        <w:spacing w:line="440" w:lineRule="exact"/>
        <w:rPr>
          <w:color w:val="auto"/>
          <w:sz w:val="24"/>
        </w:rPr>
      </w:pPr>
      <w:r>
        <w:rPr>
          <w:color w:val="auto"/>
          <w:sz w:val="24"/>
        </w:rPr>
        <w:t>（2）、为施工机械设备、机动车辆办理保险；</w:t>
      </w:r>
    </w:p>
    <w:p w14:paraId="70FD09D8">
      <w:pPr>
        <w:tabs>
          <w:tab w:val="left" w:pos="1575"/>
        </w:tabs>
        <w:spacing w:line="440" w:lineRule="exact"/>
        <w:rPr>
          <w:color w:val="auto"/>
          <w:sz w:val="24"/>
        </w:rPr>
      </w:pPr>
      <w:r>
        <w:rPr>
          <w:color w:val="auto"/>
          <w:sz w:val="24"/>
        </w:rPr>
        <w:t>（3）、第三者责任险。</w:t>
      </w:r>
    </w:p>
    <w:p w14:paraId="097CB6D6">
      <w:pPr>
        <w:tabs>
          <w:tab w:val="left" w:pos="1575"/>
        </w:tabs>
        <w:spacing w:line="440" w:lineRule="exact"/>
        <w:rPr>
          <w:color w:val="auto"/>
          <w:sz w:val="24"/>
        </w:rPr>
      </w:pPr>
      <w:r>
        <w:rPr>
          <w:color w:val="auto"/>
          <w:sz w:val="24"/>
        </w:rPr>
        <w:t>2、 所有人员和设备财产保险，在施工进场前出具保险单据，在甲方备案。</w:t>
      </w:r>
    </w:p>
    <w:p w14:paraId="590B0908">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工程暂停或缓建</w:t>
      </w:r>
    </w:p>
    <w:p w14:paraId="67CD491C">
      <w:pPr>
        <w:tabs>
          <w:tab w:val="left" w:pos="1575"/>
        </w:tabs>
        <w:spacing w:line="440" w:lineRule="exact"/>
        <w:rPr>
          <w:color w:val="auto"/>
          <w:sz w:val="24"/>
        </w:rPr>
      </w:pPr>
      <w:r>
        <w:rPr>
          <w:color w:val="auto"/>
          <w:sz w:val="24"/>
        </w:rPr>
        <w:t>1、 因甲方内部政策调整、不可抗力及甲、乙双方之外原因导致工程停止、使合同不能继续履行，甲方需提前以书面方式通知乙方，双方签订工程停、缓建协议备查。</w:t>
      </w:r>
    </w:p>
    <w:p w14:paraId="661C168B">
      <w:pPr>
        <w:tabs>
          <w:tab w:val="left" w:pos="1575"/>
        </w:tabs>
        <w:spacing w:line="440" w:lineRule="exact"/>
        <w:rPr>
          <w:color w:val="auto"/>
          <w:sz w:val="24"/>
        </w:rPr>
      </w:pPr>
      <w:r>
        <w:rPr>
          <w:color w:val="auto"/>
          <w:sz w:val="24"/>
        </w:rPr>
        <w:t>2、工作停、缓建后，乙方应妥善做好已完工程和已购材料、设备保护及保管工作，并按甲方要求将自有机械、设备、人员撤出施工现场。甲方应为乙方撤离提供相关条件，并按合约定内容支付已完工程价款。</w:t>
      </w:r>
    </w:p>
    <w:p w14:paraId="329D8151">
      <w:pPr>
        <w:numPr>
          <w:ilvl w:val="0"/>
          <w:numId w:val="2"/>
        </w:numPr>
        <w:tabs>
          <w:tab w:val="left" w:pos="1575"/>
          <w:tab w:val="clear" w:pos="1080"/>
        </w:tabs>
        <w:spacing w:before="120" w:line="440" w:lineRule="exact"/>
        <w:ind w:left="1077" w:hanging="1077"/>
        <w:rPr>
          <w:b/>
          <w:color w:val="auto"/>
          <w:sz w:val="24"/>
        </w:rPr>
      </w:pPr>
      <w:bookmarkStart w:id="11" w:name="_Toc395605680"/>
      <w:bookmarkStart w:id="12" w:name="_Toc486971225"/>
      <w:r>
        <w:rPr>
          <w:b/>
          <w:color w:val="auto"/>
          <w:sz w:val="24"/>
        </w:rPr>
        <w:t xml:space="preserve"> 违约责任</w:t>
      </w:r>
      <w:bookmarkEnd w:id="11"/>
      <w:bookmarkEnd w:id="12"/>
    </w:p>
    <w:p w14:paraId="091A86CD">
      <w:pPr>
        <w:tabs>
          <w:tab w:val="left" w:pos="1575"/>
        </w:tabs>
        <w:spacing w:line="440" w:lineRule="exact"/>
        <w:rPr>
          <w:color w:val="auto"/>
          <w:sz w:val="24"/>
        </w:rPr>
      </w:pPr>
      <w:r>
        <w:rPr>
          <w:color w:val="auto"/>
          <w:sz w:val="24"/>
        </w:rPr>
        <w:t>1、甲方违约责任</w:t>
      </w:r>
    </w:p>
    <w:p w14:paraId="02589B96">
      <w:pPr>
        <w:tabs>
          <w:tab w:val="left" w:pos="1575"/>
        </w:tabs>
        <w:spacing w:line="440" w:lineRule="exact"/>
        <w:rPr>
          <w:color w:val="auto"/>
          <w:sz w:val="24"/>
          <w:szCs w:val="28"/>
        </w:rPr>
      </w:pPr>
      <w:r>
        <w:rPr>
          <w:color w:val="auto"/>
          <w:sz w:val="24"/>
          <w:szCs w:val="28"/>
        </w:rPr>
        <w:t>甲方无故不按合同约定履行付款义务，逾期超过一个月的，甲方须承担违约责任，每逾期一天按照应付金额的千分之一支付乙方违约金，并且乙方不承担因此而造成的工期延误责任。</w:t>
      </w:r>
    </w:p>
    <w:p w14:paraId="16CCDED7">
      <w:pPr>
        <w:tabs>
          <w:tab w:val="left" w:pos="1575"/>
        </w:tabs>
        <w:spacing w:line="440" w:lineRule="exact"/>
        <w:rPr>
          <w:color w:val="auto"/>
          <w:sz w:val="24"/>
        </w:rPr>
      </w:pPr>
      <w:r>
        <w:rPr>
          <w:color w:val="auto"/>
          <w:sz w:val="24"/>
          <w:szCs w:val="28"/>
        </w:rPr>
        <w:t>2、乙方违约责任：</w:t>
      </w:r>
    </w:p>
    <w:p w14:paraId="6822E568">
      <w:pPr>
        <w:tabs>
          <w:tab w:val="left" w:pos="1575"/>
        </w:tabs>
        <w:spacing w:line="440" w:lineRule="exact"/>
        <w:rPr>
          <w:color w:val="auto"/>
          <w:sz w:val="24"/>
        </w:rPr>
      </w:pPr>
      <w:r>
        <w:rPr>
          <w:color w:val="auto"/>
          <w:sz w:val="24"/>
          <w:szCs w:val="28"/>
        </w:rPr>
        <w:t>乙方不履行合同义务或不按合同约定履行义务的其他情况，应按照合同承担违约责任，并赔偿因其违约造成的损失。乙方向甲方保证其提供的设备是全新的、已经正确安装的、能够正常运行并达到其说明书所述的使用目的，且不会给甲方项目人员的人身和财产安全造成损害。</w:t>
      </w:r>
    </w:p>
    <w:p w14:paraId="4214BFD6">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合同的生效与终止</w:t>
      </w:r>
    </w:p>
    <w:p w14:paraId="52595B50">
      <w:pPr>
        <w:pStyle w:val="2"/>
        <w:spacing w:line="440" w:lineRule="exact"/>
        <w:rPr>
          <w:color w:val="auto"/>
          <w:sz w:val="24"/>
        </w:rPr>
      </w:pPr>
      <w:r>
        <w:rPr>
          <w:color w:val="auto"/>
          <w:sz w:val="24"/>
        </w:rPr>
        <w:t>1、本合同自甲、乙双方法人代表或其委托代理人签字并加盖单位公章之日起生效。</w:t>
      </w:r>
    </w:p>
    <w:p w14:paraId="515764D5">
      <w:pPr>
        <w:pStyle w:val="2"/>
        <w:spacing w:line="440" w:lineRule="exact"/>
        <w:rPr>
          <w:color w:val="auto"/>
          <w:sz w:val="24"/>
        </w:rPr>
      </w:pPr>
      <w:r>
        <w:rPr>
          <w:color w:val="auto"/>
          <w:sz w:val="24"/>
        </w:rPr>
        <w:t xml:space="preserve">2、本合同可经由甲乙双方协商一致后书面解除。 </w:t>
      </w:r>
    </w:p>
    <w:p w14:paraId="429F1D4B">
      <w:pPr>
        <w:pStyle w:val="2"/>
        <w:spacing w:line="440" w:lineRule="exact"/>
        <w:rPr>
          <w:color w:val="auto"/>
          <w:sz w:val="24"/>
        </w:rPr>
      </w:pPr>
      <w:r>
        <w:rPr>
          <w:color w:val="auto"/>
          <w:sz w:val="24"/>
        </w:rPr>
        <w:t>3、本合同的解除不影响任意一方根据本合同或者相关的法律法规向对方寻求赔偿的权利。</w:t>
      </w:r>
    </w:p>
    <w:p w14:paraId="5C7BAAAD">
      <w:pPr>
        <w:numPr>
          <w:ilvl w:val="0"/>
          <w:numId w:val="2"/>
        </w:numPr>
        <w:tabs>
          <w:tab w:val="left" w:pos="1575"/>
          <w:tab w:val="clear" w:pos="1080"/>
        </w:tabs>
        <w:spacing w:before="120" w:line="440" w:lineRule="exact"/>
        <w:ind w:left="1077" w:hanging="1077"/>
        <w:rPr>
          <w:b/>
          <w:color w:val="auto"/>
          <w:sz w:val="24"/>
        </w:rPr>
      </w:pPr>
      <w:r>
        <w:rPr>
          <w:b/>
          <w:color w:val="auto"/>
          <w:sz w:val="24"/>
        </w:rPr>
        <w:t xml:space="preserve">   其它</w:t>
      </w:r>
    </w:p>
    <w:p w14:paraId="49304E92">
      <w:pPr>
        <w:tabs>
          <w:tab w:val="left" w:pos="1575"/>
        </w:tabs>
        <w:spacing w:line="440" w:lineRule="exact"/>
        <w:rPr>
          <w:color w:val="auto"/>
          <w:sz w:val="24"/>
        </w:rPr>
      </w:pPr>
      <w:r>
        <w:rPr>
          <w:color w:val="auto"/>
          <w:sz w:val="24"/>
        </w:rPr>
        <w:t>1、 本协议在履行过程中如出现纠纷，由甲乙双方协商解决，协商不成由甲方所在地人民法院裁决。</w:t>
      </w:r>
    </w:p>
    <w:p w14:paraId="63E3E731">
      <w:pPr>
        <w:tabs>
          <w:tab w:val="left" w:pos="1575"/>
        </w:tabs>
        <w:spacing w:line="440" w:lineRule="exact"/>
        <w:rPr>
          <w:color w:val="auto"/>
          <w:sz w:val="24"/>
          <w:szCs w:val="28"/>
        </w:rPr>
      </w:pPr>
      <w:r>
        <w:rPr>
          <w:color w:val="auto"/>
          <w:sz w:val="24"/>
        </w:rPr>
        <w:t>2、</w:t>
      </w:r>
      <w:r>
        <w:rPr>
          <w:color w:val="auto"/>
          <w:sz w:val="24"/>
          <w:szCs w:val="28"/>
        </w:rPr>
        <w:t>本合同如有未尽事宜，由甲乙双方共同协商，做出补充规定，补充规定与本合同具有同等法律效力。</w:t>
      </w:r>
    </w:p>
    <w:p w14:paraId="237F1A4B">
      <w:pPr>
        <w:tabs>
          <w:tab w:val="left" w:pos="1575"/>
        </w:tabs>
        <w:spacing w:line="440" w:lineRule="exact"/>
        <w:rPr>
          <w:color w:val="auto"/>
          <w:sz w:val="24"/>
          <w:szCs w:val="28"/>
        </w:rPr>
      </w:pPr>
      <w:r>
        <w:rPr>
          <w:color w:val="auto"/>
          <w:sz w:val="24"/>
          <w:szCs w:val="28"/>
        </w:rPr>
        <w:t>3、本合同所列明的联系方式是经各自确认过的有效联系方式，如有变更，应在变更后当日书面通知对方。联系方式适用于与本合同有关的一切送达。</w:t>
      </w:r>
    </w:p>
    <w:p w14:paraId="7C93524E">
      <w:pPr>
        <w:tabs>
          <w:tab w:val="left" w:pos="1575"/>
        </w:tabs>
        <w:spacing w:line="440" w:lineRule="exact"/>
        <w:rPr>
          <w:color w:val="auto"/>
          <w:sz w:val="24"/>
        </w:rPr>
      </w:pPr>
      <w:r>
        <w:rPr>
          <w:color w:val="auto"/>
          <w:sz w:val="24"/>
          <w:szCs w:val="28"/>
        </w:rPr>
        <w:t>3、本合同一式贰份，双方各执壹份，各份具有同等法律效力。本合同自甲乙双方法定代表人或授权代理人签字盖章之日起生效</w:t>
      </w:r>
      <w:r>
        <w:rPr>
          <w:color w:val="auto"/>
          <w:sz w:val="24"/>
        </w:rPr>
        <w:t>。</w:t>
      </w:r>
    </w:p>
    <w:p w14:paraId="5AFCE1A8">
      <w:pPr>
        <w:spacing w:line="360" w:lineRule="auto"/>
        <w:rPr>
          <w:b/>
          <w:color w:val="auto"/>
          <w:szCs w:val="21"/>
        </w:rPr>
      </w:pPr>
      <w:r>
        <w:rPr>
          <w:color w:val="auto"/>
          <w:szCs w:val="21"/>
        </w:rPr>
        <w:t>4、</w:t>
      </w:r>
      <w:r>
        <w:rPr>
          <w:color w:val="auto"/>
          <w:sz w:val="24"/>
          <w:szCs w:val="28"/>
        </w:rPr>
        <w:t>本合同以下附件是合同的组成部分。</w:t>
      </w:r>
    </w:p>
    <w:p w14:paraId="59214C22">
      <w:pPr>
        <w:numPr>
          <w:ilvl w:val="0"/>
          <w:numId w:val="2"/>
        </w:numPr>
        <w:tabs>
          <w:tab w:val="left" w:pos="1575"/>
          <w:tab w:val="clear" w:pos="1080"/>
        </w:tabs>
        <w:spacing w:before="120" w:line="440" w:lineRule="exact"/>
        <w:ind w:left="1077" w:hanging="1077"/>
        <w:rPr>
          <w:b/>
          <w:color w:val="auto"/>
          <w:sz w:val="24"/>
        </w:rPr>
      </w:pPr>
      <w:r>
        <w:rPr>
          <w:b/>
          <w:color w:val="auto"/>
          <w:sz w:val="24"/>
        </w:rPr>
        <w:t>附件</w:t>
      </w:r>
    </w:p>
    <w:p w14:paraId="18032869">
      <w:pPr>
        <w:spacing w:line="360" w:lineRule="auto"/>
        <w:rPr>
          <w:b/>
          <w:color w:val="auto"/>
          <w:sz w:val="24"/>
        </w:rPr>
      </w:pPr>
      <w:r>
        <w:rPr>
          <w:color w:val="auto"/>
          <w:sz w:val="24"/>
        </w:rPr>
        <w:t>惠州市第一妇幼保健院</w:t>
      </w:r>
      <w:r>
        <w:rPr>
          <w:rFonts w:hint="eastAsia"/>
          <w:color w:val="auto"/>
          <w:sz w:val="24"/>
          <w:lang w:eastAsia="zh-CN"/>
        </w:rPr>
        <w:t>门诊楼五楼天面模块机机组压缩机及保温棉（二次）更换采购项目</w:t>
      </w:r>
      <w:r>
        <w:rPr>
          <w:color w:val="auto"/>
          <w:sz w:val="24"/>
        </w:rPr>
        <w:t>报价单</w:t>
      </w:r>
    </w:p>
    <w:p w14:paraId="6BBC82D9">
      <w:pPr>
        <w:pStyle w:val="2"/>
        <w:rPr>
          <w:rFonts w:hint="eastAsia" w:ascii="宋体" w:hAnsi="宋体"/>
          <w:color w:val="auto"/>
          <w:sz w:val="24"/>
          <w:highlight w:val="none"/>
        </w:rPr>
      </w:pPr>
    </w:p>
    <w:p w14:paraId="037F17FD">
      <w:pPr>
        <w:pStyle w:val="1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(以下无正文)</w:t>
      </w:r>
    </w:p>
    <w:p w14:paraId="570F3AC9">
      <w:pPr>
        <w:pStyle w:val="2"/>
        <w:rPr>
          <w:rFonts w:hint="eastAsia" w:ascii="宋体" w:hAnsi="宋体"/>
          <w:color w:val="auto"/>
          <w:sz w:val="24"/>
          <w:highlight w:val="none"/>
        </w:rPr>
      </w:pPr>
    </w:p>
    <w:p w14:paraId="35681FCE">
      <w:pPr>
        <w:spacing w:line="460" w:lineRule="exact"/>
        <w:ind w:left="5588" w:leftChars="228" w:hanging="5103" w:hangingChars="2100"/>
        <w:jc w:val="left"/>
        <w:rPr>
          <w:rFonts w:ascii="宋体"/>
          <w:color w:val="auto"/>
          <w:sz w:val="24"/>
          <w:highlight w:val="none"/>
        </w:rPr>
      </w:pPr>
      <w:r>
        <w:rPr>
          <w:rFonts w:hint="eastAsia" w:ascii="宋体" w:hAnsi="宋体" w:cs="宋体"/>
          <w:color w:val="auto"/>
          <w:sz w:val="24"/>
          <w:highlight w:val="none"/>
        </w:rPr>
        <w:t>甲方：惠州市第一妇幼保健院            乙方：</w:t>
      </w:r>
    </w:p>
    <w:p w14:paraId="26899E13">
      <w:pPr>
        <w:spacing w:line="460" w:lineRule="exact"/>
        <w:ind w:left="5588" w:leftChars="228" w:hanging="5103" w:hangingChars="2100"/>
        <w:jc w:val="left"/>
        <w:rPr>
          <w:rFonts w:ascii="宋体"/>
          <w:color w:val="auto"/>
          <w:sz w:val="24"/>
          <w:highlight w:val="none"/>
        </w:rPr>
      </w:pPr>
      <w:r>
        <w:rPr>
          <w:rFonts w:hint="eastAsia" w:ascii="宋体" w:hAnsi="宋体"/>
          <w:color w:val="auto"/>
          <w:sz w:val="24"/>
          <w:highlight w:val="none"/>
        </w:rPr>
        <w:t>授权代表</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hAnsi="宋体"/>
          <w:color w:val="auto"/>
          <w:sz w:val="24"/>
          <w:highlight w:val="none"/>
          <w:lang w:val="en-US" w:eastAsia="zh-CN"/>
        </w:rPr>
        <w:t>法定代表人</w:t>
      </w:r>
    </w:p>
    <w:p w14:paraId="14D1A437">
      <w:pPr>
        <w:spacing w:line="460" w:lineRule="exact"/>
        <w:ind w:left="5588" w:leftChars="228" w:hanging="5103" w:hangingChars="2100"/>
        <w:jc w:val="left"/>
        <w:rPr>
          <w:rFonts w:ascii="宋体" w:hAnsi="宋体" w:cs="宋体"/>
          <w:color w:val="auto"/>
          <w:sz w:val="24"/>
          <w:highlight w:val="none"/>
        </w:rPr>
      </w:pPr>
      <w:r>
        <w:rPr>
          <w:rFonts w:hint="eastAsia" w:ascii="宋体" w:hAnsi="宋体" w:cs="宋体"/>
          <w:color w:val="auto"/>
          <w:sz w:val="24"/>
          <w:highlight w:val="none"/>
        </w:rPr>
        <w:t>地址：惠州市演达四路5号              地址：</w:t>
      </w:r>
    </w:p>
    <w:p w14:paraId="56CABB21">
      <w:pPr>
        <w:autoSpaceDE w:val="0"/>
        <w:autoSpaceDN w:val="0"/>
        <w:adjustRightInd w:val="0"/>
        <w:spacing w:line="460" w:lineRule="exact"/>
        <w:ind w:right="246" w:firstLine="486" w:firstLineChars="200"/>
        <w:rPr>
          <w:rFonts w:ascii="宋体" w:hAnsi="宋体" w:cs="宋体"/>
          <w:color w:val="auto"/>
          <w:sz w:val="24"/>
          <w:highlight w:val="none"/>
        </w:rPr>
      </w:pPr>
      <w:r>
        <w:rPr>
          <w:rFonts w:hint="eastAsia" w:ascii="宋体" w:hAnsi="宋体" w:cs="宋体"/>
          <w:color w:val="auto"/>
          <w:sz w:val="24"/>
          <w:highlight w:val="none"/>
        </w:rPr>
        <w:t>电话：0752-7806</w:t>
      </w:r>
      <w:r>
        <w:rPr>
          <w:rFonts w:hint="eastAsia" w:ascii="宋体" w:hAnsi="宋体" w:cs="宋体"/>
          <w:color w:val="auto"/>
          <w:sz w:val="24"/>
          <w:highlight w:val="none"/>
          <w:lang w:val="en-US" w:eastAsia="zh-CN"/>
        </w:rPr>
        <w:t xml:space="preserve">628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电话：</w:t>
      </w:r>
    </w:p>
    <w:p w14:paraId="2FB6E4EA">
      <w:pPr>
        <w:spacing w:line="460" w:lineRule="exact"/>
        <w:ind w:firstLine="486" w:firstLineChars="200"/>
        <w:rPr>
          <w:rFonts w:hint="eastAsia" w:ascii="仿宋" w:hAnsi="仿宋" w:eastAsia="仿宋" w:cs="仿宋"/>
          <w:b/>
          <w:color w:val="auto"/>
          <w:kern w:val="0"/>
          <w:sz w:val="28"/>
          <w:szCs w:val="28"/>
          <w:highlight w:val="none"/>
        </w:rPr>
      </w:pPr>
      <w:r>
        <w:rPr>
          <w:rFonts w:hint="eastAsia" w:ascii="宋体" w:hAnsi="宋体" w:cs="宋体"/>
          <w:color w:val="auto"/>
          <w:sz w:val="24"/>
          <w:highlight w:val="none"/>
        </w:rPr>
        <w:t>日期：   年    月   日                日期：    年    月    日</w:t>
      </w:r>
      <w:r>
        <w:rPr>
          <w:rFonts w:hint="eastAsia" w:ascii="仿宋" w:hAnsi="仿宋" w:eastAsia="仿宋" w:cs="仿宋"/>
          <w:b/>
          <w:color w:val="auto"/>
          <w:kern w:val="0"/>
          <w:sz w:val="28"/>
          <w:szCs w:val="28"/>
          <w:highlight w:val="none"/>
        </w:rPr>
        <w:br w:type="page"/>
      </w:r>
    </w:p>
    <w:p w14:paraId="1C64E475">
      <w:pPr>
        <w:pStyle w:val="13"/>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6B8B6876">
      <w:pPr>
        <w:pStyle w:val="13"/>
        <w:adjustRightInd w:val="0"/>
        <w:snapToGrid w:val="0"/>
        <w:spacing w:line="440" w:lineRule="exact"/>
        <w:jc w:val="center"/>
        <w:rPr>
          <w:rFonts w:hint="eastAsia" w:ascii="仿宋" w:hAnsi="仿宋" w:eastAsia="仿宋" w:cs="仿宋"/>
          <w:b/>
          <w:color w:val="auto"/>
          <w:kern w:val="0"/>
          <w:sz w:val="28"/>
          <w:szCs w:val="28"/>
          <w:highlight w:val="none"/>
        </w:rPr>
      </w:pPr>
    </w:p>
    <w:p w14:paraId="6E922DBD">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143746E7">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1607FEDE">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7C714A1D">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0A9382E9">
      <w:pPr>
        <w:spacing w:line="360" w:lineRule="auto"/>
        <w:ind w:left="-930" w:firstLine="480"/>
        <w:rPr>
          <w:rFonts w:ascii="仿宋" w:hAnsi="仿宋" w:eastAsia="仿宋" w:cs="仿宋"/>
          <w:b/>
          <w:bCs/>
          <w:color w:val="auto"/>
          <w:sz w:val="24"/>
          <w:highlight w:val="none"/>
          <w:u w:val="single"/>
        </w:rPr>
      </w:pPr>
    </w:p>
    <w:p w14:paraId="3835640C">
      <w:pPr>
        <w:spacing w:line="360" w:lineRule="auto"/>
        <w:ind w:left="-930" w:firstLine="480"/>
        <w:rPr>
          <w:rFonts w:ascii="仿宋" w:hAnsi="仿宋" w:eastAsia="仿宋" w:cs="仿宋"/>
          <w:b/>
          <w:bCs/>
          <w:color w:val="auto"/>
          <w:sz w:val="24"/>
          <w:highlight w:val="none"/>
          <w:u w:val="single"/>
        </w:rPr>
      </w:pPr>
    </w:p>
    <w:p w14:paraId="206D2154">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1252EE12">
      <w:pPr>
        <w:pStyle w:val="13"/>
        <w:adjustRightInd w:val="0"/>
        <w:snapToGrid w:val="0"/>
        <w:spacing w:line="360" w:lineRule="auto"/>
        <w:jc w:val="center"/>
        <w:rPr>
          <w:rFonts w:hint="eastAsia" w:ascii="仿宋" w:hAnsi="仿宋" w:eastAsia="仿宋" w:cs="仿宋"/>
          <w:b/>
          <w:color w:val="auto"/>
          <w:kern w:val="0"/>
          <w:sz w:val="72"/>
          <w:szCs w:val="72"/>
          <w:highlight w:val="none"/>
        </w:rPr>
      </w:pPr>
    </w:p>
    <w:p w14:paraId="46686D39">
      <w:pPr>
        <w:pStyle w:val="13"/>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0983AC2C">
      <w:pPr>
        <w:pStyle w:val="13"/>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3EDFC1EA">
      <w:pPr>
        <w:pStyle w:val="13"/>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4D9C2056">
      <w:pPr>
        <w:pStyle w:val="13"/>
        <w:adjustRightInd w:val="0"/>
        <w:snapToGrid w:val="0"/>
        <w:spacing w:line="360" w:lineRule="auto"/>
        <w:rPr>
          <w:rFonts w:hint="eastAsia" w:ascii="仿宋" w:hAnsi="仿宋" w:eastAsia="仿宋" w:cs="仿宋"/>
          <w:b/>
          <w:color w:val="auto"/>
          <w:kern w:val="0"/>
          <w:sz w:val="24"/>
          <w:szCs w:val="24"/>
          <w:highlight w:val="none"/>
        </w:rPr>
      </w:pPr>
    </w:p>
    <w:p w14:paraId="4ACFF1C9">
      <w:pPr>
        <w:pStyle w:val="13"/>
        <w:adjustRightInd w:val="0"/>
        <w:snapToGrid w:val="0"/>
        <w:spacing w:line="440" w:lineRule="exact"/>
        <w:rPr>
          <w:rFonts w:hint="eastAsia" w:ascii="仿宋" w:hAnsi="仿宋" w:eastAsia="仿宋" w:cs="仿宋"/>
          <w:b/>
          <w:color w:val="auto"/>
          <w:kern w:val="0"/>
          <w:sz w:val="24"/>
          <w:szCs w:val="24"/>
          <w:highlight w:val="none"/>
        </w:rPr>
      </w:pPr>
    </w:p>
    <w:p w14:paraId="503AE357">
      <w:pPr>
        <w:pStyle w:val="13"/>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3005570E">
      <w:pPr>
        <w:pStyle w:val="13"/>
        <w:spacing w:line="360" w:lineRule="auto"/>
        <w:rPr>
          <w:rFonts w:hint="eastAsia" w:ascii="仿宋" w:hAnsi="仿宋" w:eastAsia="仿宋" w:cs="仿宋"/>
          <w:b/>
          <w:color w:val="auto"/>
          <w:sz w:val="28"/>
          <w:szCs w:val="28"/>
          <w:highlight w:val="none"/>
        </w:rPr>
      </w:pPr>
    </w:p>
    <w:p w14:paraId="4A8CC2FB">
      <w:pPr>
        <w:pStyle w:val="13"/>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1610E31F">
      <w:pPr>
        <w:pStyle w:val="13"/>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34D16360">
      <w:pPr>
        <w:pStyle w:val="13"/>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4C5B2C9C">
      <w:pPr>
        <w:pStyle w:val="13"/>
        <w:adjustRightInd w:val="0"/>
        <w:snapToGrid w:val="0"/>
        <w:spacing w:line="440" w:lineRule="exact"/>
        <w:rPr>
          <w:rFonts w:hint="eastAsia" w:ascii="仿宋" w:hAnsi="仿宋" w:eastAsia="仿宋" w:cs="仿宋"/>
          <w:b/>
          <w:color w:val="auto"/>
          <w:kern w:val="0"/>
          <w:sz w:val="24"/>
          <w:szCs w:val="24"/>
          <w:highlight w:val="none"/>
        </w:rPr>
      </w:pPr>
    </w:p>
    <w:p w14:paraId="4EF6680E">
      <w:pPr>
        <w:pStyle w:val="13"/>
        <w:adjustRightInd w:val="0"/>
        <w:snapToGrid w:val="0"/>
        <w:spacing w:line="440" w:lineRule="exact"/>
        <w:rPr>
          <w:rFonts w:hint="eastAsia" w:ascii="仿宋" w:hAnsi="仿宋" w:eastAsia="仿宋" w:cs="仿宋"/>
          <w:b/>
          <w:color w:val="auto"/>
          <w:kern w:val="0"/>
          <w:sz w:val="24"/>
          <w:szCs w:val="24"/>
          <w:highlight w:val="none"/>
        </w:rPr>
      </w:pPr>
    </w:p>
    <w:p w14:paraId="7AC77107">
      <w:pPr>
        <w:pStyle w:val="13"/>
        <w:adjustRightInd w:val="0"/>
        <w:snapToGrid w:val="0"/>
        <w:spacing w:line="440" w:lineRule="exact"/>
        <w:rPr>
          <w:rFonts w:hint="eastAsia" w:ascii="仿宋" w:hAnsi="仿宋" w:eastAsia="仿宋" w:cs="仿宋"/>
          <w:b/>
          <w:color w:val="auto"/>
          <w:kern w:val="0"/>
          <w:sz w:val="24"/>
          <w:szCs w:val="24"/>
          <w:highlight w:val="none"/>
        </w:rPr>
      </w:pPr>
    </w:p>
    <w:p w14:paraId="6C430E43">
      <w:pPr>
        <w:pStyle w:val="13"/>
        <w:adjustRightInd w:val="0"/>
        <w:snapToGrid w:val="0"/>
        <w:spacing w:line="440" w:lineRule="exact"/>
        <w:rPr>
          <w:rFonts w:hint="eastAsia" w:ascii="仿宋" w:hAnsi="仿宋" w:eastAsia="仿宋" w:cs="仿宋"/>
          <w:b/>
          <w:color w:val="auto"/>
          <w:kern w:val="0"/>
          <w:sz w:val="24"/>
          <w:szCs w:val="24"/>
          <w:highlight w:val="none"/>
        </w:rPr>
      </w:pPr>
    </w:p>
    <w:p w14:paraId="7EB84AD5">
      <w:pPr>
        <w:pStyle w:val="13"/>
        <w:adjustRightInd w:val="0"/>
        <w:snapToGrid w:val="0"/>
        <w:spacing w:line="440" w:lineRule="exact"/>
        <w:rPr>
          <w:rFonts w:hint="eastAsia" w:ascii="仿宋" w:hAnsi="仿宋" w:eastAsia="仿宋" w:cs="仿宋"/>
          <w:b/>
          <w:color w:val="auto"/>
          <w:kern w:val="0"/>
          <w:sz w:val="24"/>
          <w:szCs w:val="24"/>
          <w:highlight w:val="none"/>
        </w:rPr>
      </w:pPr>
    </w:p>
    <w:p w14:paraId="46C34DB2">
      <w:pPr>
        <w:pStyle w:val="13"/>
        <w:adjustRightInd w:val="0"/>
        <w:snapToGrid w:val="0"/>
        <w:spacing w:line="440" w:lineRule="exact"/>
        <w:rPr>
          <w:rFonts w:hint="eastAsia" w:ascii="仿宋" w:hAnsi="仿宋" w:eastAsia="仿宋" w:cs="仿宋"/>
          <w:b/>
          <w:color w:val="auto"/>
          <w:kern w:val="0"/>
          <w:sz w:val="24"/>
          <w:szCs w:val="24"/>
          <w:highlight w:val="none"/>
        </w:rPr>
      </w:pPr>
    </w:p>
    <w:p w14:paraId="62006EDA">
      <w:pPr>
        <w:pStyle w:val="13"/>
        <w:adjustRightInd w:val="0"/>
        <w:snapToGrid w:val="0"/>
        <w:spacing w:line="440" w:lineRule="exact"/>
        <w:rPr>
          <w:rFonts w:hint="eastAsia" w:ascii="仿宋" w:hAnsi="仿宋" w:eastAsia="仿宋" w:cs="仿宋"/>
          <w:b/>
          <w:color w:val="auto"/>
          <w:kern w:val="0"/>
          <w:sz w:val="24"/>
          <w:szCs w:val="24"/>
          <w:highlight w:val="none"/>
        </w:rPr>
      </w:pPr>
    </w:p>
    <w:p w14:paraId="0F894F3D">
      <w:pPr>
        <w:pStyle w:val="13"/>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2E8E54A0">
      <w:pPr>
        <w:pStyle w:val="13"/>
        <w:adjustRightInd w:val="0"/>
        <w:snapToGrid w:val="0"/>
        <w:spacing w:line="440" w:lineRule="exact"/>
        <w:rPr>
          <w:rFonts w:hint="eastAsia" w:ascii="仿宋" w:hAnsi="仿宋" w:eastAsia="仿宋" w:cs="仿宋"/>
          <w:b/>
          <w:color w:val="auto"/>
          <w:kern w:val="0"/>
          <w:sz w:val="24"/>
          <w:szCs w:val="24"/>
          <w:highlight w:val="none"/>
        </w:rPr>
      </w:pPr>
    </w:p>
    <w:p w14:paraId="5BF90416">
      <w:pPr>
        <w:pStyle w:val="13"/>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0B8D0660">
      <w:pPr>
        <w:pStyle w:val="13"/>
        <w:adjustRightInd w:val="0"/>
        <w:snapToGrid w:val="0"/>
        <w:spacing w:line="440" w:lineRule="exact"/>
        <w:rPr>
          <w:rFonts w:hint="eastAsia"/>
          <w:color w:val="auto"/>
          <w:highlight w:val="none"/>
        </w:rPr>
      </w:pPr>
      <w:bookmarkStart w:id="13" w:name="_Toc202816995"/>
      <w:bookmarkStart w:id="14" w:name="_Toc202819877"/>
      <w:bookmarkStart w:id="15" w:name="_Toc202252033"/>
      <w:bookmarkStart w:id="16" w:name="_Toc202254104"/>
      <w:bookmarkStart w:id="17" w:name="_Toc202251074"/>
      <w:bookmarkStart w:id="18" w:name="_Toc202820350"/>
      <w:bookmarkStart w:id="19" w:name="_Toc202251699"/>
      <w:r>
        <w:rPr>
          <w:color w:val="auto"/>
          <w:highlight w:val="none"/>
        </w:rPr>
        <w:br w:type="page"/>
      </w:r>
      <w:r>
        <w:rPr>
          <w:rFonts w:hint="eastAsia" w:ascii="仿宋" w:hAnsi="仿宋" w:eastAsia="仿宋" w:cs="仿宋"/>
          <w:b/>
          <w:bCs/>
          <w:color w:val="auto"/>
          <w:sz w:val="28"/>
          <w:highlight w:val="none"/>
        </w:rPr>
        <w:t xml:space="preserve">1 </w:t>
      </w:r>
      <w:bookmarkEnd w:id="13"/>
      <w:bookmarkEnd w:id="14"/>
      <w:bookmarkEnd w:id="15"/>
      <w:bookmarkEnd w:id="16"/>
      <w:bookmarkEnd w:id="17"/>
      <w:bookmarkEnd w:id="18"/>
      <w:bookmarkEnd w:id="19"/>
      <w:r>
        <w:rPr>
          <w:rFonts w:hint="eastAsia" w:ascii="仿宋" w:hAnsi="仿宋" w:eastAsia="仿宋" w:cs="仿宋"/>
          <w:b/>
          <w:bCs/>
          <w:color w:val="auto"/>
          <w:sz w:val="28"/>
          <w:highlight w:val="none"/>
        </w:rPr>
        <w:t>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14:paraId="2D7B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14:paraId="1F7C46AA">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14:paraId="1344B8B3">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14:paraId="067EF77A">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57B8812D">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3110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14:paraId="03E2CA66">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14:paraId="2921B6FF">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14:paraId="6AC2612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14:paraId="3CE7D679">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7D1AEB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BAA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3AA9748">
            <w:pPr>
              <w:jc w:val="center"/>
              <w:rPr>
                <w:rFonts w:hint="eastAsia"/>
                <w:color w:val="auto"/>
                <w:highlight w:val="none"/>
              </w:rPr>
            </w:pPr>
          </w:p>
        </w:tc>
        <w:tc>
          <w:tcPr>
            <w:tcW w:w="1130" w:type="dxa"/>
            <w:noWrap w:val="0"/>
            <w:vAlign w:val="center"/>
          </w:tcPr>
          <w:p w14:paraId="640A55F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14:paraId="1255C17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w:t>
            </w:r>
            <w:r>
              <w:rPr>
                <w:rFonts w:hint="eastAsia" w:ascii="仿宋" w:hAnsi="仿宋" w:eastAsia="仿宋" w:cs="仿宋"/>
                <w:color w:val="auto"/>
                <w:highlight w:val="none"/>
                <w:lang w:eastAsia="zh-CN"/>
              </w:rPr>
              <w:t>2022年至今</w:t>
            </w:r>
            <w:r>
              <w:rPr>
                <w:rFonts w:hint="eastAsia" w:ascii="仿宋" w:hAnsi="仿宋" w:eastAsia="仿宋" w:cs="仿宋"/>
                <w:color w:val="auto"/>
                <w:highlight w:val="none"/>
              </w:rPr>
              <w:t>任意一年经审计的审计报告复印件（包含审计报告中所涉及的财务报表和报表附注）；或②</w:t>
            </w:r>
            <w:r>
              <w:rPr>
                <w:rFonts w:hint="eastAsia" w:ascii="仿宋" w:hAnsi="仿宋" w:eastAsia="仿宋" w:cs="仿宋"/>
                <w:color w:val="auto"/>
                <w:highlight w:val="none"/>
                <w:lang w:eastAsia="zh-CN"/>
              </w:rPr>
              <w:t>2022年至今</w:t>
            </w:r>
            <w:r>
              <w:rPr>
                <w:rFonts w:hint="eastAsia" w:ascii="仿宋" w:hAnsi="仿宋" w:eastAsia="仿宋" w:cs="仿宋"/>
                <w:color w:val="auto"/>
                <w:highlight w:val="none"/>
              </w:rPr>
              <w:t>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14:paraId="78DAE54B">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017F6E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198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6B154FB">
            <w:pPr>
              <w:jc w:val="center"/>
              <w:rPr>
                <w:rFonts w:hint="eastAsia"/>
                <w:color w:val="auto"/>
                <w:highlight w:val="none"/>
              </w:rPr>
            </w:pPr>
          </w:p>
        </w:tc>
        <w:tc>
          <w:tcPr>
            <w:tcW w:w="1130" w:type="dxa"/>
            <w:noWrap w:val="0"/>
            <w:vAlign w:val="center"/>
          </w:tcPr>
          <w:p w14:paraId="780D317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14:paraId="5C03CB9A">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14:paraId="45C29978">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7BA354D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0D0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79C0370">
            <w:pPr>
              <w:jc w:val="center"/>
              <w:rPr>
                <w:rFonts w:hint="eastAsia"/>
                <w:color w:val="auto"/>
                <w:highlight w:val="none"/>
              </w:rPr>
            </w:pPr>
          </w:p>
        </w:tc>
        <w:tc>
          <w:tcPr>
            <w:tcW w:w="1130" w:type="dxa"/>
            <w:noWrap w:val="0"/>
            <w:vAlign w:val="center"/>
          </w:tcPr>
          <w:p w14:paraId="317A417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14:paraId="36C6CC31">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14:paraId="7C83C5DE">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9872D9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029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5916F69">
            <w:pPr>
              <w:jc w:val="center"/>
              <w:rPr>
                <w:rFonts w:hint="eastAsia"/>
                <w:color w:val="auto"/>
                <w:highlight w:val="none"/>
              </w:rPr>
            </w:pPr>
          </w:p>
        </w:tc>
        <w:tc>
          <w:tcPr>
            <w:tcW w:w="1130" w:type="dxa"/>
            <w:noWrap w:val="0"/>
            <w:vAlign w:val="center"/>
          </w:tcPr>
          <w:p w14:paraId="0CD828D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14:paraId="533B6D85">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14:paraId="22BBA23B">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29A18ED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0D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4100DD6">
            <w:pPr>
              <w:jc w:val="center"/>
              <w:rPr>
                <w:rFonts w:hint="eastAsia"/>
                <w:color w:val="auto"/>
                <w:highlight w:val="none"/>
              </w:rPr>
            </w:pPr>
          </w:p>
        </w:tc>
        <w:tc>
          <w:tcPr>
            <w:tcW w:w="1130" w:type="dxa"/>
            <w:noWrap w:val="0"/>
            <w:vAlign w:val="center"/>
          </w:tcPr>
          <w:p w14:paraId="5AFB177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14:paraId="0A7D59B5">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14:paraId="4EF91842">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C1A01B5">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26B8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1A68B15">
            <w:pPr>
              <w:jc w:val="center"/>
              <w:rPr>
                <w:rFonts w:hint="eastAsia"/>
                <w:color w:val="auto"/>
                <w:highlight w:val="none"/>
              </w:rPr>
            </w:pPr>
          </w:p>
        </w:tc>
        <w:tc>
          <w:tcPr>
            <w:tcW w:w="1130" w:type="dxa"/>
            <w:noWrap w:val="0"/>
            <w:vAlign w:val="center"/>
          </w:tcPr>
          <w:p w14:paraId="449828B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14:paraId="21295B0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14:paraId="5199ACF9">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17D00D4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316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0FFAD18">
            <w:pPr>
              <w:jc w:val="center"/>
              <w:rPr>
                <w:rFonts w:hint="eastAsia"/>
                <w:color w:val="auto"/>
                <w:highlight w:val="none"/>
              </w:rPr>
            </w:pPr>
          </w:p>
        </w:tc>
        <w:tc>
          <w:tcPr>
            <w:tcW w:w="1130" w:type="dxa"/>
            <w:noWrap w:val="0"/>
            <w:vAlign w:val="center"/>
          </w:tcPr>
          <w:p w14:paraId="2BCAE88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14:paraId="318D74D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14:paraId="70974CFD">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0158F5CB">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6D9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0C49102">
            <w:pPr>
              <w:jc w:val="center"/>
              <w:rPr>
                <w:rFonts w:hint="eastAsia"/>
                <w:color w:val="auto"/>
                <w:highlight w:val="none"/>
              </w:rPr>
            </w:pPr>
          </w:p>
        </w:tc>
        <w:tc>
          <w:tcPr>
            <w:tcW w:w="1130" w:type="dxa"/>
            <w:noWrap w:val="0"/>
            <w:vAlign w:val="center"/>
          </w:tcPr>
          <w:p w14:paraId="759EFBC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14:paraId="30511732">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14:paraId="1543911C">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4611254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B3B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05EF057">
            <w:pPr>
              <w:jc w:val="center"/>
              <w:rPr>
                <w:rFonts w:hint="eastAsia"/>
                <w:color w:val="auto"/>
                <w:highlight w:val="none"/>
              </w:rPr>
            </w:pPr>
          </w:p>
        </w:tc>
        <w:tc>
          <w:tcPr>
            <w:tcW w:w="1130" w:type="dxa"/>
            <w:noWrap w:val="0"/>
            <w:vAlign w:val="center"/>
          </w:tcPr>
          <w:p w14:paraId="7CEAC50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14:paraId="648927B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c>
          <w:tcPr>
            <w:tcW w:w="1850" w:type="dxa"/>
            <w:noWrap w:val="0"/>
            <w:vAlign w:val="center"/>
          </w:tcPr>
          <w:p w14:paraId="285DA0C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3411C19F">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900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E9DF220">
            <w:pPr>
              <w:jc w:val="center"/>
              <w:rPr>
                <w:rFonts w:hint="eastAsia"/>
                <w:color w:val="auto"/>
                <w:highlight w:val="none"/>
              </w:rPr>
            </w:pPr>
          </w:p>
        </w:tc>
        <w:tc>
          <w:tcPr>
            <w:tcW w:w="1130" w:type="dxa"/>
            <w:noWrap w:val="0"/>
            <w:vAlign w:val="center"/>
          </w:tcPr>
          <w:p w14:paraId="6DC3B60F">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185" w:type="dxa"/>
            <w:noWrap w:val="0"/>
            <w:vAlign w:val="center"/>
          </w:tcPr>
          <w:p w14:paraId="338784B3">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，具体格式文件见比价文件P49中小企业声明函（工程、服务）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c>
          <w:tcPr>
            <w:tcW w:w="1850" w:type="dxa"/>
            <w:noWrap w:val="0"/>
            <w:vAlign w:val="center"/>
          </w:tcPr>
          <w:p w14:paraId="763B29C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B629731">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FE9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14:paraId="4B4280A1">
            <w:pPr>
              <w:jc w:val="center"/>
              <w:rPr>
                <w:rFonts w:hint="eastAsia"/>
                <w:color w:val="auto"/>
                <w:highlight w:val="none"/>
              </w:rPr>
            </w:pPr>
          </w:p>
        </w:tc>
        <w:tc>
          <w:tcPr>
            <w:tcW w:w="1130" w:type="dxa"/>
            <w:noWrap w:val="0"/>
            <w:vAlign w:val="center"/>
          </w:tcPr>
          <w:p w14:paraId="01AAA70C">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14:paraId="6BE522DC">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14:paraId="6E86BA18">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01B1C115">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69C8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21B9E5FA">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14:paraId="300FC0BD">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14:paraId="1BCDDA7B">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14:paraId="58B44A5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C94F3F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5908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BA7370B">
            <w:pPr>
              <w:rPr>
                <w:rFonts w:hint="eastAsia"/>
                <w:color w:val="auto"/>
                <w:highlight w:val="none"/>
              </w:rPr>
            </w:pPr>
          </w:p>
        </w:tc>
        <w:tc>
          <w:tcPr>
            <w:tcW w:w="1130" w:type="dxa"/>
            <w:noWrap w:val="0"/>
            <w:vAlign w:val="center"/>
          </w:tcPr>
          <w:p w14:paraId="046AE225">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14:paraId="266E95EF">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14:paraId="24BAF61E">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6898258D">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19D8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7C498EA5">
            <w:pPr>
              <w:rPr>
                <w:rFonts w:hint="eastAsia"/>
                <w:color w:val="auto"/>
                <w:highlight w:val="none"/>
              </w:rPr>
            </w:pPr>
          </w:p>
        </w:tc>
        <w:tc>
          <w:tcPr>
            <w:tcW w:w="1130" w:type="dxa"/>
            <w:noWrap w:val="0"/>
            <w:vAlign w:val="center"/>
          </w:tcPr>
          <w:p w14:paraId="1E63214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14:paraId="1996CFE8">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14:paraId="208EF3F7">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1269FEF">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1DB3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782AAC1">
            <w:pPr>
              <w:rPr>
                <w:rFonts w:hint="eastAsia"/>
                <w:color w:val="auto"/>
                <w:highlight w:val="none"/>
              </w:rPr>
            </w:pPr>
          </w:p>
        </w:tc>
        <w:tc>
          <w:tcPr>
            <w:tcW w:w="1130" w:type="dxa"/>
            <w:noWrap w:val="0"/>
            <w:vAlign w:val="center"/>
          </w:tcPr>
          <w:p w14:paraId="0AFB15A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14:paraId="279C9B02">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14:paraId="1766AA4D">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1D42D227">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6FA662E6">
      <w:pPr>
        <w:rPr>
          <w:rFonts w:hint="eastAsia"/>
          <w:color w:val="auto"/>
          <w:highlight w:val="none"/>
        </w:rPr>
      </w:pPr>
    </w:p>
    <w:p w14:paraId="1732D239">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66A53F6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F47A26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6D86F1D">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2914D34">
      <w:pPr>
        <w:pStyle w:val="13"/>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7"/>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0FD8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1A0A8872">
            <w:pPr>
              <w:pStyle w:val="24"/>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35102088">
            <w:pPr>
              <w:pStyle w:val="24"/>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54" w:type="dxa"/>
            <w:noWrap w:val="0"/>
            <w:vAlign w:val="center"/>
          </w:tcPr>
          <w:p w14:paraId="634F77A5">
            <w:pPr>
              <w:pStyle w:val="24"/>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6B954A0A">
            <w:pPr>
              <w:pStyle w:val="24"/>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3075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14:paraId="751FCD4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5254" w:type="dxa"/>
            <w:noWrap w:val="0"/>
            <w:vAlign w:val="top"/>
          </w:tcPr>
          <w:p w14:paraId="41DD22C9">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1DBBCD53">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c>
          <w:tcPr>
            <w:tcW w:w="1535" w:type="dxa"/>
            <w:noWrap w:val="0"/>
            <w:vAlign w:val="center"/>
          </w:tcPr>
          <w:p w14:paraId="71C0EFEF">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74B2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14:paraId="247BEA60">
            <w:pPr>
              <w:widowControl/>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rPr>
              <w:t>的响应程度</w:t>
            </w:r>
          </w:p>
        </w:tc>
        <w:tc>
          <w:tcPr>
            <w:tcW w:w="5254" w:type="dxa"/>
            <w:noWrap w:val="0"/>
            <w:vAlign w:val="center"/>
          </w:tcPr>
          <w:p w14:paraId="69242F7D">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第二部分第四点服务要求条款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响应程度进行评分：</w:t>
            </w:r>
          </w:p>
          <w:p w14:paraId="59D59D51">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完全满足“采购项目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要求”中不带▲号的一般技术参数，得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分；有一项不带▲号条款负偏离，得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 有二项不带▲号条款负偏离，得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 有三项不带▲号条款负偏离，得6分； 有四项不带▲号条款负偏离，得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 以此类推，当不带▲号条款负偏离达到</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项（含）以上时，视为严重偏离此评分项不得分。</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c>
          <w:tcPr>
            <w:tcW w:w="1535" w:type="dxa"/>
            <w:noWrap w:val="0"/>
            <w:vAlign w:val="center"/>
          </w:tcPr>
          <w:p w14:paraId="684819FD">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51D8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noWrap w:val="0"/>
            <w:vAlign w:val="center"/>
          </w:tcPr>
          <w:p w14:paraId="0EE6139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实施方案</w:t>
            </w:r>
          </w:p>
        </w:tc>
        <w:tc>
          <w:tcPr>
            <w:tcW w:w="5254" w:type="dxa"/>
            <w:noWrap w:val="0"/>
            <w:vAlign w:val="center"/>
          </w:tcPr>
          <w:p w14:paraId="39FE8E8C">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根据各响应供应商提出的实施方案（包括人力投入、进度计划、具体操作、服务便利措施等情况）进行综合评审，</w:t>
            </w:r>
          </w:p>
          <w:p w14:paraId="3634A80A">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1.实施方案优于采购人的需求，完整包括以上评审内容，且科学可靠，完善、可行程度高，得 10分；</w:t>
            </w:r>
          </w:p>
          <w:p w14:paraId="3D11EC2F">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2.实施方案响应采购人的需求，基本包括以上评审内容，较科学可靠、完善、基本可行的，得7分；</w:t>
            </w:r>
          </w:p>
          <w:p w14:paraId="27CE93AA">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3.实施方案基本响应采购人的需求，对以上评审内容有缺失，科学可靠、完善、可行性程度一般，得4分；</w:t>
            </w:r>
          </w:p>
          <w:p w14:paraId="719C32E6">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4.无提供方案不得分。</w:t>
            </w:r>
          </w:p>
        </w:tc>
        <w:tc>
          <w:tcPr>
            <w:tcW w:w="1535" w:type="dxa"/>
            <w:noWrap w:val="0"/>
            <w:vAlign w:val="center"/>
          </w:tcPr>
          <w:p w14:paraId="3F32E599">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7DB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94" w:type="dxa"/>
            <w:noWrap w:val="0"/>
            <w:vAlign w:val="center"/>
          </w:tcPr>
          <w:p w14:paraId="0D551290">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突发事件处理方案</w:t>
            </w:r>
          </w:p>
        </w:tc>
        <w:tc>
          <w:tcPr>
            <w:tcW w:w="5254" w:type="dxa"/>
            <w:noWrap w:val="0"/>
            <w:vAlign w:val="center"/>
          </w:tcPr>
          <w:p w14:paraId="4839C0FE">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根据各响应供应商提供的突发事件处理方案（</w:t>
            </w:r>
            <w:r>
              <w:rPr>
                <w:rFonts w:hint="eastAsia" w:ascii="仿宋" w:hAnsi="仿宋" w:eastAsia="仿宋" w:cs="仿宋"/>
                <w:color w:val="auto"/>
                <w:sz w:val="24"/>
                <w:lang w:eastAsia="zh-CN"/>
              </w:rPr>
              <w:t>：更换期间爆管，</w:t>
            </w:r>
            <w:r>
              <w:rPr>
                <w:rFonts w:hint="eastAsia" w:ascii="仿宋" w:hAnsi="仿宋" w:eastAsia="仿宋" w:cs="仿宋"/>
                <w:color w:val="auto"/>
                <w:kern w:val="2"/>
                <w:sz w:val="24"/>
                <w:szCs w:val="24"/>
                <w:lang w:val="en-US" w:eastAsia="zh-CN" w:bidi="ar-SA"/>
              </w:rPr>
              <w:t>包括人员到位时间、处置措施等情况）进行综合评审，</w:t>
            </w:r>
          </w:p>
          <w:p w14:paraId="259F690C">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1.突发事件处理方案优于采购人的需求，完整包括以上评审内容，且科学可靠，完善、可行程度高，得 10分；</w:t>
            </w:r>
          </w:p>
          <w:p w14:paraId="5B38CC18">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2.突发事件处理方案响应采购人的需求，基本包括以上评审内容，较科学可靠、完善、基本可行的，得6分；</w:t>
            </w:r>
          </w:p>
          <w:p w14:paraId="1C746388">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3.突发事件处理方案基本响应采购人的需求，对以上评审内容有缺失，科学可靠、完善、可行性程度一般，得3分；</w:t>
            </w:r>
          </w:p>
          <w:p w14:paraId="24027541">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4.无提供方案不得分。</w:t>
            </w:r>
          </w:p>
        </w:tc>
        <w:tc>
          <w:tcPr>
            <w:tcW w:w="1535" w:type="dxa"/>
            <w:noWrap w:val="0"/>
            <w:vAlign w:val="center"/>
          </w:tcPr>
          <w:p w14:paraId="3F0C7AC5">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6D2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653C2632">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服务团队要求 </w:t>
            </w:r>
          </w:p>
        </w:tc>
        <w:tc>
          <w:tcPr>
            <w:tcW w:w="5254" w:type="dxa"/>
            <w:noWrap w:val="0"/>
            <w:vAlign w:val="center"/>
          </w:tcPr>
          <w:p w14:paraId="5D2F696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根据各响应供应商拟派3名人员作为团队要求：</w:t>
            </w:r>
          </w:p>
          <w:p w14:paraId="34C84E9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1.项目负责人持有安监部门颁发的《特种作业操作证（制冷与空调作业）》上岗作业证书，得3分；</w:t>
            </w:r>
          </w:p>
          <w:p w14:paraId="78A3BDA7">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2.安装技术人员1人，持有安监部门颁发的《特种作业操作证（高处作业）》上岗作业证书，得3分；</w:t>
            </w:r>
          </w:p>
          <w:p w14:paraId="31426A5D">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3.维修焊接技术人员1人，持有安监部门颁发的《特种作业操作证（融化焊接与热切割作业）》上岗作业证书，得3分；</w:t>
            </w:r>
          </w:p>
          <w:p w14:paraId="243A44B7">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（本项满分6分，须提供人员相关证书和近三个月社保缴纳证明文件复印件，否则不得分。）</w:t>
            </w:r>
          </w:p>
        </w:tc>
        <w:tc>
          <w:tcPr>
            <w:tcW w:w="1535" w:type="dxa"/>
            <w:noWrap w:val="0"/>
            <w:vAlign w:val="center"/>
          </w:tcPr>
          <w:p w14:paraId="56BB151B">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52C5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447B3C0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质保期限的响应</w:t>
            </w:r>
          </w:p>
        </w:tc>
        <w:tc>
          <w:tcPr>
            <w:tcW w:w="5254" w:type="dxa"/>
            <w:noWrap w:val="0"/>
            <w:vAlign w:val="center"/>
          </w:tcPr>
          <w:p w14:paraId="0080A19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根据各响应供应商</w:t>
            </w:r>
            <w:r>
              <w:rPr>
                <w:rFonts w:hint="eastAsia" w:ascii="仿宋" w:hAnsi="仿宋" w:eastAsia="仿宋" w:cs="仿宋"/>
                <w:color w:val="auto"/>
                <w:sz w:val="24"/>
                <w:lang w:val="en-US" w:eastAsia="zh-CN"/>
              </w:rPr>
              <w:t>提供</w:t>
            </w:r>
            <w:r>
              <w:rPr>
                <w:rFonts w:hint="eastAsia" w:ascii="仿宋" w:hAnsi="仿宋" w:eastAsia="仿宋" w:cs="仿宋"/>
                <w:color w:val="auto"/>
                <w:sz w:val="24"/>
              </w:rPr>
              <w:t>的项目质保期限在符合采购文件要求的质保期基础上承诺期限进行评分</w:t>
            </w:r>
            <w:r>
              <w:rPr>
                <w:rFonts w:hint="eastAsia" w:ascii="仿宋" w:hAnsi="仿宋" w:eastAsia="仿宋" w:cs="仿宋"/>
                <w:color w:val="auto"/>
                <w:kern w:val="2"/>
                <w:sz w:val="24"/>
                <w:szCs w:val="24"/>
                <w:lang w:val="en-US" w:eastAsia="zh-CN" w:bidi="ar-SA"/>
              </w:rPr>
              <w:t>。</w:t>
            </w:r>
          </w:p>
          <w:p w14:paraId="55300D03">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质保期限符合招标文件要求，</w:t>
            </w:r>
            <w:r>
              <w:rPr>
                <w:rFonts w:hint="eastAsia" w:ascii="仿宋" w:hAnsi="仿宋" w:eastAsia="仿宋" w:cs="仿宋"/>
                <w:color w:val="auto"/>
                <w:sz w:val="24"/>
                <w:lang w:val="en-US" w:eastAsia="zh-CN"/>
              </w:rPr>
              <w:t>在1年质保期的基础上，承诺1年得2分；承诺2年得4分</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sz w:val="24"/>
                <w:lang w:val="en-US" w:eastAsia="zh-CN"/>
              </w:rPr>
              <w:t>承诺3年得6分，提供承诺函，格式自拟，不提供</w:t>
            </w:r>
            <w:r>
              <w:rPr>
                <w:rFonts w:hint="eastAsia" w:ascii="仿宋" w:hAnsi="仿宋" w:eastAsia="仿宋" w:cs="仿宋"/>
                <w:color w:val="auto"/>
                <w:kern w:val="2"/>
                <w:sz w:val="24"/>
                <w:szCs w:val="24"/>
                <w:lang w:val="en-US" w:eastAsia="zh-CN" w:bidi="ar-SA"/>
              </w:rPr>
              <w:t>不得分。</w:t>
            </w:r>
          </w:p>
        </w:tc>
        <w:tc>
          <w:tcPr>
            <w:tcW w:w="1535" w:type="dxa"/>
            <w:noWrap w:val="0"/>
            <w:vAlign w:val="center"/>
          </w:tcPr>
          <w:p w14:paraId="5C89EA13">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B7E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1394" w:type="dxa"/>
            <w:noWrap w:val="0"/>
            <w:vAlign w:val="center"/>
          </w:tcPr>
          <w:p w14:paraId="1BA7E294">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质量控制和安全保障措施</w:t>
            </w:r>
          </w:p>
        </w:tc>
        <w:tc>
          <w:tcPr>
            <w:tcW w:w="5254" w:type="dxa"/>
            <w:noWrap w:val="0"/>
            <w:vAlign w:val="center"/>
          </w:tcPr>
          <w:p w14:paraId="44C08E3E">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根据响应供应商提供的针对本项目质量控制和安全保障措施是否合理，编制内容是否符合技术要求等内容进行对比评审。</w:t>
            </w:r>
          </w:p>
          <w:p w14:paraId="1695BF36">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1.质量控制和安全保障措施体系完整，制度健全，措施有力得9分；</w:t>
            </w:r>
          </w:p>
          <w:p w14:paraId="74E372A2">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2.质量控制和安全保障措施体系较完整，制度较健全，措施较有力得6分；</w:t>
            </w:r>
          </w:p>
          <w:p w14:paraId="79617780">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3.质量控制和安全保障措施体系不完整，制度不够健全，措施不得力得3分；</w:t>
            </w:r>
          </w:p>
          <w:p w14:paraId="1428C9E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4.无提供内容不得分。</w:t>
            </w:r>
          </w:p>
        </w:tc>
        <w:tc>
          <w:tcPr>
            <w:tcW w:w="1535" w:type="dxa"/>
            <w:noWrap w:val="0"/>
            <w:vAlign w:val="center"/>
          </w:tcPr>
          <w:p w14:paraId="6EE98953">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D7B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3377C623">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 xml:space="preserve">同类业绩情况 </w:t>
            </w:r>
          </w:p>
        </w:tc>
        <w:tc>
          <w:tcPr>
            <w:tcW w:w="5254" w:type="dxa"/>
            <w:noWrap w:val="0"/>
            <w:vAlign w:val="center"/>
          </w:tcPr>
          <w:p w14:paraId="4F279A4E">
            <w:pPr>
              <w:widowControl/>
              <w:spacing w:line="240" w:lineRule="auto"/>
              <w:ind w:left="0" w:leftChars="0" w:right="0" w:rightChars="0"/>
              <w:jc w:val="left"/>
              <w:rPr>
                <w:rFonts w:hint="eastAsia" w:ascii="仿宋" w:hAnsi="仿宋" w:eastAsia="仿宋" w:cs="仿宋"/>
                <w:color w:val="auto"/>
                <w:kern w:val="2"/>
                <w:sz w:val="24"/>
                <w:lang w:val="en-US"/>
              </w:rPr>
            </w:pPr>
            <w:r>
              <w:rPr>
                <w:rFonts w:hint="eastAsia" w:ascii="仿宋" w:hAnsi="仿宋" w:eastAsia="仿宋" w:cs="仿宋"/>
                <w:color w:val="auto"/>
                <w:kern w:val="2"/>
                <w:sz w:val="24"/>
                <w:lang w:val="en-US"/>
              </w:rPr>
              <w:t>根据</w:t>
            </w:r>
            <w:r>
              <w:rPr>
                <w:rFonts w:hint="eastAsia" w:ascii="仿宋" w:hAnsi="仿宋" w:eastAsia="仿宋" w:cs="仿宋"/>
                <w:color w:val="auto"/>
                <w:kern w:val="2"/>
                <w:sz w:val="24"/>
                <w:lang w:val="en-US" w:eastAsia="zh-CN"/>
              </w:rPr>
              <w:t>各</w:t>
            </w:r>
            <w:r>
              <w:rPr>
                <w:rFonts w:hint="eastAsia" w:ascii="仿宋" w:hAnsi="仿宋" w:eastAsia="仿宋" w:cs="仿宋"/>
                <w:color w:val="auto"/>
                <w:kern w:val="2"/>
                <w:sz w:val="24"/>
                <w:lang w:val="en-US"/>
              </w:rPr>
              <w:t>供应商</w:t>
            </w:r>
            <w:r>
              <w:rPr>
                <w:rFonts w:hint="eastAsia" w:ascii="仿宋" w:hAnsi="仿宋" w:eastAsia="仿宋" w:cs="仿宋"/>
                <w:color w:val="auto"/>
                <w:kern w:val="2"/>
                <w:sz w:val="24"/>
                <w:lang w:val="en-US" w:eastAsia="zh-CN"/>
              </w:rPr>
              <w:t>提供的</w:t>
            </w:r>
            <w:r>
              <w:rPr>
                <w:rFonts w:hint="eastAsia" w:ascii="仿宋" w:hAnsi="仿宋" w:eastAsia="仿宋" w:cs="仿宋"/>
                <w:color w:val="auto"/>
                <w:kern w:val="2"/>
                <w:sz w:val="24"/>
                <w:lang w:val="en-US"/>
              </w:rPr>
              <w:t>20</w:t>
            </w:r>
            <w:r>
              <w:rPr>
                <w:rFonts w:hint="eastAsia" w:ascii="仿宋" w:hAnsi="仿宋" w:eastAsia="仿宋" w:cs="仿宋"/>
                <w:color w:val="auto"/>
                <w:kern w:val="2"/>
                <w:sz w:val="24"/>
                <w:lang w:val="en-US" w:eastAsia="zh-CN"/>
              </w:rPr>
              <w:t>22</w:t>
            </w:r>
            <w:r>
              <w:rPr>
                <w:rFonts w:hint="eastAsia" w:ascii="仿宋" w:hAnsi="仿宋" w:eastAsia="仿宋" w:cs="仿宋"/>
                <w:color w:val="auto"/>
                <w:kern w:val="2"/>
                <w:sz w:val="24"/>
                <w:lang w:val="en-US"/>
              </w:rPr>
              <w:t>年1月1日至今</w:t>
            </w:r>
            <w:r>
              <w:rPr>
                <w:rFonts w:hint="eastAsia" w:ascii="仿宋" w:hAnsi="仿宋" w:eastAsia="仿宋" w:cs="仿宋"/>
                <w:color w:val="auto"/>
                <w:kern w:val="2"/>
                <w:sz w:val="24"/>
                <w:lang w:val="en-US" w:eastAsia="zh-CN"/>
              </w:rPr>
              <w:t>（以合同签订时间为准）</w:t>
            </w:r>
            <w:r>
              <w:rPr>
                <w:rFonts w:hint="eastAsia" w:ascii="仿宋" w:hAnsi="仿宋" w:eastAsia="仿宋" w:cs="仿宋"/>
                <w:color w:val="auto"/>
                <w:kern w:val="2"/>
                <w:sz w:val="24"/>
                <w:lang w:val="en-US"/>
              </w:rPr>
              <w:t>的同类项目业绩情况进行评分，每提供一个业绩得</w:t>
            </w:r>
            <w:r>
              <w:rPr>
                <w:rFonts w:hint="eastAsia" w:ascii="仿宋" w:hAnsi="仿宋" w:eastAsia="仿宋" w:cs="仿宋"/>
                <w:color w:val="auto"/>
                <w:kern w:val="2"/>
                <w:sz w:val="24"/>
                <w:lang w:val="en-US" w:eastAsia="zh-CN"/>
              </w:rPr>
              <w:t>1</w:t>
            </w:r>
            <w:r>
              <w:rPr>
                <w:rFonts w:hint="eastAsia" w:ascii="仿宋" w:hAnsi="仿宋" w:eastAsia="仿宋" w:cs="仿宋"/>
                <w:color w:val="auto"/>
                <w:kern w:val="2"/>
                <w:sz w:val="24"/>
                <w:lang w:val="en-US"/>
              </w:rPr>
              <w:t>分，本项最高得分</w:t>
            </w:r>
            <w:r>
              <w:rPr>
                <w:rFonts w:hint="eastAsia" w:ascii="仿宋" w:hAnsi="仿宋" w:eastAsia="仿宋" w:cs="仿宋"/>
                <w:color w:val="auto"/>
                <w:kern w:val="2"/>
                <w:sz w:val="24"/>
                <w:lang w:val="en-US" w:eastAsia="zh-CN"/>
              </w:rPr>
              <w:t>6</w:t>
            </w:r>
            <w:r>
              <w:rPr>
                <w:rFonts w:hint="eastAsia" w:ascii="仿宋" w:hAnsi="仿宋" w:eastAsia="仿宋" w:cs="仿宋"/>
                <w:color w:val="auto"/>
                <w:kern w:val="2"/>
                <w:sz w:val="24"/>
                <w:lang w:val="en-US"/>
              </w:rPr>
              <w:t>分。</w:t>
            </w:r>
          </w:p>
          <w:p w14:paraId="55A22163">
            <w:pPr>
              <w:widowControl/>
              <w:spacing w:before="0"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rPr>
              <w:t>同类业绩证明文件是中标/成交通知书或合同关键页的复印件或扫描件（合同关键页是指包括：①能显示</w:t>
            </w:r>
            <w:r>
              <w:rPr>
                <w:rFonts w:hint="eastAsia" w:ascii="仿宋" w:hAnsi="仿宋" w:eastAsia="仿宋" w:cs="仿宋"/>
                <w:color w:val="auto"/>
                <w:kern w:val="2"/>
                <w:sz w:val="24"/>
                <w:lang w:eastAsia="zh-CN"/>
              </w:rPr>
              <w:t>服务内容</w:t>
            </w:r>
            <w:r>
              <w:rPr>
                <w:rFonts w:hint="eastAsia" w:ascii="仿宋" w:hAnsi="仿宋" w:eastAsia="仿宋" w:cs="仿宋"/>
                <w:color w:val="auto"/>
                <w:kern w:val="2"/>
                <w:sz w:val="24"/>
              </w:rPr>
              <w:t>等相关信息；②签订合同双方的单位名称、合同项目名称；③签订合同双方的签章、盖章及签订日期），无提供不得分。</w:t>
            </w:r>
          </w:p>
        </w:tc>
        <w:tc>
          <w:tcPr>
            <w:tcW w:w="1535" w:type="dxa"/>
            <w:noWrap w:val="0"/>
            <w:vAlign w:val="center"/>
          </w:tcPr>
          <w:p w14:paraId="765C2D0E">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29F7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1394" w:type="dxa"/>
            <w:noWrap w:val="0"/>
            <w:vAlign w:val="center"/>
          </w:tcPr>
          <w:p w14:paraId="57A0E28F">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对采购文件的商务响应程度</w:t>
            </w:r>
          </w:p>
        </w:tc>
        <w:tc>
          <w:tcPr>
            <w:tcW w:w="5254" w:type="dxa"/>
            <w:noWrap w:val="0"/>
            <w:vAlign w:val="center"/>
          </w:tcPr>
          <w:p w14:paraId="53D3E52D">
            <w:pPr>
              <w:keepNext w:val="0"/>
              <w:keepLines w:val="0"/>
              <w:widowControl/>
              <w:suppressLineNumbers w:val="0"/>
              <w:spacing w:before="0" w:beforeAutospacing="0" w:after="0" w:afterAutospacing="0"/>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根据本项目的采购文件对各响应供应商的商务要求响应文件响应情况进行综合评审，全部满足采购文件“商务要求”要求得5分，有一项不满足采购文件要求得4分，有两项不满足采购文件要求得3分，以此类推，扣完为止。</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文件未要求提供证明材料的技术参数，以</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文件格式技术和服务要求响应表为准。</w:t>
            </w:r>
          </w:p>
        </w:tc>
        <w:tc>
          <w:tcPr>
            <w:tcW w:w="1535" w:type="dxa"/>
            <w:noWrap w:val="0"/>
            <w:vAlign w:val="center"/>
          </w:tcPr>
          <w:p w14:paraId="49278C30">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bl>
    <w:p w14:paraId="4F5A30C2">
      <w:pPr>
        <w:adjustRightInd w:val="0"/>
        <w:snapToGrid w:val="0"/>
        <w:spacing w:line="300" w:lineRule="auto"/>
        <w:rPr>
          <w:rFonts w:ascii="仿宋" w:hAnsi="仿宋" w:eastAsia="仿宋" w:cs="仿宋"/>
          <w:color w:val="auto"/>
          <w:sz w:val="24"/>
          <w:highlight w:val="none"/>
        </w:rPr>
      </w:pPr>
    </w:p>
    <w:p w14:paraId="77F7350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64C1E4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5C3483FF">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F573215">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20" w:name="_Toc202819878"/>
      <w:bookmarkStart w:id="21" w:name="_Toc202816996"/>
      <w:bookmarkStart w:id="22" w:name="_Toc202252034"/>
      <w:bookmarkStart w:id="23" w:name="_Toc202251700"/>
      <w:bookmarkStart w:id="24" w:name="_Toc202820351"/>
      <w:bookmarkStart w:id="25" w:name="_Toc202254105"/>
      <w:bookmarkStart w:id="26" w:name="_Toc202251075"/>
      <w:r>
        <w:rPr>
          <w:rFonts w:hint="eastAsia" w:ascii="仿宋" w:hAnsi="仿宋" w:eastAsia="仿宋" w:cs="仿宋"/>
          <w:b/>
          <w:bCs/>
          <w:color w:val="auto"/>
          <w:sz w:val="28"/>
          <w:szCs w:val="28"/>
          <w:highlight w:val="none"/>
        </w:rPr>
        <w:t>3 资格性文件</w:t>
      </w:r>
      <w:bookmarkEnd w:id="20"/>
      <w:bookmarkEnd w:id="21"/>
      <w:bookmarkEnd w:id="22"/>
      <w:bookmarkEnd w:id="23"/>
      <w:bookmarkEnd w:id="24"/>
      <w:bookmarkEnd w:id="25"/>
      <w:bookmarkEnd w:id="26"/>
    </w:p>
    <w:p w14:paraId="353CC811">
      <w:pPr>
        <w:pStyle w:val="6"/>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49F0EC1F">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0B7A6B8F">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3981255F">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4A162E67">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23288D12">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385086D2">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65BF49A6">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03570BA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2298F84D">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2C01A277">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1A8F7DE9">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如果有的话</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。我方已完全清晰理解比选文件的所有要求，不存在任何含糊不清和误解之处，同意放弃对这些文件所提出的异议和质疑的权利。</w:t>
      </w:r>
    </w:p>
    <w:p w14:paraId="630A4C65">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CA929B7">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lang w:eastAsia="zh-CN"/>
        </w:rPr>
        <w:t>的成分</w:t>
      </w:r>
      <w:r>
        <w:rPr>
          <w:rFonts w:hint="eastAsia" w:ascii="仿宋" w:hAnsi="仿宋" w:eastAsia="仿宋" w:cs="仿宋"/>
          <w:color w:val="auto"/>
          <w:sz w:val="24"/>
          <w:highlight w:val="none"/>
        </w:rPr>
        <w:t>，否则，愿承担相应的后果和法律责任。</w:t>
      </w:r>
    </w:p>
    <w:p w14:paraId="4FC23F6C">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35FD064C">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8DE47CC">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48D03B2D">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7BF43EE9">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6D72B7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5678B9F8">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9BAC95D">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07E5556E">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683EE3E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74DDE0DE">
      <w:pPr>
        <w:pStyle w:val="2"/>
        <w:rPr>
          <w:rFonts w:hint="eastAsia"/>
          <w:color w:val="auto"/>
          <w:highlight w:val="none"/>
        </w:rPr>
      </w:pPr>
    </w:p>
    <w:p w14:paraId="3876595B">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500E5464">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44A108DD">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5F96DC0C">
      <w:pPr>
        <w:pStyle w:val="25"/>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3AD7203E">
      <w:pPr>
        <w:pStyle w:val="25"/>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071378A2">
      <w:pPr>
        <w:pStyle w:val="25"/>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575875C1">
      <w:pPr>
        <w:pStyle w:val="25"/>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26D346C3">
      <w:pPr>
        <w:pStyle w:val="25"/>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61DF63C9">
      <w:pPr>
        <w:pStyle w:val="25"/>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6EDE1136">
      <w:pPr>
        <w:pStyle w:val="25"/>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5AE20043">
      <w:pPr>
        <w:pStyle w:val="25"/>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5FE63D16">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57C6278F">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4B1D378D">
      <w:pPr>
        <w:pStyle w:val="25"/>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564B8319">
      <w:pPr>
        <w:pStyle w:val="25"/>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2D9EB698">
      <w:pPr>
        <w:rPr>
          <w:rFonts w:hint="eastAsia" w:ascii="仿宋" w:hAnsi="仿宋" w:eastAsia="仿宋" w:cs="仿宋"/>
          <w:color w:val="auto"/>
          <w:sz w:val="28"/>
          <w:szCs w:val="28"/>
          <w:highlight w:val="none"/>
        </w:rPr>
      </w:pPr>
    </w:p>
    <w:p w14:paraId="78E322C0">
      <w:pPr>
        <w:rPr>
          <w:rFonts w:hint="eastAsia" w:ascii="仿宋" w:hAnsi="仿宋" w:eastAsia="仿宋" w:cs="仿宋"/>
          <w:color w:val="auto"/>
          <w:sz w:val="28"/>
          <w:szCs w:val="28"/>
          <w:highlight w:val="none"/>
        </w:rPr>
      </w:pPr>
    </w:p>
    <w:p w14:paraId="244E2F25">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为避免响应无效，请供应商务必提供本附件</w:t>
      </w:r>
      <w:r>
        <w:rPr>
          <w:rFonts w:hint="eastAsia" w:ascii="仿宋" w:hAnsi="仿宋" w:eastAsia="仿宋" w:cs="仿宋"/>
          <w:b/>
          <w:color w:val="auto"/>
          <w:sz w:val="28"/>
          <w:szCs w:val="28"/>
          <w:highlight w:val="none"/>
          <w:lang w:eastAsia="zh-CN"/>
        </w:rPr>
        <w:t>）</w:t>
      </w:r>
    </w:p>
    <w:p w14:paraId="43F6353A">
      <w:pPr>
        <w:rPr>
          <w:rFonts w:hint="eastAsia" w:ascii="仿宋" w:hAnsi="仿宋" w:eastAsia="仿宋" w:cs="仿宋"/>
          <w:b/>
          <w:color w:val="auto"/>
          <w:sz w:val="28"/>
          <w:szCs w:val="28"/>
          <w:highlight w:val="none"/>
        </w:rPr>
      </w:pPr>
    </w:p>
    <w:p w14:paraId="5C03BCA0">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3B314C9">
                            <w:pPr>
                              <w:jc w:val="center"/>
                              <w:rPr>
                                <w:rFonts w:hint="eastAsia" w:hAnsi="宋体"/>
                                <w:szCs w:val="21"/>
                              </w:rPr>
                            </w:pPr>
                          </w:p>
                          <w:p w14:paraId="661B04C8">
                            <w:pPr>
                              <w:jc w:val="center"/>
                              <w:rPr>
                                <w:rFonts w:hint="eastAsia" w:hAnsi="宋体"/>
                                <w:szCs w:val="21"/>
                              </w:rPr>
                            </w:pPr>
                          </w:p>
                          <w:p w14:paraId="53F5B462">
                            <w:pPr>
                              <w:jc w:val="center"/>
                              <w:rPr>
                                <w:rFonts w:hint="eastAsia" w:hAnsi="宋体"/>
                                <w:szCs w:val="21"/>
                              </w:rPr>
                            </w:pPr>
                          </w:p>
                          <w:p w14:paraId="1A450C7D">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03B314C9">
                      <w:pPr>
                        <w:jc w:val="center"/>
                        <w:rPr>
                          <w:rFonts w:hint="eastAsia" w:hAnsi="宋体"/>
                          <w:szCs w:val="21"/>
                        </w:rPr>
                      </w:pPr>
                    </w:p>
                    <w:p w14:paraId="661B04C8">
                      <w:pPr>
                        <w:jc w:val="center"/>
                        <w:rPr>
                          <w:rFonts w:hint="eastAsia" w:hAnsi="宋体"/>
                          <w:szCs w:val="21"/>
                        </w:rPr>
                      </w:pPr>
                    </w:p>
                    <w:p w14:paraId="53F5B462">
                      <w:pPr>
                        <w:jc w:val="center"/>
                        <w:rPr>
                          <w:rFonts w:hint="eastAsia" w:hAnsi="宋体"/>
                          <w:szCs w:val="21"/>
                        </w:rPr>
                      </w:pPr>
                    </w:p>
                    <w:p w14:paraId="1A450C7D">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EF41C56">
                            <w:pPr>
                              <w:jc w:val="center"/>
                              <w:rPr>
                                <w:rFonts w:hint="eastAsia" w:hAnsi="宋体"/>
                                <w:szCs w:val="21"/>
                              </w:rPr>
                            </w:pPr>
                          </w:p>
                          <w:p w14:paraId="5247D064">
                            <w:pPr>
                              <w:jc w:val="center"/>
                              <w:rPr>
                                <w:rFonts w:hint="eastAsia" w:hAnsi="宋体"/>
                                <w:szCs w:val="21"/>
                              </w:rPr>
                            </w:pPr>
                          </w:p>
                          <w:p w14:paraId="2526ECD4">
                            <w:pPr>
                              <w:jc w:val="center"/>
                              <w:rPr>
                                <w:rFonts w:hint="eastAsia" w:hAnsi="宋体"/>
                                <w:szCs w:val="21"/>
                              </w:rPr>
                            </w:pPr>
                          </w:p>
                          <w:p w14:paraId="02B6550A">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2EF41C56">
                      <w:pPr>
                        <w:jc w:val="center"/>
                        <w:rPr>
                          <w:rFonts w:hint="eastAsia" w:hAnsi="宋体"/>
                          <w:szCs w:val="21"/>
                        </w:rPr>
                      </w:pPr>
                    </w:p>
                    <w:p w14:paraId="5247D064">
                      <w:pPr>
                        <w:jc w:val="center"/>
                        <w:rPr>
                          <w:rFonts w:hint="eastAsia" w:hAnsi="宋体"/>
                          <w:szCs w:val="21"/>
                        </w:rPr>
                      </w:pPr>
                    </w:p>
                    <w:p w14:paraId="2526ECD4">
                      <w:pPr>
                        <w:jc w:val="center"/>
                        <w:rPr>
                          <w:rFonts w:hint="eastAsia" w:hAnsi="宋体"/>
                          <w:szCs w:val="21"/>
                        </w:rPr>
                      </w:pPr>
                    </w:p>
                    <w:p w14:paraId="02B6550A">
                      <w:pPr>
                        <w:jc w:val="center"/>
                        <w:rPr>
                          <w:szCs w:val="21"/>
                        </w:rPr>
                      </w:pPr>
                      <w:r>
                        <w:rPr>
                          <w:rFonts w:hint="eastAsia" w:hAnsi="宋体"/>
                          <w:szCs w:val="21"/>
                        </w:rPr>
                        <w:t>法定代表人身份证复印件正面</w:t>
                      </w:r>
                    </w:p>
                  </w:txbxContent>
                </v:textbox>
              </v:shape>
            </w:pict>
          </mc:Fallback>
        </mc:AlternateContent>
      </w:r>
    </w:p>
    <w:p w14:paraId="767DAF70">
      <w:pPr>
        <w:rPr>
          <w:rFonts w:hint="eastAsia" w:ascii="仿宋" w:hAnsi="仿宋" w:eastAsia="仿宋" w:cs="仿宋"/>
          <w:b/>
          <w:color w:val="auto"/>
          <w:sz w:val="28"/>
          <w:szCs w:val="28"/>
          <w:highlight w:val="none"/>
        </w:rPr>
      </w:pPr>
    </w:p>
    <w:p w14:paraId="75C0E84B">
      <w:pPr>
        <w:spacing w:line="480" w:lineRule="exact"/>
        <w:rPr>
          <w:rFonts w:hint="eastAsia" w:ascii="仿宋" w:hAnsi="仿宋" w:eastAsia="仿宋" w:cs="仿宋"/>
          <w:b/>
          <w:color w:val="auto"/>
          <w:sz w:val="28"/>
          <w:szCs w:val="28"/>
          <w:highlight w:val="none"/>
        </w:rPr>
      </w:pPr>
    </w:p>
    <w:p w14:paraId="660C8698">
      <w:pPr>
        <w:spacing w:line="480" w:lineRule="exact"/>
        <w:rPr>
          <w:rFonts w:hint="eastAsia" w:ascii="仿宋" w:hAnsi="仿宋" w:eastAsia="仿宋" w:cs="仿宋"/>
          <w:b/>
          <w:color w:val="auto"/>
          <w:sz w:val="28"/>
          <w:szCs w:val="28"/>
          <w:highlight w:val="none"/>
        </w:rPr>
      </w:pPr>
    </w:p>
    <w:p w14:paraId="46FA5AD7">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3E54E1FF">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553760A">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51A2626D">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0FF4E19E">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726BD2D1">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1179C23F">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442C52D8">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59CD4F84">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20755CF6">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0A4044D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748A0D8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131BFC83">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3BFC9A57">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A8F98B2">
      <w:pPr>
        <w:ind w:firstLine="480"/>
        <w:rPr>
          <w:color w:val="auto"/>
          <w:highlight w:val="none"/>
        </w:rPr>
      </w:pPr>
    </w:p>
    <w:p w14:paraId="4B538423">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49A336D">
                            <w:pPr>
                              <w:jc w:val="center"/>
                              <w:rPr>
                                <w:rFonts w:hint="eastAsia" w:hAnsi="宋体"/>
                                <w:szCs w:val="21"/>
                              </w:rPr>
                            </w:pPr>
                          </w:p>
                          <w:p w14:paraId="20173710">
                            <w:pPr>
                              <w:jc w:val="center"/>
                              <w:rPr>
                                <w:rFonts w:hint="eastAsia" w:hAnsi="宋体"/>
                                <w:szCs w:val="21"/>
                              </w:rPr>
                            </w:pPr>
                          </w:p>
                          <w:p w14:paraId="29D82DFE">
                            <w:pPr>
                              <w:jc w:val="center"/>
                              <w:rPr>
                                <w:rFonts w:hint="eastAsia" w:hAnsi="宋体"/>
                                <w:szCs w:val="21"/>
                              </w:rPr>
                            </w:pPr>
                          </w:p>
                          <w:p w14:paraId="48133A84">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749A336D">
                      <w:pPr>
                        <w:jc w:val="center"/>
                        <w:rPr>
                          <w:rFonts w:hint="eastAsia" w:hAnsi="宋体"/>
                          <w:szCs w:val="21"/>
                        </w:rPr>
                      </w:pPr>
                    </w:p>
                    <w:p w14:paraId="20173710">
                      <w:pPr>
                        <w:jc w:val="center"/>
                        <w:rPr>
                          <w:rFonts w:hint="eastAsia" w:hAnsi="宋体"/>
                          <w:szCs w:val="21"/>
                        </w:rPr>
                      </w:pPr>
                    </w:p>
                    <w:p w14:paraId="29D82DFE">
                      <w:pPr>
                        <w:jc w:val="center"/>
                        <w:rPr>
                          <w:rFonts w:hint="eastAsia" w:hAnsi="宋体"/>
                          <w:szCs w:val="21"/>
                        </w:rPr>
                      </w:pPr>
                    </w:p>
                    <w:p w14:paraId="48133A84">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6AEF29B">
                            <w:pPr>
                              <w:jc w:val="center"/>
                              <w:rPr>
                                <w:rFonts w:hint="eastAsia" w:hAnsi="宋体"/>
                                <w:szCs w:val="21"/>
                              </w:rPr>
                            </w:pPr>
                          </w:p>
                          <w:p w14:paraId="0B64AF41">
                            <w:pPr>
                              <w:jc w:val="center"/>
                              <w:rPr>
                                <w:rFonts w:hint="eastAsia" w:hAnsi="宋体"/>
                                <w:szCs w:val="21"/>
                              </w:rPr>
                            </w:pPr>
                          </w:p>
                          <w:p w14:paraId="0D07BB05">
                            <w:pPr>
                              <w:jc w:val="center"/>
                              <w:rPr>
                                <w:rFonts w:hint="eastAsia" w:hAnsi="宋体"/>
                                <w:szCs w:val="21"/>
                              </w:rPr>
                            </w:pPr>
                          </w:p>
                          <w:p w14:paraId="792EE795">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46AEF29B">
                      <w:pPr>
                        <w:jc w:val="center"/>
                        <w:rPr>
                          <w:rFonts w:hint="eastAsia" w:hAnsi="宋体"/>
                          <w:szCs w:val="21"/>
                        </w:rPr>
                      </w:pPr>
                    </w:p>
                    <w:p w14:paraId="0B64AF41">
                      <w:pPr>
                        <w:jc w:val="center"/>
                        <w:rPr>
                          <w:rFonts w:hint="eastAsia" w:hAnsi="宋体"/>
                          <w:szCs w:val="21"/>
                        </w:rPr>
                      </w:pPr>
                    </w:p>
                    <w:p w14:paraId="0D07BB05">
                      <w:pPr>
                        <w:jc w:val="center"/>
                        <w:rPr>
                          <w:rFonts w:hint="eastAsia" w:hAnsi="宋体"/>
                          <w:szCs w:val="21"/>
                        </w:rPr>
                      </w:pPr>
                    </w:p>
                    <w:p w14:paraId="792EE795">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5B3CA22">
                            <w:pPr>
                              <w:jc w:val="center"/>
                              <w:rPr>
                                <w:rFonts w:hint="eastAsia" w:hAnsi="宋体"/>
                                <w:szCs w:val="21"/>
                              </w:rPr>
                            </w:pPr>
                          </w:p>
                          <w:p w14:paraId="037062FA">
                            <w:pPr>
                              <w:jc w:val="center"/>
                              <w:rPr>
                                <w:rFonts w:hint="eastAsia" w:hAnsi="宋体"/>
                                <w:szCs w:val="21"/>
                              </w:rPr>
                            </w:pPr>
                          </w:p>
                          <w:p w14:paraId="5837433B">
                            <w:pPr>
                              <w:jc w:val="center"/>
                              <w:rPr>
                                <w:rFonts w:hint="eastAsia" w:hAnsi="宋体"/>
                                <w:szCs w:val="21"/>
                              </w:rPr>
                            </w:pPr>
                          </w:p>
                          <w:p w14:paraId="49D0E1C4">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25B3CA22">
                      <w:pPr>
                        <w:jc w:val="center"/>
                        <w:rPr>
                          <w:rFonts w:hint="eastAsia" w:hAnsi="宋体"/>
                          <w:szCs w:val="21"/>
                        </w:rPr>
                      </w:pPr>
                    </w:p>
                    <w:p w14:paraId="037062FA">
                      <w:pPr>
                        <w:jc w:val="center"/>
                        <w:rPr>
                          <w:rFonts w:hint="eastAsia" w:hAnsi="宋体"/>
                          <w:szCs w:val="21"/>
                        </w:rPr>
                      </w:pPr>
                    </w:p>
                    <w:p w14:paraId="5837433B">
                      <w:pPr>
                        <w:jc w:val="center"/>
                        <w:rPr>
                          <w:rFonts w:hint="eastAsia" w:hAnsi="宋体"/>
                          <w:szCs w:val="21"/>
                        </w:rPr>
                      </w:pPr>
                    </w:p>
                    <w:p w14:paraId="49D0E1C4">
                      <w:pPr>
                        <w:jc w:val="center"/>
                        <w:rPr>
                          <w:szCs w:val="21"/>
                        </w:rPr>
                      </w:pPr>
                      <w:r>
                        <w:rPr>
                          <w:rFonts w:hint="eastAsia" w:hAnsi="宋体"/>
                          <w:szCs w:val="21"/>
                        </w:rPr>
                        <w:t>代理人身份证复印件</w:t>
                      </w:r>
                    </w:p>
                  </w:txbxContent>
                </v:textbox>
              </v:shape>
            </w:pict>
          </mc:Fallback>
        </mc:AlternateContent>
      </w:r>
    </w:p>
    <w:p w14:paraId="7256B106">
      <w:pPr>
        <w:spacing w:line="300" w:lineRule="auto"/>
        <w:jc w:val="center"/>
        <w:rPr>
          <w:rFonts w:hint="eastAsia" w:ascii="仿宋" w:hAnsi="仿宋" w:eastAsia="仿宋" w:cs="仿宋"/>
          <w:b/>
          <w:color w:val="auto"/>
          <w:sz w:val="28"/>
          <w:szCs w:val="28"/>
          <w:highlight w:val="none"/>
        </w:rPr>
      </w:pPr>
    </w:p>
    <w:p w14:paraId="1A924DDF">
      <w:pPr>
        <w:spacing w:line="300" w:lineRule="auto"/>
        <w:jc w:val="center"/>
        <w:rPr>
          <w:rFonts w:hint="eastAsia" w:ascii="仿宋" w:hAnsi="仿宋" w:eastAsia="仿宋" w:cs="仿宋"/>
          <w:b/>
          <w:color w:val="auto"/>
          <w:sz w:val="28"/>
          <w:szCs w:val="28"/>
          <w:highlight w:val="none"/>
        </w:rPr>
      </w:pPr>
    </w:p>
    <w:p w14:paraId="5A6E91F4">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3DA46C3">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04FF026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0C07DBF0">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6877C01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06BBDF0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3D020D1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w:t>
      </w:r>
      <w:r>
        <w:rPr>
          <w:rFonts w:hint="eastAsia" w:ascii="仿宋" w:hAnsi="仿宋" w:eastAsia="仿宋" w:cs="仿宋"/>
          <w:color w:val="auto"/>
          <w:sz w:val="24"/>
          <w:highlight w:val="none"/>
          <w:lang w:eastAsia="zh-CN"/>
        </w:rPr>
        <w:t>2022年至今</w:t>
      </w:r>
      <w:r>
        <w:rPr>
          <w:rFonts w:hint="eastAsia" w:ascii="仿宋" w:hAnsi="仿宋" w:eastAsia="仿宋" w:cs="仿宋"/>
          <w:color w:val="auto"/>
          <w:sz w:val="24"/>
          <w:highlight w:val="none"/>
        </w:rPr>
        <w:t>任意一年经审计的审计报告复印件（包含审计报告中所涉及的财务报表和报表附注）；或②</w:t>
      </w:r>
      <w:r>
        <w:rPr>
          <w:rFonts w:hint="eastAsia" w:ascii="仿宋" w:hAnsi="仿宋" w:eastAsia="仿宋" w:cs="仿宋"/>
          <w:color w:val="auto"/>
          <w:sz w:val="24"/>
          <w:highlight w:val="none"/>
          <w:lang w:eastAsia="zh-CN"/>
        </w:rPr>
        <w:t>2022年至今</w:t>
      </w:r>
      <w:r>
        <w:rPr>
          <w:rFonts w:hint="eastAsia" w:ascii="仿宋" w:hAnsi="仿宋" w:eastAsia="仿宋" w:cs="仿宋"/>
          <w:color w:val="auto"/>
          <w:sz w:val="24"/>
          <w:highlight w:val="none"/>
        </w:rPr>
        <w:t>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0356E59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6F86DAC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125470E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26818FB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4663F1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1225D5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3583A12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6378D11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CB615FD">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6.本项目是专门面向中小企业采购的项目。（提供《中小企业声明函》，具体格式文件见比价文件P49中小企业声明函（工程、服务）</w:t>
      </w:r>
      <w:r>
        <w:rPr>
          <w:rFonts w:hint="eastAsia" w:ascii="仿宋" w:hAnsi="仿宋" w:eastAsia="仿宋" w:cs="仿宋"/>
          <w:color w:val="auto"/>
          <w:sz w:val="24"/>
          <w:highlight w:val="none"/>
          <w:lang w:val="hr-HR" w:eastAsia="zh-CN"/>
        </w:rPr>
        <w:t>，未按要求提供声明函的将导致响应无效</w:t>
      </w:r>
      <w:r>
        <w:rPr>
          <w:rFonts w:hint="eastAsia" w:ascii="仿宋" w:hAnsi="仿宋" w:eastAsia="仿宋" w:cs="仿宋"/>
          <w:color w:val="auto"/>
          <w:sz w:val="24"/>
          <w:highlight w:val="none"/>
          <w:lang w:val="en-US" w:eastAsia="zh-CN"/>
        </w:rPr>
        <w:t>）。本项目中小企业划分标准所属行业为：其他未列明行业。</w:t>
      </w:r>
    </w:p>
    <w:p w14:paraId="3531D926">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14:paraId="55DFBFB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775496FC">
      <w:pPr>
        <w:adjustRightInd w:val="0"/>
        <w:snapToGrid w:val="0"/>
        <w:spacing w:line="300" w:lineRule="auto"/>
        <w:rPr>
          <w:rFonts w:hint="eastAsia" w:ascii="仿宋" w:hAnsi="仿宋" w:eastAsia="仿宋" w:cs="仿宋"/>
          <w:color w:val="auto"/>
          <w:sz w:val="24"/>
          <w:highlight w:val="none"/>
        </w:rPr>
      </w:pPr>
    </w:p>
    <w:p w14:paraId="50E8C3E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DA2C7B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BE7058D">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7" w:name="_Toc202816997"/>
      <w:bookmarkStart w:id="28" w:name="_Toc202254106"/>
      <w:bookmarkStart w:id="29" w:name="_Toc202819879"/>
      <w:bookmarkStart w:id="30" w:name="_Toc202251701"/>
      <w:bookmarkStart w:id="31" w:name="_Toc202252035"/>
      <w:bookmarkStart w:id="32" w:name="_Toc202820352"/>
      <w:bookmarkStart w:id="33" w:name="_Toc202251076"/>
    </w:p>
    <w:p w14:paraId="40FEDB83">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7"/>
      <w:bookmarkEnd w:id="28"/>
      <w:bookmarkEnd w:id="29"/>
      <w:bookmarkEnd w:id="30"/>
      <w:bookmarkEnd w:id="31"/>
      <w:bookmarkEnd w:id="32"/>
      <w:bookmarkEnd w:id="33"/>
    </w:p>
    <w:p w14:paraId="237726F6">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w:t>
      </w:r>
      <w:r>
        <w:rPr>
          <w:rFonts w:hint="eastAsia" w:ascii="仿宋" w:hAnsi="仿宋" w:eastAsia="仿宋" w:cs="仿宋"/>
          <w:b/>
          <w:color w:val="auto"/>
          <w:sz w:val="24"/>
          <w:highlight w:val="none"/>
          <w:lang w:val="en-GB" w:eastAsia="zh-CN"/>
        </w:rPr>
        <w:t>（</w:t>
      </w:r>
      <w:r>
        <w:rPr>
          <w:rFonts w:hint="eastAsia" w:ascii="仿宋" w:hAnsi="仿宋" w:eastAsia="仿宋" w:cs="仿宋"/>
          <w:b/>
          <w:color w:val="auto"/>
          <w:sz w:val="24"/>
          <w:highlight w:val="none"/>
          <w:lang w:val="en-GB"/>
        </w:rPr>
        <w:t>单页</w:t>
      </w:r>
      <w:r>
        <w:rPr>
          <w:rFonts w:hint="eastAsia" w:ascii="仿宋" w:hAnsi="仿宋" w:eastAsia="仿宋" w:cs="仿宋"/>
          <w:b/>
          <w:color w:val="auto"/>
          <w:sz w:val="24"/>
          <w:highlight w:val="none"/>
          <w:lang w:val="en-GB" w:eastAsia="zh-CN"/>
        </w:rPr>
        <w:t>）</w:t>
      </w:r>
    </w:p>
    <w:p w14:paraId="01E89473">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791AF11B">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4FC66202">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6603421E">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64BFBB89">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3612A195">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0C05889">
      <w:pPr>
        <w:adjustRightInd w:val="0"/>
        <w:snapToGrid w:val="0"/>
        <w:spacing w:line="400" w:lineRule="exact"/>
        <w:ind w:firstLine="555"/>
        <w:rPr>
          <w:rFonts w:hint="eastAsia" w:ascii="仿宋" w:hAnsi="仿宋" w:eastAsia="仿宋" w:cs="仿宋"/>
          <w:color w:val="auto"/>
          <w:sz w:val="24"/>
          <w:highlight w:val="none"/>
        </w:rPr>
      </w:pPr>
    </w:p>
    <w:p w14:paraId="34B605CD">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7561E55">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5D83B38">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4450F05">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30AE691D">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w:t>
      </w:r>
      <w:r>
        <w:rPr>
          <w:rFonts w:hint="eastAsia" w:ascii="仿宋" w:hAnsi="仿宋" w:eastAsia="仿宋" w:cs="仿宋"/>
          <w:b/>
          <w:color w:val="auto"/>
          <w:sz w:val="30"/>
          <w:szCs w:val="30"/>
          <w:highlight w:val="none"/>
          <w:lang w:val="hr-HR" w:eastAsia="zh-CN"/>
        </w:rPr>
        <w:t>（</w:t>
      </w:r>
      <w:r>
        <w:rPr>
          <w:rFonts w:hint="eastAsia" w:ascii="仿宋" w:hAnsi="仿宋" w:eastAsia="仿宋" w:cs="仿宋"/>
          <w:b/>
          <w:color w:val="auto"/>
          <w:sz w:val="30"/>
          <w:szCs w:val="30"/>
          <w:highlight w:val="none"/>
          <w:lang w:val="hr-HR"/>
        </w:rPr>
        <w:t>单页</w:t>
      </w:r>
      <w:r>
        <w:rPr>
          <w:rFonts w:hint="eastAsia" w:ascii="仿宋" w:hAnsi="仿宋" w:eastAsia="仿宋" w:cs="仿宋"/>
          <w:b/>
          <w:color w:val="auto"/>
          <w:sz w:val="30"/>
          <w:szCs w:val="30"/>
          <w:highlight w:val="none"/>
          <w:lang w:val="hr-HR" w:eastAsia="zh-CN"/>
        </w:rPr>
        <w:t>）</w:t>
      </w:r>
    </w:p>
    <w:p w14:paraId="0DF1B1FF">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FCE0068">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3798FD5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79570F1A">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28E54D33">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172C2B36">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678A0FA4">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7BA6D498">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5FE7CFD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03283FB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0FF8A9A">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5664BFD">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4E520208">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0365F57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163A3D1">
      <w:pPr>
        <w:numPr>
          <w:ilvl w:val="0"/>
          <w:numId w:val="3"/>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273AD066">
      <w:pPr>
        <w:pStyle w:val="12"/>
        <w:numPr>
          <w:ilvl w:val="0"/>
          <w:numId w:val="0"/>
        </w:numPr>
        <w:rPr>
          <w:rFonts w:hint="eastAsia"/>
          <w:color w:val="auto"/>
          <w:highlight w:val="none"/>
        </w:rPr>
      </w:pPr>
    </w:p>
    <w:p w14:paraId="3F8342E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559E83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101EE06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C35F59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025612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4CE3C7E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46882A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C7CB51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08BB302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5824F9F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213A2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6763D0C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14:paraId="3ADFA90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6D6926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39C2A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EA6545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7D7997A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E04DB5E">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3C4DB2A8">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E67E5B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3197F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56547CC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5A886A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05A66B4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6A8377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5781D0C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571D90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38CCB12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65941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1FCF90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66C8EC2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0BDB03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w:t>
      </w:r>
      <w:r>
        <w:rPr>
          <w:rFonts w:hint="eastAsia" w:ascii="仿宋" w:hAnsi="仿宋" w:eastAsia="仿宋" w:cs="仿宋"/>
          <w:color w:val="auto"/>
          <w:sz w:val="24"/>
          <w:highlight w:val="none"/>
          <w:lang w:eastAsia="zh-CN"/>
        </w:rPr>
        <w:t>作</w:t>
      </w:r>
      <w:r>
        <w:rPr>
          <w:rFonts w:hint="eastAsia" w:ascii="仿宋" w:hAnsi="仿宋" w:eastAsia="仿宋" w:cs="仿宋"/>
          <w:color w:val="auto"/>
          <w:sz w:val="24"/>
          <w:highlight w:val="none"/>
        </w:rPr>
        <w:t>声明。</w:t>
      </w:r>
    </w:p>
    <w:p w14:paraId="1D750E45">
      <w:pPr>
        <w:rPr>
          <w:rFonts w:hint="default"/>
          <w:color w:val="auto"/>
          <w:highlight w:val="none"/>
          <w:lang w:val="en-US" w:eastAsia="zh-CN"/>
        </w:rPr>
      </w:pPr>
    </w:p>
    <w:p w14:paraId="2134AD5A">
      <w:pPr>
        <w:rPr>
          <w:rFonts w:hint="eastAsia" w:ascii="仿宋" w:hAnsi="仿宋" w:eastAsia="仿宋" w:cs="仿宋"/>
          <w:b/>
          <w:color w:val="auto"/>
          <w:sz w:val="24"/>
          <w:highlight w:val="none"/>
        </w:rPr>
      </w:pPr>
    </w:p>
    <w:p w14:paraId="3E46B02F">
      <w:pPr>
        <w:rPr>
          <w:rFonts w:hint="eastAsia" w:ascii="仿宋" w:hAnsi="仿宋" w:eastAsia="仿宋" w:cs="仿宋"/>
          <w:b/>
          <w:color w:val="auto"/>
          <w:sz w:val="24"/>
          <w:highlight w:val="none"/>
        </w:rPr>
      </w:pPr>
    </w:p>
    <w:p w14:paraId="5F56AFA3">
      <w:pPr>
        <w:rPr>
          <w:rFonts w:hint="eastAsia" w:ascii="仿宋" w:hAnsi="仿宋" w:eastAsia="仿宋" w:cs="仿宋"/>
          <w:b/>
          <w:color w:val="auto"/>
          <w:sz w:val="24"/>
          <w:highlight w:val="none"/>
        </w:rPr>
      </w:pPr>
    </w:p>
    <w:p w14:paraId="276AB897">
      <w:pPr>
        <w:rPr>
          <w:rFonts w:hint="eastAsia" w:ascii="仿宋" w:hAnsi="仿宋" w:eastAsia="仿宋" w:cs="仿宋"/>
          <w:b/>
          <w:color w:val="auto"/>
          <w:sz w:val="24"/>
          <w:highlight w:val="none"/>
        </w:rPr>
      </w:pPr>
    </w:p>
    <w:p w14:paraId="07C7F483">
      <w:pPr>
        <w:rPr>
          <w:rFonts w:hint="eastAsia" w:ascii="仿宋" w:hAnsi="仿宋" w:eastAsia="仿宋" w:cs="仿宋"/>
          <w:b/>
          <w:color w:val="auto"/>
          <w:sz w:val="24"/>
          <w:highlight w:val="none"/>
        </w:rPr>
      </w:pPr>
    </w:p>
    <w:p w14:paraId="7F38B1CC">
      <w:pPr>
        <w:rPr>
          <w:rFonts w:hint="eastAsia" w:ascii="仿宋" w:hAnsi="仿宋" w:eastAsia="仿宋" w:cs="仿宋"/>
          <w:b/>
          <w:color w:val="auto"/>
          <w:sz w:val="24"/>
          <w:highlight w:val="none"/>
        </w:rPr>
      </w:pPr>
    </w:p>
    <w:p w14:paraId="07997D69">
      <w:pPr>
        <w:rPr>
          <w:rFonts w:hint="eastAsia" w:ascii="仿宋" w:hAnsi="仿宋" w:eastAsia="仿宋" w:cs="仿宋"/>
          <w:b/>
          <w:color w:val="auto"/>
          <w:sz w:val="24"/>
          <w:highlight w:val="none"/>
        </w:rPr>
      </w:pPr>
    </w:p>
    <w:p w14:paraId="5F00416E">
      <w:pPr>
        <w:rPr>
          <w:rFonts w:hint="eastAsia" w:ascii="仿宋" w:hAnsi="仿宋" w:eastAsia="仿宋" w:cs="仿宋"/>
          <w:b/>
          <w:color w:val="auto"/>
          <w:sz w:val="24"/>
          <w:highlight w:val="none"/>
        </w:rPr>
      </w:pPr>
    </w:p>
    <w:p w14:paraId="0936E04F">
      <w:pPr>
        <w:rPr>
          <w:rFonts w:hint="eastAsia" w:ascii="仿宋" w:hAnsi="仿宋" w:eastAsia="仿宋" w:cs="仿宋"/>
          <w:b/>
          <w:color w:val="auto"/>
          <w:sz w:val="24"/>
          <w:highlight w:val="none"/>
        </w:rPr>
      </w:pPr>
    </w:p>
    <w:p w14:paraId="63606852">
      <w:pPr>
        <w:rPr>
          <w:rFonts w:hint="eastAsia" w:ascii="仿宋" w:hAnsi="仿宋" w:eastAsia="仿宋" w:cs="仿宋"/>
          <w:b/>
          <w:color w:val="auto"/>
          <w:sz w:val="24"/>
          <w:highlight w:val="none"/>
        </w:rPr>
      </w:pPr>
    </w:p>
    <w:p w14:paraId="12003C7E">
      <w:pPr>
        <w:rPr>
          <w:rFonts w:hint="eastAsia" w:ascii="仿宋" w:hAnsi="仿宋" w:eastAsia="仿宋" w:cs="仿宋"/>
          <w:b/>
          <w:color w:val="auto"/>
          <w:sz w:val="24"/>
          <w:highlight w:val="none"/>
        </w:rPr>
      </w:pPr>
    </w:p>
    <w:p w14:paraId="208B0BF6">
      <w:pPr>
        <w:rPr>
          <w:rFonts w:hint="eastAsia" w:ascii="仿宋" w:hAnsi="仿宋" w:eastAsia="仿宋" w:cs="仿宋"/>
          <w:b/>
          <w:color w:val="auto"/>
          <w:sz w:val="24"/>
          <w:highlight w:val="none"/>
        </w:rPr>
      </w:pPr>
    </w:p>
    <w:p w14:paraId="07179C1B">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24"/>
          <w:highlight w:val="none"/>
        </w:rPr>
        <w:t>4.2商务条款响应</w:t>
      </w:r>
    </w:p>
    <w:p w14:paraId="017858A0">
      <w:pPr>
        <w:pStyle w:val="6"/>
        <w:spacing w:before="0" w:after="0"/>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rPr>
        <w:t>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5D19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64CCBF0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01C7D0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137EEE6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07F4E78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183674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42A4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4B1B10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6DBF061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46E2A6D2">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3BE843DD">
            <w:pPr>
              <w:jc w:val="center"/>
              <w:rPr>
                <w:rFonts w:hint="eastAsia" w:ascii="仿宋" w:hAnsi="仿宋" w:eastAsia="仿宋" w:cs="仿宋"/>
                <w:color w:val="auto"/>
                <w:szCs w:val="21"/>
                <w:highlight w:val="none"/>
              </w:rPr>
            </w:pPr>
          </w:p>
        </w:tc>
        <w:tc>
          <w:tcPr>
            <w:tcW w:w="1391" w:type="dxa"/>
            <w:noWrap w:val="0"/>
            <w:vAlign w:val="center"/>
          </w:tcPr>
          <w:p w14:paraId="0551CDCB">
            <w:pPr>
              <w:jc w:val="center"/>
              <w:rPr>
                <w:rFonts w:hint="eastAsia" w:ascii="仿宋" w:hAnsi="仿宋" w:eastAsia="仿宋" w:cs="仿宋"/>
                <w:color w:val="auto"/>
                <w:szCs w:val="21"/>
                <w:highlight w:val="none"/>
              </w:rPr>
            </w:pPr>
          </w:p>
        </w:tc>
      </w:tr>
      <w:tr w14:paraId="69C4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C55138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6E18BE56">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7F319596">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1E244269">
            <w:pPr>
              <w:jc w:val="center"/>
              <w:rPr>
                <w:rFonts w:hint="eastAsia" w:ascii="仿宋" w:hAnsi="仿宋" w:eastAsia="仿宋" w:cs="仿宋"/>
                <w:color w:val="auto"/>
                <w:szCs w:val="21"/>
                <w:highlight w:val="none"/>
              </w:rPr>
            </w:pPr>
          </w:p>
        </w:tc>
        <w:tc>
          <w:tcPr>
            <w:tcW w:w="1391" w:type="dxa"/>
            <w:noWrap w:val="0"/>
            <w:vAlign w:val="center"/>
          </w:tcPr>
          <w:p w14:paraId="6C888EA4">
            <w:pPr>
              <w:jc w:val="center"/>
              <w:rPr>
                <w:rFonts w:hint="eastAsia" w:ascii="仿宋" w:hAnsi="仿宋" w:eastAsia="仿宋" w:cs="仿宋"/>
                <w:color w:val="auto"/>
                <w:szCs w:val="21"/>
                <w:highlight w:val="none"/>
              </w:rPr>
            </w:pPr>
          </w:p>
        </w:tc>
      </w:tr>
      <w:tr w14:paraId="42E4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19E0B9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5071EA8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F1B2806">
            <w:pPr>
              <w:jc w:val="center"/>
              <w:rPr>
                <w:rFonts w:hint="eastAsia" w:ascii="仿宋" w:hAnsi="仿宋" w:eastAsia="仿宋" w:cs="仿宋"/>
                <w:color w:val="auto"/>
                <w:szCs w:val="21"/>
                <w:highlight w:val="none"/>
              </w:rPr>
            </w:pPr>
          </w:p>
        </w:tc>
        <w:tc>
          <w:tcPr>
            <w:tcW w:w="1322" w:type="dxa"/>
            <w:noWrap w:val="0"/>
            <w:vAlign w:val="center"/>
          </w:tcPr>
          <w:p w14:paraId="588FCE18">
            <w:pPr>
              <w:ind w:right="-35"/>
              <w:jc w:val="center"/>
              <w:rPr>
                <w:rFonts w:hint="eastAsia" w:ascii="仿宋" w:hAnsi="仿宋" w:eastAsia="仿宋" w:cs="仿宋"/>
                <w:color w:val="auto"/>
                <w:szCs w:val="21"/>
                <w:highlight w:val="none"/>
              </w:rPr>
            </w:pPr>
          </w:p>
        </w:tc>
        <w:tc>
          <w:tcPr>
            <w:tcW w:w="1391" w:type="dxa"/>
            <w:noWrap w:val="0"/>
            <w:vAlign w:val="center"/>
          </w:tcPr>
          <w:p w14:paraId="68ADEDD1">
            <w:pPr>
              <w:ind w:right="-35"/>
              <w:jc w:val="center"/>
              <w:rPr>
                <w:rFonts w:hint="eastAsia" w:ascii="仿宋" w:hAnsi="仿宋" w:eastAsia="仿宋" w:cs="仿宋"/>
                <w:color w:val="auto"/>
                <w:szCs w:val="21"/>
                <w:highlight w:val="none"/>
              </w:rPr>
            </w:pPr>
          </w:p>
        </w:tc>
      </w:tr>
      <w:tr w14:paraId="2B1C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25C66A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02D4AEE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34AACFB6">
            <w:pPr>
              <w:jc w:val="center"/>
              <w:rPr>
                <w:rFonts w:hint="eastAsia" w:ascii="仿宋" w:hAnsi="仿宋" w:eastAsia="仿宋" w:cs="仿宋"/>
                <w:color w:val="auto"/>
                <w:szCs w:val="21"/>
                <w:highlight w:val="none"/>
              </w:rPr>
            </w:pPr>
          </w:p>
        </w:tc>
        <w:tc>
          <w:tcPr>
            <w:tcW w:w="1322" w:type="dxa"/>
            <w:noWrap w:val="0"/>
            <w:vAlign w:val="center"/>
          </w:tcPr>
          <w:p w14:paraId="1D691BEA">
            <w:pPr>
              <w:ind w:right="-35"/>
              <w:jc w:val="center"/>
              <w:rPr>
                <w:rFonts w:hint="eastAsia" w:ascii="仿宋" w:hAnsi="仿宋" w:eastAsia="仿宋" w:cs="仿宋"/>
                <w:color w:val="auto"/>
                <w:szCs w:val="21"/>
                <w:highlight w:val="none"/>
              </w:rPr>
            </w:pPr>
          </w:p>
        </w:tc>
        <w:tc>
          <w:tcPr>
            <w:tcW w:w="1391" w:type="dxa"/>
            <w:noWrap w:val="0"/>
            <w:vAlign w:val="center"/>
          </w:tcPr>
          <w:p w14:paraId="57C2CA08">
            <w:pPr>
              <w:ind w:right="-35"/>
              <w:jc w:val="center"/>
              <w:rPr>
                <w:rFonts w:hint="eastAsia" w:ascii="仿宋" w:hAnsi="仿宋" w:eastAsia="仿宋" w:cs="仿宋"/>
                <w:color w:val="auto"/>
                <w:szCs w:val="21"/>
                <w:highlight w:val="none"/>
              </w:rPr>
            </w:pPr>
          </w:p>
        </w:tc>
      </w:tr>
      <w:tr w14:paraId="5C79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77970C5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1A7E6671">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报价内容均涵盖报价要求之一切费用和伴随服务</w:t>
            </w:r>
          </w:p>
        </w:tc>
        <w:tc>
          <w:tcPr>
            <w:tcW w:w="1381" w:type="dxa"/>
            <w:noWrap w:val="0"/>
            <w:vAlign w:val="center"/>
          </w:tcPr>
          <w:p w14:paraId="0FF610B1">
            <w:pPr>
              <w:jc w:val="center"/>
              <w:rPr>
                <w:rFonts w:hint="eastAsia" w:ascii="仿宋" w:hAnsi="仿宋" w:eastAsia="仿宋" w:cs="仿宋"/>
                <w:color w:val="auto"/>
                <w:szCs w:val="21"/>
                <w:highlight w:val="none"/>
              </w:rPr>
            </w:pPr>
          </w:p>
        </w:tc>
        <w:tc>
          <w:tcPr>
            <w:tcW w:w="1322" w:type="dxa"/>
            <w:noWrap w:val="0"/>
            <w:vAlign w:val="center"/>
          </w:tcPr>
          <w:p w14:paraId="6DE07681">
            <w:pPr>
              <w:ind w:right="-35"/>
              <w:jc w:val="center"/>
              <w:rPr>
                <w:rFonts w:hint="eastAsia" w:ascii="仿宋" w:hAnsi="仿宋" w:eastAsia="仿宋" w:cs="仿宋"/>
                <w:color w:val="auto"/>
                <w:szCs w:val="21"/>
                <w:highlight w:val="none"/>
              </w:rPr>
            </w:pPr>
          </w:p>
        </w:tc>
        <w:tc>
          <w:tcPr>
            <w:tcW w:w="1391" w:type="dxa"/>
            <w:noWrap w:val="0"/>
            <w:vAlign w:val="center"/>
          </w:tcPr>
          <w:p w14:paraId="692CFDD4">
            <w:pPr>
              <w:ind w:right="-35"/>
              <w:jc w:val="center"/>
              <w:rPr>
                <w:rFonts w:hint="eastAsia" w:ascii="仿宋" w:hAnsi="仿宋" w:eastAsia="仿宋" w:cs="仿宋"/>
                <w:color w:val="auto"/>
                <w:szCs w:val="21"/>
                <w:highlight w:val="none"/>
              </w:rPr>
            </w:pPr>
          </w:p>
        </w:tc>
      </w:tr>
      <w:tr w14:paraId="6BE6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B0C19B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57DA392F">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2EF6EB00">
            <w:pPr>
              <w:jc w:val="center"/>
              <w:rPr>
                <w:rFonts w:hint="eastAsia" w:ascii="仿宋" w:hAnsi="仿宋" w:eastAsia="仿宋" w:cs="仿宋"/>
                <w:color w:val="auto"/>
                <w:szCs w:val="21"/>
                <w:highlight w:val="none"/>
              </w:rPr>
            </w:pPr>
          </w:p>
        </w:tc>
        <w:tc>
          <w:tcPr>
            <w:tcW w:w="1322" w:type="dxa"/>
            <w:noWrap w:val="0"/>
            <w:vAlign w:val="center"/>
          </w:tcPr>
          <w:p w14:paraId="5DD8EBE3">
            <w:pPr>
              <w:ind w:right="-35"/>
              <w:jc w:val="center"/>
              <w:rPr>
                <w:rFonts w:hint="eastAsia" w:ascii="仿宋" w:hAnsi="仿宋" w:eastAsia="仿宋" w:cs="仿宋"/>
                <w:color w:val="auto"/>
                <w:szCs w:val="21"/>
                <w:highlight w:val="none"/>
              </w:rPr>
            </w:pPr>
          </w:p>
        </w:tc>
        <w:tc>
          <w:tcPr>
            <w:tcW w:w="1391" w:type="dxa"/>
            <w:noWrap w:val="0"/>
            <w:vAlign w:val="center"/>
          </w:tcPr>
          <w:p w14:paraId="5AF7BA4D">
            <w:pPr>
              <w:ind w:right="-35"/>
              <w:jc w:val="center"/>
              <w:rPr>
                <w:rFonts w:hint="eastAsia" w:ascii="仿宋" w:hAnsi="仿宋" w:eastAsia="仿宋" w:cs="仿宋"/>
                <w:color w:val="auto"/>
                <w:szCs w:val="21"/>
                <w:highlight w:val="none"/>
              </w:rPr>
            </w:pPr>
          </w:p>
        </w:tc>
      </w:tr>
      <w:tr w14:paraId="1FC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7DAEE0BF">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14:paraId="7F6DE459">
            <w:pP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同意按本项目要求缴付相关款项</w:t>
            </w:r>
          </w:p>
        </w:tc>
        <w:tc>
          <w:tcPr>
            <w:tcW w:w="1381" w:type="dxa"/>
            <w:noWrap w:val="0"/>
            <w:vAlign w:val="center"/>
          </w:tcPr>
          <w:p w14:paraId="259CB982">
            <w:pPr>
              <w:jc w:val="center"/>
              <w:rPr>
                <w:rFonts w:hint="eastAsia" w:ascii="仿宋" w:hAnsi="仿宋" w:eastAsia="仿宋" w:cs="仿宋"/>
                <w:color w:val="auto"/>
                <w:szCs w:val="21"/>
                <w:highlight w:val="none"/>
              </w:rPr>
            </w:pPr>
          </w:p>
        </w:tc>
        <w:tc>
          <w:tcPr>
            <w:tcW w:w="1322" w:type="dxa"/>
            <w:noWrap w:val="0"/>
            <w:vAlign w:val="center"/>
          </w:tcPr>
          <w:p w14:paraId="505CEF1E">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FD1C7BE">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65B0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54281E05">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14:paraId="55AF0F0B">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4ADFE1FA">
            <w:pPr>
              <w:jc w:val="center"/>
              <w:rPr>
                <w:rFonts w:hint="eastAsia" w:ascii="仿宋" w:hAnsi="仿宋" w:eastAsia="仿宋" w:cs="仿宋"/>
                <w:color w:val="auto"/>
                <w:szCs w:val="21"/>
                <w:highlight w:val="none"/>
              </w:rPr>
            </w:pPr>
          </w:p>
        </w:tc>
        <w:tc>
          <w:tcPr>
            <w:tcW w:w="1322" w:type="dxa"/>
            <w:noWrap w:val="0"/>
            <w:vAlign w:val="center"/>
          </w:tcPr>
          <w:p w14:paraId="5C678DFB">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39A3C1F6">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7D5C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5EACE01E">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14:paraId="20A98D11">
            <w:pPr>
              <w:rPr>
                <w:rFonts w:hint="eastAsia" w:ascii="仿宋" w:hAnsi="仿宋" w:eastAsia="仿宋" w:cs="仿宋"/>
                <w:color w:val="auto"/>
                <w:kern w:val="2"/>
                <w:sz w:val="21"/>
                <w:szCs w:val="21"/>
                <w:highlight w:val="none"/>
                <w:lang w:val="en-GB" w:eastAsia="zh-CN" w:bidi="ar-SA"/>
              </w:rPr>
            </w:pPr>
            <w:r>
              <w:rPr>
                <w:rFonts w:hint="eastAsia" w:ascii="仿宋" w:hAnsi="仿宋" w:eastAsia="仿宋" w:cs="仿宋"/>
                <w:color w:val="auto"/>
                <w:szCs w:val="21"/>
                <w:highlight w:val="none"/>
                <w:lang w:val="en-US" w:eastAsia="zh-CN"/>
              </w:rPr>
              <w:t>满足对服务的各项要求</w:t>
            </w:r>
          </w:p>
        </w:tc>
        <w:tc>
          <w:tcPr>
            <w:tcW w:w="1381" w:type="dxa"/>
            <w:noWrap w:val="0"/>
            <w:vAlign w:val="center"/>
          </w:tcPr>
          <w:p w14:paraId="01A9F044">
            <w:pPr>
              <w:jc w:val="center"/>
              <w:rPr>
                <w:rFonts w:hint="eastAsia" w:ascii="仿宋" w:hAnsi="仿宋" w:eastAsia="仿宋" w:cs="仿宋"/>
                <w:color w:val="auto"/>
                <w:szCs w:val="21"/>
                <w:highlight w:val="none"/>
              </w:rPr>
            </w:pPr>
          </w:p>
        </w:tc>
        <w:tc>
          <w:tcPr>
            <w:tcW w:w="1322" w:type="dxa"/>
            <w:noWrap w:val="0"/>
            <w:vAlign w:val="center"/>
          </w:tcPr>
          <w:p w14:paraId="01357BE7">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3221677">
            <w:pPr>
              <w:pStyle w:val="26"/>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508A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5386AD3A">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8041" w:type="dxa"/>
            <w:gridSpan w:val="4"/>
            <w:noWrap w:val="0"/>
            <w:vAlign w:val="center"/>
          </w:tcPr>
          <w:p w14:paraId="4EFA2B2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r>
    </w:tbl>
    <w:p w14:paraId="25EAB3A1">
      <w:pPr>
        <w:rPr>
          <w:rFonts w:hint="eastAsia" w:ascii="仿宋" w:hAnsi="仿宋" w:eastAsia="仿宋" w:cs="仿宋"/>
          <w:color w:val="auto"/>
          <w:sz w:val="24"/>
          <w:highlight w:val="none"/>
        </w:rPr>
      </w:pPr>
    </w:p>
    <w:p w14:paraId="3EAFBAD1">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01B932AA">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1F9B96D3">
      <w:pPr>
        <w:rPr>
          <w:rFonts w:hint="eastAsia" w:ascii="仿宋" w:hAnsi="仿宋" w:eastAsia="仿宋" w:cs="仿宋"/>
          <w:color w:val="auto"/>
          <w:szCs w:val="21"/>
          <w:highlight w:val="none"/>
          <w:lang w:val="en-GB"/>
        </w:rPr>
      </w:pPr>
    </w:p>
    <w:p w14:paraId="6936D4FC">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55F9D70">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12A81BE">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4" w:name="_Toc202254107"/>
      <w:bookmarkStart w:id="35" w:name="_Toc202252036"/>
      <w:bookmarkStart w:id="36" w:name="_Toc202820353"/>
      <w:bookmarkStart w:id="37" w:name="_Toc202819880"/>
      <w:bookmarkStart w:id="38" w:name="_Toc202816998"/>
      <w:bookmarkStart w:id="39" w:name="_Toc202251077"/>
      <w:bookmarkStart w:id="40" w:name="_Toc202251702"/>
      <w:r>
        <w:rPr>
          <w:rFonts w:hint="eastAsia"/>
          <w:color w:val="auto"/>
          <w:highlight w:val="none"/>
        </w:rPr>
        <w:br w:type="page"/>
      </w:r>
    </w:p>
    <w:p w14:paraId="53DEF5EC">
      <w:pPr>
        <w:tabs>
          <w:tab w:val="left" w:pos="540"/>
        </w:tabs>
        <w:outlineLvl w:val="1"/>
        <w:rPr>
          <w:rFonts w:hint="eastAsia" w:ascii="仿宋" w:hAnsi="仿宋" w:eastAsia="仿宋" w:cs="仿宋"/>
          <w:b/>
          <w:color w:val="auto"/>
          <w:sz w:val="24"/>
          <w:highlight w:val="none"/>
        </w:rPr>
      </w:pPr>
      <w:bookmarkStart w:id="41"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所投项目业绩介绍（单页）</w:t>
      </w:r>
      <w:bookmarkEnd w:id="41"/>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1FC8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67A170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19F4977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31DE9FD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19BDBF48">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34EA80BD">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5005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168AC55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42EB884C">
            <w:pPr>
              <w:jc w:val="center"/>
              <w:rPr>
                <w:rFonts w:hint="eastAsia" w:ascii="仿宋" w:hAnsi="仿宋" w:eastAsia="仿宋" w:cs="仿宋"/>
                <w:color w:val="auto"/>
                <w:szCs w:val="21"/>
                <w:highlight w:val="none"/>
              </w:rPr>
            </w:pPr>
          </w:p>
        </w:tc>
        <w:tc>
          <w:tcPr>
            <w:tcW w:w="2787" w:type="dxa"/>
            <w:noWrap w:val="0"/>
            <w:vAlign w:val="center"/>
          </w:tcPr>
          <w:p w14:paraId="6133F840">
            <w:pPr>
              <w:jc w:val="center"/>
              <w:rPr>
                <w:rFonts w:hint="eastAsia" w:ascii="仿宋" w:hAnsi="仿宋" w:eastAsia="仿宋" w:cs="仿宋"/>
                <w:color w:val="auto"/>
                <w:szCs w:val="21"/>
                <w:highlight w:val="none"/>
              </w:rPr>
            </w:pPr>
          </w:p>
        </w:tc>
        <w:tc>
          <w:tcPr>
            <w:tcW w:w="1533" w:type="dxa"/>
            <w:noWrap w:val="0"/>
            <w:vAlign w:val="center"/>
          </w:tcPr>
          <w:p w14:paraId="184F8C3A">
            <w:pPr>
              <w:jc w:val="center"/>
              <w:rPr>
                <w:rFonts w:hint="eastAsia" w:ascii="仿宋" w:hAnsi="仿宋" w:eastAsia="仿宋" w:cs="仿宋"/>
                <w:color w:val="auto"/>
                <w:szCs w:val="21"/>
                <w:highlight w:val="none"/>
              </w:rPr>
            </w:pPr>
          </w:p>
        </w:tc>
        <w:tc>
          <w:tcPr>
            <w:tcW w:w="1518" w:type="dxa"/>
            <w:noWrap w:val="0"/>
            <w:vAlign w:val="center"/>
          </w:tcPr>
          <w:p w14:paraId="0C02AFE4">
            <w:pPr>
              <w:jc w:val="center"/>
              <w:rPr>
                <w:rFonts w:hint="eastAsia" w:ascii="仿宋" w:hAnsi="仿宋" w:eastAsia="仿宋" w:cs="仿宋"/>
                <w:color w:val="auto"/>
                <w:szCs w:val="21"/>
                <w:highlight w:val="none"/>
              </w:rPr>
            </w:pPr>
          </w:p>
        </w:tc>
      </w:tr>
      <w:tr w14:paraId="53A8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0F85AE3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18DDCF52">
            <w:pPr>
              <w:jc w:val="center"/>
              <w:rPr>
                <w:rFonts w:hint="eastAsia" w:ascii="仿宋" w:hAnsi="仿宋" w:eastAsia="仿宋" w:cs="仿宋"/>
                <w:color w:val="auto"/>
                <w:szCs w:val="21"/>
                <w:highlight w:val="none"/>
              </w:rPr>
            </w:pPr>
          </w:p>
        </w:tc>
        <w:tc>
          <w:tcPr>
            <w:tcW w:w="2787" w:type="dxa"/>
            <w:noWrap w:val="0"/>
            <w:vAlign w:val="center"/>
          </w:tcPr>
          <w:p w14:paraId="1E9FA876">
            <w:pPr>
              <w:jc w:val="center"/>
              <w:rPr>
                <w:rFonts w:hint="eastAsia" w:ascii="仿宋" w:hAnsi="仿宋" w:eastAsia="仿宋" w:cs="仿宋"/>
                <w:color w:val="auto"/>
                <w:szCs w:val="21"/>
                <w:highlight w:val="none"/>
              </w:rPr>
            </w:pPr>
          </w:p>
        </w:tc>
        <w:tc>
          <w:tcPr>
            <w:tcW w:w="1533" w:type="dxa"/>
            <w:noWrap w:val="0"/>
            <w:vAlign w:val="center"/>
          </w:tcPr>
          <w:p w14:paraId="40B2582B">
            <w:pPr>
              <w:pStyle w:val="27"/>
              <w:rPr>
                <w:rFonts w:hint="eastAsia" w:ascii="仿宋" w:hAnsi="仿宋" w:eastAsia="仿宋" w:cs="仿宋"/>
                <w:color w:val="auto"/>
                <w:highlight w:val="none"/>
              </w:rPr>
            </w:pPr>
          </w:p>
        </w:tc>
        <w:tc>
          <w:tcPr>
            <w:tcW w:w="1518" w:type="dxa"/>
            <w:noWrap w:val="0"/>
            <w:vAlign w:val="center"/>
          </w:tcPr>
          <w:p w14:paraId="64790224">
            <w:pPr>
              <w:jc w:val="center"/>
              <w:rPr>
                <w:rFonts w:hint="eastAsia" w:ascii="仿宋" w:hAnsi="仿宋" w:eastAsia="仿宋" w:cs="仿宋"/>
                <w:color w:val="auto"/>
                <w:szCs w:val="21"/>
                <w:highlight w:val="none"/>
              </w:rPr>
            </w:pPr>
          </w:p>
        </w:tc>
      </w:tr>
      <w:tr w14:paraId="3141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C2A3BB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125B1D71">
            <w:pPr>
              <w:jc w:val="center"/>
              <w:rPr>
                <w:rFonts w:hint="eastAsia" w:ascii="仿宋" w:hAnsi="仿宋" w:eastAsia="仿宋" w:cs="仿宋"/>
                <w:color w:val="auto"/>
                <w:szCs w:val="21"/>
                <w:highlight w:val="none"/>
              </w:rPr>
            </w:pPr>
          </w:p>
        </w:tc>
        <w:tc>
          <w:tcPr>
            <w:tcW w:w="2787" w:type="dxa"/>
            <w:noWrap w:val="0"/>
            <w:vAlign w:val="center"/>
          </w:tcPr>
          <w:p w14:paraId="25F658FE">
            <w:pPr>
              <w:jc w:val="center"/>
              <w:rPr>
                <w:rFonts w:hint="eastAsia" w:ascii="仿宋" w:hAnsi="仿宋" w:eastAsia="仿宋" w:cs="仿宋"/>
                <w:color w:val="auto"/>
                <w:szCs w:val="21"/>
                <w:highlight w:val="none"/>
              </w:rPr>
            </w:pPr>
          </w:p>
        </w:tc>
        <w:tc>
          <w:tcPr>
            <w:tcW w:w="1533" w:type="dxa"/>
            <w:noWrap w:val="0"/>
            <w:vAlign w:val="center"/>
          </w:tcPr>
          <w:p w14:paraId="584D0C2D">
            <w:pPr>
              <w:jc w:val="center"/>
              <w:rPr>
                <w:rFonts w:hint="eastAsia" w:ascii="仿宋" w:hAnsi="仿宋" w:eastAsia="仿宋" w:cs="仿宋"/>
                <w:color w:val="auto"/>
                <w:szCs w:val="21"/>
                <w:highlight w:val="none"/>
              </w:rPr>
            </w:pPr>
          </w:p>
        </w:tc>
        <w:tc>
          <w:tcPr>
            <w:tcW w:w="1518" w:type="dxa"/>
            <w:noWrap w:val="0"/>
            <w:vAlign w:val="center"/>
          </w:tcPr>
          <w:p w14:paraId="5F1AC12B">
            <w:pPr>
              <w:jc w:val="center"/>
              <w:rPr>
                <w:rFonts w:hint="eastAsia" w:ascii="仿宋" w:hAnsi="仿宋" w:eastAsia="仿宋" w:cs="仿宋"/>
                <w:color w:val="auto"/>
                <w:szCs w:val="21"/>
                <w:highlight w:val="none"/>
              </w:rPr>
            </w:pPr>
          </w:p>
        </w:tc>
      </w:tr>
      <w:tr w14:paraId="611E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7EB6465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52F325CB">
            <w:pPr>
              <w:jc w:val="center"/>
              <w:rPr>
                <w:rFonts w:hint="eastAsia" w:ascii="仿宋" w:hAnsi="仿宋" w:eastAsia="仿宋" w:cs="仿宋"/>
                <w:color w:val="auto"/>
                <w:szCs w:val="21"/>
                <w:highlight w:val="none"/>
              </w:rPr>
            </w:pPr>
          </w:p>
        </w:tc>
        <w:tc>
          <w:tcPr>
            <w:tcW w:w="2787" w:type="dxa"/>
            <w:noWrap w:val="0"/>
            <w:vAlign w:val="center"/>
          </w:tcPr>
          <w:p w14:paraId="18AA4F5F">
            <w:pPr>
              <w:jc w:val="center"/>
              <w:rPr>
                <w:rFonts w:hint="eastAsia" w:ascii="仿宋" w:hAnsi="仿宋" w:eastAsia="仿宋" w:cs="仿宋"/>
                <w:color w:val="auto"/>
                <w:szCs w:val="21"/>
                <w:highlight w:val="none"/>
              </w:rPr>
            </w:pPr>
          </w:p>
        </w:tc>
        <w:tc>
          <w:tcPr>
            <w:tcW w:w="1533" w:type="dxa"/>
            <w:noWrap w:val="0"/>
            <w:vAlign w:val="center"/>
          </w:tcPr>
          <w:p w14:paraId="7188E56E">
            <w:pPr>
              <w:jc w:val="center"/>
              <w:rPr>
                <w:rFonts w:hint="eastAsia" w:ascii="仿宋" w:hAnsi="仿宋" w:eastAsia="仿宋" w:cs="仿宋"/>
                <w:color w:val="auto"/>
                <w:szCs w:val="21"/>
                <w:highlight w:val="none"/>
              </w:rPr>
            </w:pPr>
          </w:p>
        </w:tc>
        <w:tc>
          <w:tcPr>
            <w:tcW w:w="1518" w:type="dxa"/>
            <w:noWrap w:val="0"/>
            <w:vAlign w:val="center"/>
          </w:tcPr>
          <w:p w14:paraId="457B1847">
            <w:pPr>
              <w:jc w:val="center"/>
              <w:rPr>
                <w:rFonts w:hint="eastAsia" w:ascii="仿宋" w:hAnsi="仿宋" w:eastAsia="仿宋" w:cs="仿宋"/>
                <w:color w:val="auto"/>
                <w:szCs w:val="21"/>
                <w:highlight w:val="none"/>
              </w:rPr>
            </w:pPr>
          </w:p>
        </w:tc>
      </w:tr>
    </w:tbl>
    <w:p w14:paraId="3CD0D808">
      <w:pPr>
        <w:rPr>
          <w:rFonts w:hint="eastAsia" w:ascii="仿宋" w:hAnsi="仿宋" w:eastAsia="仿宋" w:cs="仿宋"/>
          <w:color w:val="auto"/>
          <w:sz w:val="24"/>
          <w:highlight w:val="none"/>
        </w:rPr>
      </w:pPr>
    </w:p>
    <w:p w14:paraId="7472B2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1A8A0C5B">
      <w:pPr>
        <w:adjustRightInd w:val="0"/>
        <w:snapToGrid w:val="0"/>
        <w:spacing w:line="300" w:lineRule="auto"/>
        <w:rPr>
          <w:rFonts w:hint="eastAsia" w:ascii="仿宋" w:hAnsi="仿宋" w:eastAsia="仿宋" w:cs="仿宋"/>
          <w:color w:val="auto"/>
          <w:sz w:val="24"/>
          <w:highlight w:val="none"/>
        </w:rPr>
      </w:pPr>
    </w:p>
    <w:p w14:paraId="6E760E60">
      <w:pPr>
        <w:adjustRightInd w:val="0"/>
        <w:snapToGrid w:val="0"/>
        <w:spacing w:line="300" w:lineRule="auto"/>
        <w:rPr>
          <w:rFonts w:hint="eastAsia" w:ascii="仿宋" w:hAnsi="仿宋" w:eastAsia="仿宋" w:cs="仿宋"/>
          <w:color w:val="auto"/>
          <w:sz w:val="24"/>
          <w:highlight w:val="none"/>
        </w:rPr>
      </w:pPr>
    </w:p>
    <w:p w14:paraId="3F9E44C6">
      <w:pPr>
        <w:adjustRightInd w:val="0"/>
        <w:snapToGrid w:val="0"/>
        <w:spacing w:line="300" w:lineRule="auto"/>
        <w:rPr>
          <w:rFonts w:hint="eastAsia" w:ascii="仿宋" w:hAnsi="仿宋" w:eastAsia="仿宋" w:cs="仿宋"/>
          <w:color w:val="auto"/>
          <w:sz w:val="24"/>
          <w:highlight w:val="none"/>
        </w:rPr>
      </w:pPr>
    </w:p>
    <w:p w14:paraId="5B30429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0F0ADA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1F4708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6F3135C">
      <w:pPr>
        <w:adjustRightInd w:val="0"/>
        <w:snapToGrid w:val="0"/>
        <w:spacing w:line="300" w:lineRule="auto"/>
        <w:rPr>
          <w:rFonts w:hint="eastAsia"/>
          <w:color w:val="auto"/>
          <w:highlight w:val="none"/>
        </w:rPr>
      </w:pPr>
    </w:p>
    <w:p w14:paraId="1EBB6C1D">
      <w:pPr>
        <w:adjustRightInd w:val="0"/>
        <w:snapToGrid w:val="0"/>
        <w:spacing w:line="300" w:lineRule="auto"/>
        <w:rPr>
          <w:rFonts w:hint="eastAsia"/>
          <w:color w:val="auto"/>
          <w:highlight w:val="none"/>
        </w:rPr>
      </w:pPr>
    </w:p>
    <w:p w14:paraId="00F91E26">
      <w:pPr>
        <w:adjustRightInd w:val="0"/>
        <w:snapToGrid w:val="0"/>
        <w:spacing w:line="300" w:lineRule="auto"/>
        <w:rPr>
          <w:rFonts w:hint="eastAsia"/>
          <w:color w:val="auto"/>
          <w:highlight w:val="none"/>
        </w:rPr>
      </w:pPr>
    </w:p>
    <w:p w14:paraId="310841DC">
      <w:pPr>
        <w:adjustRightInd w:val="0"/>
        <w:snapToGrid w:val="0"/>
        <w:spacing w:line="300" w:lineRule="auto"/>
        <w:rPr>
          <w:rFonts w:hint="eastAsia"/>
          <w:color w:val="auto"/>
          <w:highlight w:val="none"/>
        </w:rPr>
      </w:pPr>
    </w:p>
    <w:p w14:paraId="04830F8C">
      <w:pPr>
        <w:adjustRightInd w:val="0"/>
        <w:snapToGrid w:val="0"/>
        <w:spacing w:line="300" w:lineRule="auto"/>
        <w:rPr>
          <w:rFonts w:hint="eastAsia"/>
          <w:color w:val="auto"/>
          <w:highlight w:val="none"/>
        </w:rPr>
      </w:pPr>
    </w:p>
    <w:p w14:paraId="39C970A1">
      <w:pPr>
        <w:adjustRightInd w:val="0"/>
        <w:snapToGrid w:val="0"/>
        <w:spacing w:line="300" w:lineRule="auto"/>
        <w:rPr>
          <w:rFonts w:hint="eastAsia"/>
          <w:color w:val="auto"/>
          <w:highlight w:val="none"/>
        </w:rPr>
      </w:pPr>
    </w:p>
    <w:p w14:paraId="2410F10F">
      <w:pPr>
        <w:adjustRightInd w:val="0"/>
        <w:snapToGrid w:val="0"/>
        <w:spacing w:line="300" w:lineRule="auto"/>
        <w:rPr>
          <w:rFonts w:hint="eastAsia"/>
          <w:color w:val="auto"/>
          <w:highlight w:val="none"/>
        </w:rPr>
      </w:pPr>
    </w:p>
    <w:p w14:paraId="118D9B0D">
      <w:pPr>
        <w:adjustRightInd w:val="0"/>
        <w:snapToGrid w:val="0"/>
        <w:spacing w:line="300" w:lineRule="auto"/>
        <w:rPr>
          <w:rFonts w:hint="eastAsia"/>
          <w:color w:val="auto"/>
          <w:highlight w:val="none"/>
        </w:rPr>
      </w:pPr>
    </w:p>
    <w:p w14:paraId="77222BB7">
      <w:pPr>
        <w:adjustRightInd w:val="0"/>
        <w:snapToGrid w:val="0"/>
        <w:spacing w:line="300" w:lineRule="auto"/>
        <w:rPr>
          <w:rFonts w:hint="eastAsia"/>
          <w:color w:val="auto"/>
          <w:highlight w:val="none"/>
        </w:rPr>
      </w:pPr>
    </w:p>
    <w:p w14:paraId="0A9D1B15">
      <w:pPr>
        <w:adjustRightInd w:val="0"/>
        <w:snapToGrid w:val="0"/>
        <w:spacing w:line="300" w:lineRule="auto"/>
        <w:rPr>
          <w:rFonts w:hint="eastAsia"/>
          <w:color w:val="auto"/>
          <w:highlight w:val="none"/>
        </w:rPr>
      </w:pPr>
    </w:p>
    <w:p w14:paraId="5D0C120E">
      <w:pPr>
        <w:adjustRightInd w:val="0"/>
        <w:snapToGrid w:val="0"/>
        <w:spacing w:line="300" w:lineRule="auto"/>
        <w:rPr>
          <w:rFonts w:hint="eastAsia"/>
          <w:color w:val="auto"/>
          <w:highlight w:val="none"/>
        </w:rPr>
      </w:pPr>
    </w:p>
    <w:p w14:paraId="5841546E">
      <w:pPr>
        <w:adjustRightInd w:val="0"/>
        <w:snapToGrid w:val="0"/>
        <w:spacing w:line="300" w:lineRule="auto"/>
        <w:rPr>
          <w:rFonts w:hint="eastAsia"/>
          <w:color w:val="auto"/>
          <w:highlight w:val="none"/>
        </w:rPr>
      </w:pPr>
    </w:p>
    <w:p w14:paraId="5B456DCC">
      <w:pPr>
        <w:adjustRightInd w:val="0"/>
        <w:snapToGrid w:val="0"/>
        <w:spacing w:line="300" w:lineRule="auto"/>
        <w:rPr>
          <w:rFonts w:hint="eastAsia"/>
          <w:color w:val="auto"/>
          <w:highlight w:val="none"/>
        </w:rPr>
      </w:pPr>
    </w:p>
    <w:p w14:paraId="52BD5C01">
      <w:pPr>
        <w:adjustRightInd w:val="0"/>
        <w:snapToGrid w:val="0"/>
        <w:spacing w:line="300" w:lineRule="auto"/>
        <w:rPr>
          <w:rFonts w:hint="eastAsia"/>
          <w:color w:val="auto"/>
          <w:highlight w:val="none"/>
        </w:rPr>
      </w:pPr>
    </w:p>
    <w:p w14:paraId="21474D35">
      <w:pPr>
        <w:adjustRightInd w:val="0"/>
        <w:snapToGrid w:val="0"/>
        <w:spacing w:line="300" w:lineRule="auto"/>
        <w:rPr>
          <w:rFonts w:hint="eastAsia"/>
          <w:color w:val="auto"/>
          <w:highlight w:val="none"/>
        </w:rPr>
      </w:pPr>
    </w:p>
    <w:p w14:paraId="35F7897D">
      <w:pPr>
        <w:adjustRightInd w:val="0"/>
        <w:snapToGrid w:val="0"/>
        <w:spacing w:line="300" w:lineRule="auto"/>
        <w:rPr>
          <w:rFonts w:hint="eastAsia"/>
          <w:color w:val="auto"/>
          <w:highlight w:val="none"/>
        </w:rPr>
      </w:pPr>
    </w:p>
    <w:p w14:paraId="20BE4A10">
      <w:pPr>
        <w:adjustRightInd w:val="0"/>
        <w:snapToGrid w:val="0"/>
        <w:spacing w:line="300" w:lineRule="auto"/>
        <w:rPr>
          <w:rFonts w:hint="eastAsia"/>
          <w:color w:val="auto"/>
          <w:highlight w:val="none"/>
        </w:rPr>
      </w:pPr>
    </w:p>
    <w:p w14:paraId="3F6AA6B4">
      <w:pPr>
        <w:adjustRightInd w:val="0"/>
        <w:snapToGrid w:val="0"/>
        <w:spacing w:line="300" w:lineRule="auto"/>
        <w:rPr>
          <w:rFonts w:hint="eastAsia"/>
          <w:color w:val="auto"/>
          <w:highlight w:val="none"/>
        </w:rPr>
      </w:pPr>
    </w:p>
    <w:p w14:paraId="01234093">
      <w:pPr>
        <w:adjustRightInd w:val="0"/>
        <w:snapToGrid w:val="0"/>
        <w:spacing w:line="300" w:lineRule="auto"/>
        <w:rPr>
          <w:rFonts w:hint="eastAsia"/>
          <w:color w:val="auto"/>
          <w:highlight w:val="none"/>
        </w:rPr>
      </w:pPr>
    </w:p>
    <w:p w14:paraId="227124C6">
      <w:pPr>
        <w:adjustRightInd w:val="0"/>
        <w:snapToGrid w:val="0"/>
        <w:spacing w:line="300" w:lineRule="auto"/>
        <w:rPr>
          <w:rFonts w:hint="eastAsia"/>
          <w:color w:val="auto"/>
          <w:highlight w:val="none"/>
        </w:rPr>
      </w:pPr>
    </w:p>
    <w:p w14:paraId="30980924">
      <w:pPr>
        <w:adjustRightInd w:val="0"/>
        <w:snapToGrid w:val="0"/>
        <w:spacing w:line="300" w:lineRule="auto"/>
        <w:rPr>
          <w:rFonts w:hint="eastAsia"/>
          <w:color w:val="auto"/>
          <w:highlight w:val="none"/>
        </w:rPr>
      </w:pPr>
    </w:p>
    <w:p w14:paraId="35E1234B">
      <w:pPr>
        <w:adjustRightInd w:val="0"/>
        <w:snapToGrid w:val="0"/>
        <w:spacing w:line="300" w:lineRule="auto"/>
        <w:rPr>
          <w:rFonts w:hint="eastAsia"/>
          <w:color w:val="auto"/>
          <w:highlight w:val="none"/>
        </w:rPr>
      </w:pPr>
    </w:p>
    <w:p w14:paraId="4E766D93">
      <w:pPr>
        <w:pStyle w:val="2"/>
        <w:rPr>
          <w:rFonts w:hint="eastAsia"/>
          <w:color w:val="auto"/>
          <w:highlight w:val="none"/>
        </w:rPr>
      </w:pPr>
    </w:p>
    <w:p w14:paraId="4B2258AF">
      <w:pPr>
        <w:adjustRightInd w:val="0"/>
        <w:snapToGrid w:val="0"/>
        <w:spacing w:line="300" w:lineRule="auto"/>
        <w:rPr>
          <w:rFonts w:hint="eastAsia"/>
          <w:color w:val="auto"/>
          <w:highlight w:val="none"/>
        </w:rPr>
      </w:pPr>
    </w:p>
    <w:p w14:paraId="5D6EB971">
      <w:pPr>
        <w:adjustRightInd w:val="0"/>
        <w:snapToGrid w:val="0"/>
        <w:spacing w:line="300" w:lineRule="auto"/>
        <w:rPr>
          <w:rFonts w:hint="eastAsia"/>
          <w:color w:val="auto"/>
          <w:highlight w:val="none"/>
        </w:rPr>
      </w:pPr>
    </w:p>
    <w:p w14:paraId="077E5A1E">
      <w:pPr>
        <w:adjustRightInd w:val="0"/>
        <w:snapToGrid w:val="0"/>
        <w:spacing w:line="300" w:lineRule="auto"/>
        <w:rPr>
          <w:rFonts w:hint="eastAsia"/>
          <w:color w:val="auto"/>
          <w:highlight w:val="none"/>
        </w:rPr>
      </w:pPr>
    </w:p>
    <w:p w14:paraId="11B1094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4"/>
      <w:bookmarkEnd w:id="35"/>
      <w:bookmarkEnd w:id="36"/>
      <w:bookmarkEnd w:id="37"/>
      <w:bookmarkEnd w:id="38"/>
      <w:bookmarkEnd w:id="39"/>
      <w:bookmarkEnd w:id="40"/>
    </w:p>
    <w:p w14:paraId="2116C977">
      <w:pPr>
        <w:pStyle w:val="13"/>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770E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7E1949BF">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751C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6596923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722" w:type="dxa"/>
            <w:shd w:val="clear" w:color="auto" w:fill="F1F1F1"/>
            <w:noWrap w:val="0"/>
            <w:vAlign w:val="center"/>
          </w:tcPr>
          <w:p w14:paraId="5CFA26C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2416" w:type="dxa"/>
            <w:shd w:val="clear" w:color="auto" w:fill="F1F1F1"/>
            <w:noWrap w:val="0"/>
            <w:vAlign w:val="center"/>
          </w:tcPr>
          <w:p w14:paraId="3348368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14:paraId="264589AB">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198246B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5F178AC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6A06187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3CBE843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675055B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5CF9858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08E4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31055ADB">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eastAsia="zh-CN"/>
              </w:rPr>
              <w:t>11</w:t>
            </w:r>
          </w:p>
        </w:tc>
        <w:tc>
          <w:tcPr>
            <w:tcW w:w="722" w:type="dxa"/>
            <w:noWrap w:val="0"/>
            <w:vAlign w:val="center"/>
          </w:tcPr>
          <w:p w14:paraId="52EEC218">
            <w:pPr>
              <w:spacing w:line="380" w:lineRule="exact"/>
              <w:ind w:left="40" w:leftChars="19"/>
              <w:jc w:val="left"/>
              <w:rPr>
                <w:rFonts w:hint="eastAsia" w:ascii="仿宋" w:hAnsi="仿宋" w:eastAsia="仿宋" w:cs="仿宋"/>
                <w:color w:val="auto"/>
                <w:szCs w:val="21"/>
                <w:highlight w:val="none"/>
                <w:lang w:val="zh-CN" w:eastAsia="zh-CN"/>
              </w:rPr>
            </w:pPr>
          </w:p>
        </w:tc>
        <w:tc>
          <w:tcPr>
            <w:tcW w:w="2416" w:type="dxa"/>
            <w:noWrap w:val="0"/>
            <w:vAlign w:val="center"/>
          </w:tcPr>
          <w:p w14:paraId="682716E6">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lang w:val="zh-CN" w:eastAsia="zh-CN"/>
              </w:rPr>
            </w:pPr>
          </w:p>
        </w:tc>
        <w:tc>
          <w:tcPr>
            <w:tcW w:w="1701" w:type="dxa"/>
            <w:noWrap w:val="0"/>
            <w:vAlign w:val="top"/>
          </w:tcPr>
          <w:p w14:paraId="4C3950CF">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78C07C17">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304FCACA">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7AE0B095">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5C9F54B9">
            <w:pPr>
              <w:spacing w:line="380" w:lineRule="exact"/>
              <w:ind w:left="40" w:leftChars="19"/>
              <w:jc w:val="left"/>
              <w:rPr>
                <w:rFonts w:hint="eastAsia" w:ascii="仿宋" w:hAnsi="仿宋" w:eastAsia="仿宋" w:cs="仿宋"/>
                <w:color w:val="auto"/>
                <w:szCs w:val="21"/>
                <w:highlight w:val="none"/>
                <w:lang w:val="zh-CN"/>
              </w:rPr>
            </w:pPr>
          </w:p>
        </w:tc>
      </w:tr>
    </w:tbl>
    <w:p w14:paraId="37ECEC45">
      <w:pPr>
        <w:adjustRightInd w:val="0"/>
        <w:snapToGrid w:val="0"/>
        <w:spacing w:line="300" w:lineRule="auto"/>
        <w:rPr>
          <w:rFonts w:hint="eastAsia" w:ascii="仿宋" w:hAnsi="仿宋" w:eastAsia="仿宋" w:cs="仿宋"/>
          <w:color w:val="auto"/>
          <w:sz w:val="24"/>
          <w:highlight w:val="none"/>
        </w:rPr>
      </w:pPr>
    </w:p>
    <w:p w14:paraId="74FB5766">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4A671AFD">
      <w:pPr>
        <w:pStyle w:val="13"/>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52F32FF2">
      <w:pPr>
        <w:pStyle w:val="13"/>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6D4E55E2">
      <w:pPr>
        <w:adjustRightInd w:val="0"/>
        <w:snapToGrid w:val="0"/>
        <w:spacing w:line="300" w:lineRule="auto"/>
        <w:rPr>
          <w:rFonts w:hint="eastAsia" w:ascii="仿宋" w:hAnsi="仿宋" w:eastAsia="仿宋" w:cs="仿宋"/>
          <w:color w:val="auto"/>
          <w:sz w:val="24"/>
          <w:highlight w:val="none"/>
        </w:rPr>
      </w:pPr>
    </w:p>
    <w:p w14:paraId="0D98075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66AC27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89F92D7">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4074E66">
      <w:pPr>
        <w:pStyle w:val="13"/>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6D65AB8">
      <w:pPr>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53EE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7FEC76B0">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283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22FF6A7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073A8D6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5FA69B7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26C341D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4F29AFA1">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68BEF08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3FF9BC1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4695EBF3">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36542F5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15BA68C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5C2D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3604AC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5E557AB2">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C842F0D">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525AB1F6">
            <w:pPr>
              <w:spacing w:line="20" w:lineRule="atLeast"/>
              <w:rPr>
                <w:rFonts w:hint="eastAsia" w:ascii="仿宋" w:hAnsi="仿宋" w:eastAsia="仿宋" w:cs="仿宋"/>
                <w:color w:val="auto"/>
                <w:sz w:val="24"/>
                <w:highlight w:val="none"/>
              </w:rPr>
            </w:pPr>
          </w:p>
        </w:tc>
        <w:tc>
          <w:tcPr>
            <w:tcW w:w="744" w:type="dxa"/>
            <w:noWrap w:val="0"/>
            <w:vAlign w:val="top"/>
          </w:tcPr>
          <w:p w14:paraId="1899F98D">
            <w:pPr>
              <w:spacing w:line="20" w:lineRule="atLeast"/>
              <w:rPr>
                <w:rFonts w:hint="eastAsia" w:ascii="仿宋" w:hAnsi="仿宋" w:eastAsia="仿宋" w:cs="仿宋"/>
                <w:color w:val="auto"/>
                <w:sz w:val="24"/>
                <w:highlight w:val="none"/>
              </w:rPr>
            </w:pPr>
          </w:p>
        </w:tc>
        <w:tc>
          <w:tcPr>
            <w:tcW w:w="826" w:type="dxa"/>
            <w:noWrap w:val="0"/>
            <w:vAlign w:val="top"/>
          </w:tcPr>
          <w:p w14:paraId="6334095C">
            <w:pPr>
              <w:spacing w:line="20" w:lineRule="atLeast"/>
              <w:rPr>
                <w:rFonts w:hint="eastAsia" w:ascii="仿宋" w:hAnsi="仿宋" w:eastAsia="仿宋" w:cs="仿宋"/>
                <w:color w:val="auto"/>
                <w:sz w:val="24"/>
                <w:highlight w:val="none"/>
              </w:rPr>
            </w:pPr>
          </w:p>
        </w:tc>
        <w:tc>
          <w:tcPr>
            <w:tcW w:w="660" w:type="dxa"/>
            <w:noWrap w:val="0"/>
            <w:vAlign w:val="top"/>
          </w:tcPr>
          <w:p w14:paraId="5B1753BB">
            <w:pPr>
              <w:spacing w:line="20" w:lineRule="atLeast"/>
              <w:rPr>
                <w:rFonts w:hint="eastAsia" w:ascii="仿宋" w:hAnsi="仿宋" w:eastAsia="仿宋" w:cs="仿宋"/>
                <w:color w:val="auto"/>
                <w:sz w:val="24"/>
                <w:highlight w:val="none"/>
              </w:rPr>
            </w:pPr>
          </w:p>
        </w:tc>
        <w:tc>
          <w:tcPr>
            <w:tcW w:w="1350" w:type="dxa"/>
            <w:noWrap w:val="0"/>
            <w:vAlign w:val="top"/>
          </w:tcPr>
          <w:p w14:paraId="530F44FB">
            <w:pPr>
              <w:spacing w:line="20" w:lineRule="atLeast"/>
              <w:rPr>
                <w:rFonts w:hint="eastAsia" w:ascii="仿宋" w:hAnsi="仿宋" w:eastAsia="仿宋" w:cs="仿宋"/>
                <w:color w:val="auto"/>
                <w:sz w:val="24"/>
                <w:highlight w:val="none"/>
              </w:rPr>
            </w:pPr>
          </w:p>
        </w:tc>
      </w:tr>
      <w:tr w14:paraId="2EFB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B8B7286">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06D95089">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C27756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1314F09">
            <w:pPr>
              <w:spacing w:line="20" w:lineRule="atLeast"/>
              <w:rPr>
                <w:rFonts w:hint="eastAsia" w:ascii="仿宋" w:hAnsi="仿宋" w:eastAsia="仿宋" w:cs="仿宋"/>
                <w:color w:val="auto"/>
                <w:sz w:val="24"/>
                <w:highlight w:val="none"/>
              </w:rPr>
            </w:pPr>
          </w:p>
        </w:tc>
        <w:tc>
          <w:tcPr>
            <w:tcW w:w="744" w:type="dxa"/>
            <w:noWrap w:val="0"/>
            <w:vAlign w:val="top"/>
          </w:tcPr>
          <w:p w14:paraId="4155A05A">
            <w:pPr>
              <w:spacing w:line="20" w:lineRule="atLeast"/>
              <w:rPr>
                <w:rFonts w:hint="eastAsia" w:ascii="仿宋" w:hAnsi="仿宋" w:eastAsia="仿宋" w:cs="仿宋"/>
                <w:color w:val="auto"/>
                <w:sz w:val="24"/>
                <w:highlight w:val="none"/>
              </w:rPr>
            </w:pPr>
          </w:p>
        </w:tc>
        <w:tc>
          <w:tcPr>
            <w:tcW w:w="826" w:type="dxa"/>
            <w:noWrap w:val="0"/>
            <w:vAlign w:val="top"/>
          </w:tcPr>
          <w:p w14:paraId="5369274D">
            <w:pPr>
              <w:spacing w:line="20" w:lineRule="atLeast"/>
              <w:rPr>
                <w:rFonts w:hint="eastAsia" w:ascii="仿宋" w:hAnsi="仿宋" w:eastAsia="仿宋" w:cs="仿宋"/>
                <w:color w:val="auto"/>
                <w:sz w:val="24"/>
                <w:highlight w:val="none"/>
              </w:rPr>
            </w:pPr>
          </w:p>
        </w:tc>
        <w:tc>
          <w:tcPr>
            <w:tcW w:w="660" w:type="dxa"/>
            <w:noWrap w:val="0"/>
            <w:vAlign w:val="top"/>
          </w:tcPr>
          <w:p w14:paraId="44B61B40">
            <w:pPr>
              <w:spacing w:line="20" w:lineRule="atLeast"/>
              <w:rPr>
                <w:rFonts w:hint="eastAsia" w:ascii="仿宋" w:hAnsi="仿宋" w:eastAsia="仿宋" w:cs="仿宋"/>
                <w:color w:val="auto"/>
                <w:sz w:val="24"/>
                <w:highlight w:val="none"/>
              </w:rPr>
            </w:pPr>
          </w:p>
        </w:tc>
        <w:tc>
          <w:tcPr>
            <w:tcW w:w="1350" w:type="dxa"/>
            <w:noWrap w:val="0"/>
            <w:vAlign w:val="top"/>
          </w:tcPr>
          <w:p w14:paraId="766D828B">
            <w:pPr>
              <w:spacing w:line="20" w:lineRule="atLeast"/>
              <w:rPr>
                <w:rFonts w:hint="eastAsia" w:ascii="仿宋" w:hAnsi="仿宋" w:eastAsia="仿宋" w:cs="仿宋"/>
                <w:color w:val="auto"/>
                <w:sz w:val="24"/>
                <w:highlight w:val="none"/>
              </w:rPr>
            </w:pPr>
          </w:p>
        </w:tc>
      </w:tr>
      <w:tr w14:paraId="70635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4EBDAB0">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1DE3BAC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DF0BF4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B8710B8">
            <w:pPr>
              <w:spacing w:line="20" w:lineRule="atLeast"/>
              <w:rPr>
                <w:rFonts w:hint="eastAsia" w:ascii="仿宋" w:hAnsi="仿宋" w:eastAsia="仿宋" w:cs="仿宋"/>
                <w:color w:val="auto"/>
                <w:sz w:val="24"/>
                <w:highlight w:val="none"/>
              </w:rPr>
            </w:pPr>
          </w:p>
        </w:tc>
        <w:tc>
          <w:tcPr>
            <w:tcW w:w="744" w:type="dxa"/>
            <w:noWrap w:val="0"/>
            <w:vAlign w:val="top"/>
          </w:tcPr>
          <w:p w14:paraId="74020977">
            <w:pPr>
              <w:spacing w:line="20" w:lineRule="atLeast"/>
              <w:rPr>
                <w:rFonts w:hint="eastAsia" w:ascii="仿宋" w:hAnsi="仿宋" w:eastAsia="仿宋" w:cs="仿宋"/>
                <w:color w:val="auto"/>
                <w:sz w:val="24"/>
                <w:highlight w:val="none"/>
              </w:rPr>
            </w:pPr>
          </w:p>
        </w:tc>
        <w:tc>
          <w:tcPr>
            <w:tcW w:w="826" w:type="dxa"/>
            <w:noWrap w:val="0"/>
            <w:vAlign w:val="top"/>
          </w:tcPr>
          <w:p w14:paraId="794EF390">
            <w:pPr>
              <w:spacing w:line="20" w:lineRule="atLeast"/>
              <w:rPr>
                <w:rFonts w:hint="eastAsia" w:ascii="仿宋" w:hAnsi="仿宋" w:eastAsia="仿宋" w:cs="仿宋"/>
                <w:color w:val="auto"/>
                <w:sz w:val="24"/>
                <w:highlight w:val="none"/>
              </w:rPr>
            </w:pPr>
          </w:p>
        </w:tc>
        <w:tc>
          <w:tcPr>
            <w:tcW w:w="660" w:type="dxa"/>
            <w:noWrap w:val="0"/>
            <w:vAlign w:val="top"/>
          </w:tcPr>
          <w:p w14:paraId="0C2A25AF">
            <w:pPr>
              <w:spacing w:line="20" w:lineRule="atLeast"/>
              <w:rPr>
                <w:rFonts w:hint="eastAsia" w:ascii="仿宋" w:hAnsi="仿宋" w:eastAsia="仿宋" w:cs="仿宋"/>
                <w:color w:val="auto"/>
                <w:sz w:val="24"/>
                <w:highlight w:val="none"/>
              </w:rPr>
            </w:pPr>
          </w:p>
        </w:tc>
        <w:tc>
          <w:tcPr>
            <w:tcW w:w="1350" w:type="dxa"/>
            <w:noWrap w:val="0"/>
            <w:vAlign w:val="top"/>
          </w:tcPr>
          <w:p w14:paraId="229A6413">
            <w:pPr>
              <w:spacing w:line="20" w:lineRule="atLeast"/>
              <w:rPr>
                <w:rFonts w:hint="eastAsia" w:ascii="仿宋" w:hAnsi="仿宋" w:eastAsia="仿宋" w:cs="仿宋"/>
                <w:color w:val="auto"/>
                <w:sz w:val="24"/>
                <w:highlight w:val="none"/>
              </w:rPr>
            </w:pPr>
          </w:p>
        </w:tc>
      </w:tr>
      <w:tr w14:paraId="131F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010A56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2ADE7023">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AC42A5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48C9C3F">
            <w:pPr>
              <w:spacing w:line="20" w:lineRule="atLeast"/>
              <w:rPr>
                <w:rFonts w:hint="eastAsia" w:ascii="仿宋" w:hAnsi="仿宋" w:eastAsia="仿宋" w:cs="仿宋"/>
                <w:color w:val="auto"/>
                <w:sz w:val="24"/>
                <w:highlight w:val="none"/>
              </w:rPr>
            </w:pPr>
          </w:p>
        </w:tc>
        <w:tc>
          <w:tcPr>
            <w:tcW w:w="744" w:type="dxa"/>
            <w:noWrap w:val="0"/>
            <w:vAlign w:val="top"/>
          </w:tcPr>
          <w:p w14:paraId="5263BDE9">
            <w:pPr>
              <w:spacing w:line="20" w:lineRule="atLeast"/>
              <w:rPr>
                <w:rFonts w:hint="eastAsia" w:ascii="仿宋" w:hAnsi="仿宋" w:eastAsia="仿宋" w:cs="仿宋"/>
                <w:color w:val="auto"/>
                <w:sz w:val="24"/>
                <w:highlight w:val="none"/>
              </w:rPr>
            </w:pPr>
          </w:p>
        </w:tc>
        <w:tc>
          <w:tcPr>
            <w:tcW w:w="826" w:type="dxa"/>
            <w:noWrap w:val="0"/>
            <w:vAlign w:val="top"/>
          </w:tcPr>
          <w:p w14:paraId="3CEBA289">
            <w:pPr>
              <w:spacing w:line="20" w:lineRule="atLeast"/>
              <w:rPr>
                <w:rFonts w:hint="eastAsia" w:ascii="仿宋" w:hAnsi="仿宋" w:eastAsia="仿宋" w:cs="仿宋"/>
                <w:color w:val="auto"/>
                <w:sz w:val="24"/>
                <w:highlight w:val="none"/>
              </w:rPr>
            </w:pPr>
          </w:p>
        </w:tc>
        <w:tc>
          <w:tcPr>
            <w:tcW w:w="660" w:type="dxa"/>
            <w:noWrap w:val="0"/>
            <w:vAlign w:val="top"/>
          </w:tcPr>
          <w:p w14:paraId="51CD9D36">
            <w:pPr>
              <w:spacing w:line="20" w:lineRule="atLeast"/>
              <w:rPr>
                <w:rFonts w:hint="eastAsia" w:ascii="仿宋" w:hAnsi="仿宋" w:eastAsia="仿宋" w:cs="仿宋"/>
                <w:color w:val="auto"/>
                <w:sz w:val="24"/>
                <w:highlight w:val="none"/>
              </w:rPr>
            </w:pPr>
          </w:p>
        </w:tc>
        <w:tc>
          <w:tcPr>
            <w:tcW w:w="1350" w:type="dxa"/>
            <w:noWrap w:val="0"/>
            <w:vAlign w:val="top"/>
          </w:tcPr>
          <w:p w14:paraId="36E44F68">
            <w:pPr>
              <w:spacing w:line="20" w:lineRule="atLeast"/>
              <w:rPr>
                <w:rFonts w:hint="eastAsia" w:ascii="仿宋" w:hAnsi="仿宋" w:eastAsia="仿宋" w:cs="仿宋"/>
                <w:color w:val="auto"/>
                <w:sz w:val="24"/>
                <w:highlight w:val="none"/>
              </w:rPr>
            </w:pPr>
          </w:p>
        </w:tc>
      </w:tr>
      <w:tr w14:paraId="607E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87D3075">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0DCFF8C3">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3FB9A03">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EAD2BC1">
            <w:pPr>
              <w:spacing w:line="20" w:lineRule="atLeast"/>
              <w:rPr>
                <w:rFonts w:hint="eastAsia" w:ascii="仿宋" w:hAnsi="仿宋" w:eastAsia="仿宋" w:cs="仿宋"/>
                <w:color w:val="auto"/>
                <w:sz w:val="24"/>
                <w:highlight w:val="none"/>
              </w:rPr>
            </w:pPr>
          </w:p>
        </w:tc>
        <w:tc>
          <w:tcPr>
            <w:tcW w:w="744" w:type="dxa"/>
            <w:noWrap w:val="0"/>
            <w:vAlign w:val="top"/>
          </w:tcPr>
          <w:p w14:paraId="1EDC42EE">
            <w:pPr>
              <w:spacing w:line="20" w:lineRule="atLeast"/>
              <w:rPr>
                <w:rFonts w:hint="eastAsia" w:ascii="仿宋" w:hAnsi="仿宋" w:eastAsia="仿宋" w:cs="仿宋"/>
                <w:color w:val="auto"/>
                <w:sz w:val="24"/>
                <w:highlight w:val="none"/>
              </w:rPr>
            </w:pPr>
          </w:p>
        </w:tc>
        <w:tc>
          <w:tcPr>
            <w:tcW w:w="826" w:type="dxa"/>
            <w:noWrap w:val="0"/>
            <w:vAlign w:val="top"/>
          </w:tcPr>
          <w:p w14:paraId="10B6D333">
            <w:pPr>
              <w:spacing w:line="20" w:lineRule="atLeast"/>
              <w:rPr>
                <w:rFonts w:hint="eastAsia" w:ascii="仿宋" w:hAnsi="仿宋" w:eastAsia="仿宋" w:cs="仿宋"/>
                <w:color w:val="auto"/>
                <w:sz w:val="24"/>
                <w:highlight w:val="none"/>
              </w:rPr>
            </w:pPr>
          </w:p>
        </w:tc>
        <w:tc>
          <w:tcPr>
            <w:tcW w:w="660" w:type="dxa"/>
            <w:noWrap w:val="0"/>
            <w:vAlign w:val="top"/>
          </w:tcPr>
          <w:p w14:paraId="11F8D5E1">
            <w:pPr>
              <w:spacing w:line="20" w:lineRule="atLeast"/>
              <w:rPr>
                <w:rFonts w:hint="eastAsia" w:ascii="仿宋" w:hAnsi="仿宋" w:eastAsia="仿宋" w:cs="仿宋"/>
                <w:color w:val="auto"/>
                <w:sz w:val="24"/>
                <w:highlight w:val="none"/>
              </w:rPr>
            </w:pPr>
          </w:p>
        </w:tc>
        <w:tc>
          <w:tcPr>
            <w:tcW w:w="1350" w:type="dxa"/>
            <w:noWrap w:val="0"/>
            <w:vAlign w:val="top"/>
          </w:tcPr>
          <w:p w14:paraId="0CFDA168">
            <w:pPr>
              <w:spacing w:line="20" w:lineRule="atLeast"/>
              <w:rPr>
                <w:rFonts w:hint="eastAsia" w:ascii="仿宋" w:hAnsi="仿宋" w:eastAsia="仿宋" w:cs="仿宋"/>
                <w:color w:val="auto"/>
                <w:sz w:val="24"/>
                <w:highlight w:val="none"/>
              </w:rPr>
            </w:pPr>
          </w:p>
        </w:tc>
      </w:tr>
      <w:tr w14:paraId="25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FE49A73">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682E93A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9A84A4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2815A21">
            <w:pPr>
              <w:spacing w:line="20" w:lineRule="atLeast"/>
              <w:rPr>
                <w:rFonts w:hint="eastAsia" w:ascii="仿宋" w:hAnsi="仿宋" w:eastAsia="仿宋" w:cs="仿宋"/>
                <w:color w:val="auto"/>
                <w:sz w:val="24"/>
                <w:highlight w:val="none"/>
              </w:rPr>
            </w:pPr>
          </w:p>
        </w:tc>
        <w:tc>
          <w:tcPr>
            <w:tcW w:w="744" w:type="dxa"/>
            <w:noWrap w:val="0"/>
            <w:vAlign w:val="top"/>
          </w:tcPr>
          <w:p w14:paraId="53CE378E">
            <w:pPr>
              <w:spacing w:line="20" w:lineRule="atLeast"/>
              <w:rPr>
                <w:rFonts w:hint="eastAsia" w:ascii="仿宋" w:hAnsi="仿宋" w:eastAsia="仿宋" w:cs="仿宋"/>
                <w:color w:val="auto"/>
                <w:sz w:val="24"/>
                <w:highlight w:val="none"/>
              </w:rPr>
            </w:pPr>
          </w:p>
        </w:tc>
        <w:tc>
          <w:tcPr>
            <w:tcW w:w="826" w:type="dxa"/>
            <w:noWrap w:val="0"/>
            <w:vAlign w:val="top"/>
          </w:tcPr>
          <w:p w14:paraId="2AADB7FB">
            <w:pPr>
              <w:spacing w:line="20" w:lineRule="atLeast"/>
              <w:rPr>
                <w:rFonts w:hint="eastAsia" w:ascii="仿宋" w:hAnsi="仿宋" w:eastAsia="仿宋" w:cs="仿宋"/>
                <w:color w:val="auto"/>
                <w:sz w:val="24"/>
                <w:highlight w:val="none"/>
              </w:rPr>
            </w:pPr>
          </w:p>
        </w:tc>
        <w:tc>
          <w:tcPr>
            <w:tcW w:w="660" w:type="dxa"/>
            <w:noWrap w:val="0"/>
            <w:vAlign w:val="top"/>
          </w:tcPr>
          <w:p w14:paraId="47BC2B1F">
            <w:pPr>
              <w:spacing w:line="20" w:lineRule="atLeast"/>
              <w:rPr>
                <w:rFonts w:hint="eastAsia" w:ascii="仿宋" w:hAnsi="仿宋" w:eastAsia="仿宋" w:cs="仿宋"/>
                <w:color w:val="auto"/>
                <w:sz w:val="24"/>
                <w:highlight w:val="none"/>
              </w:rPr>
            </w:pPr>
          </w:p>
        </w:tc>
        <w:tc>
          <w:tcPr>
            <w:tcW w:w="1350" w:type="dxa"/>
            <w:noWrap w:val="0"/>
            <w:vAlign w:val="top"/>
          </w:tcPr>
          <w:p w14:paraId="553C5E5E">
            <w:pPr>
              <w:spacing w:line="20" w:lineRule="atLeast"/>
              <w:rPr>
                <w:rFonts w:hint="eastAsia" w:ascii="仿宋" w:hAnsi="仿宋" w:eastAsia="仿宋" w:cs="仿宋"/>
                <w:color w:val="auto"/>
                <w:sz w:val="24"/>
                <w:highlight w:val="none"/>
              </w:rPr>
            </w:pPr>
          </w:p>
        </w:tc>
      </w:tr>
      <w:tr w14:paraId="47A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18CBF38">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23CC89A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ED74D9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0A6B10D">
            <w:pPr>
              <w:spacing w:line="20" w:lineRule="atLeast"/>
              <w:rPr>
                <w:rFonts w:hint="eastAsia" w:ascii="仿宋" w:hAnsi="仿宋" w:eastAsia="仿宋" w:cs="仿宋"/>
                <w:color w:val="auto"/>
                <w:sz w:val="24"/>
                <w:highlight w:val="none"/>
              </w:rPr>
            </w:pPr>
          </w:p>
        </w:tc>
        <w:tc>
          <w:tcPr>
            <w:tcW w:w="744" w:type="dxa"/>
            <w:noWrap w:val="0"/>
            <w:vAlign w:val="top"/>
          </w:tcPr>
          <w:p w14:paraId="2FC0D76C">
            <w:pPr>
              <w:spacing w:line="20" w:lineRule="atLeast"/>
              <w:rPr>
                <w:rFonts w:hint="eastAsia" w:ascii="仿宋" w:hAnsi="仿宋" w:eastAsia="仿宋" w:cs="仿宋"/>
                <w:color w:val="auto"/>
                <w:sz w:val="24"/>
                <w:highlight w:val="none"/>
              </w:rPr>
            </w:pPr>
          </w:p>
        </w:tc>
        <w:tc>
          <w:tcPr>
            <w:tcW w:w="826" w:type="dxa"/>
            <w:noWrap w:val="0"/>
            <w:vAlign w:val="top"/>
          </w:tcPr>
          <w:p w14:paraId="0B10878F">
            <w:pPr>
              <w:spacing w:line="20" w:lineRule="atLeast"/>
              <w:rPr>
                <w:rFonts w:hint="eastAsia" w:ascii="仿宋" w:hAnsi="仿宋" w:eastAsia="仿宋" w:cs="仿宋"/>
                <w:color w:val="auto"/>
                <w:sz w:val="24"/>
                <w:highlight w:val="none"/>
              </w:rPr>
            </w:pPr>
          </w:p>
        </w:tc>
        <w:tc>
          <w:tcPr>
            <w:tcW w:w="660" w:type="dxa"/>
            <w:noWrap w:val="0"/>
            <w:vAlign w:val="top"/>
          </w:tcPr>
          <w:p w14:paraId="1D3B6E30">
            <w:pPr>
              <w:spacing w:line="20" w:lineRule="atLeast"/>
              <w:rPr>
                <w:rFonts w:hint="eastAsia" w:ascii="仿宋" w:hAnsi="仿宋" w:eastAsia="仿宋" w:cs="仿宋"/>
                <w:color w:val="auto"/>
                <w:sz w:val="24"/>
                <w:highlight w:val="none"/>
              </w:rPr>
            </w:pPr>
          </w:p>
        </w:tc>
        <w:tc>
          <w:tcPr>
            <w:tcW w:w="1350" w:type="dxa"/>
            <w:noWrap w:val="0"/>
            <w:vAlign w:val="top"/>
          </w:tcPr>
          <w:p w14:paraId="64BC2562">
            <w:pPr>
              <w:spacing w:line="20" w:lineRule="atLeast"/>
              <w:rPr>
                <w:rFonts w:hint="eastAsia" w:ascii="仿宋" w:hAnsi="仿宋" w:eastAsia="仿宋" w:cs="仿宋"/>
                <w:color w:val="auto"/>
                <w:sz w:val="24"/>
                <w:highlight w:val="none"/>
              </w:rPr>
            </w:pPr>
          </w:p>
        </w:tc>
      </w:tr>
      <w:tr w14:paraId="4CFA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59E2D2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6C0D6BF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A50C40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2ABAC16">
            <w:pPr>
              <w:spacing w:line="20" w:lineRule="atLeast"/>
              <w:rPr>
                <w:rFonts w:hint="eastAsia" w:ascii="仿宋" w:hAnsi="仿宋" w:eastAsia="仿宋" w:cs="仿宋"/>
                <w:color w:val="auto"/>
                <w:sz w:val="24"/>
                <w:highlight w:val="none"/>
              </w:rPr>
            </w:pPr>
          </w:p>
        </w:tc>
        <w:tc>
          <w:tcPr>
            <w:tcW w:w="744" w:type="dxa"/>
            <w:noWrap w:val="0"/>
            <w:vAlign w:val="top"/>
          </w:tcPr>
          <w:p w14:paraId="49AFC29F">
            <w:pPr>
              <w:spacing w:line="20" w:lineRule="atLeast"/>
              <w:rPr>
                <w:rFonts w:hint="eastAsia" w:ascii="仿宋" w:hAnsi="仿宋" w:eastAsia="仿宋" w:cs="仿宋"/>
                <w:color w:val="auto"/>
                <w:sz w:val="24"/>
                <w:highlight w:val="none"/>
              </w:rPr>
            </w:pPr>
          </w:p>
        </w:tc>
        <w:tc>
          <w:tcPr>
            <w:tcW w:w="826" w:type="dxa"/>
            <w:noWrap w:val="0"/>
            <w:vAlign w:val="top"/>
          </w:tcPr>
          <w:p w14:paraId="3B27C011">
            <w:pPr>
              <w:spacing w:line="20" w:lineRule="atLeast"/>
              <w:rPr>
                <w:rFonts w:hint="eastAsia" w:ascii="仿宋" w:hAnsi="仿宋" w:eastAsia="仿宋" w:cs="仿宋"/>
                <w:color w:val="auto"/>
                <w:sz w:val="24"/>
                <w:highlight w:val="none"/>
              </w:rPr>
            </w:pPr>
          </w:p>
        </w:tc>
        <w:tc>
          <w:tcPr>
            <w:tcW w:w="660" w:type="dxa"/>
            <w:noWrap w:val="0"/>
            <w:vAlign w:val="top"/>
          </w:tcPr>
          <w:p w14:paraId="2CEA790F">
            <w:pPr>
              <w:spacing w:line="20" w:lineRule="atLeast"/>
              <w:rPr>
                <w:rFonts w:hint="eastAsia" w:ascii="仿宋" w:hAnsi="仿宋" w:eastAsia="仿宋" w:cs="仿宋"/>
                <w:color w:val="auto"/>
                <w:sz w:val="24"/>
                <w:highlight w:val="none"/>
              </w:rPr>
            </w:pPr>
          </w:p>
        </w:tc>
        <w:tc>
          <w:tcPr>
            <w:tcW w:w="1350" w:type="dxa"/>
            <w:noWrap w:val="0"/>
            <w:vAlign w:val="top"/>
          </w:tcPr>
          <w:p w14:paraId="330FB2F6">
            <w:pPr>
              <w:spacing w:line="20" w:lineRule="atLeast"/>
              <w:rPr>
                <w:rFonts w:hint="eastAsia" w:ascii="仿宋" w:hAnsi="仿宋" w:eastAsia="仿宋" w:cs="仿宋"/>
                <w:color w:val="auto"/>
                <w:sz w:val="24"/>
                <w:highlight w:val="none"/>
              </w:rPr>
            </w:pPr>
          </w:p>
        </w:tc>
      </w:tr>
      <w:tr w14:paraId="0F04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E7FBFA7">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22182BA9">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0A6BE025">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26FB448B">
            <w:pPr>
              <w:spacing w:line="20" w:lineRule="atLeast"/>
              <w:rPr>
                <w:rFonts w:hint="eastAsia" w:ascii="仿宋" w:hAnsi="仿宋" w:eastAsia="仿宋" w:cs="仿宋"/>
                <w:color w:val="auto"/>
                <w:sz w:val="24"/>
                <w:highlight w:val="none"/>
              </w:rPr>
            </w:pPr>
          </w:p>
        </w:tc>
        <w:tc>
          <w:tcPr>
            <w:tcW w:w="744" w:type="dxa"/>
            <w:noWrap w:val="0"/>
            <w:vAlign w:val="top"/>
          </w:tcPr>
          <w:p w14:paraId="2984088F">
            <w:pPr>
              <w:spacing w:line="20" w:lineRule="atLeast"/>
              <w:rPr>
                <w:rFonts w:hint="eastAsia" w:ascii="仿宋" w:hAnsi="仿宋" w:eastAsia="仿宋" w:cs="仿宋"/>
                <w:color w:val="auto"/>
                <w:sz w:val="24"/>
                <w:highlight w:val="none"/>
              </w:rPr>
            </w:pPr>
          </w:p>
        </w:tc>
        <w:tc>
          <w:tcPr>
            <w:tcW w:w="826" w:type="dxa"/>
            <w:noWrap w:val="0"/>
            <w:vAlign w:val="top"/>
          </w:tcPr>
          <w:p w14:paraId="42B10DCF">
            <w:pPr>
              <w:spacing w:line="20" w:lineRule="atLeast"/>
              <w:rPr>
                <w:rFonts w:hint="eastAsia" w:ascii="仿宋" w:hAnsi="仿宋" w:eastAsia="仿宋" w:cs="仿宋"/>
                <w:color w:val="auto"/>
                <w:sz w:val="24"/>
                <w:highlight w:val="none"/>
              </w:rPr>
            </w:pPr>
          </w:p>
        </w:tc>
        <w:tc>
          <w:tcPr>
            <w:tcW w:w="660" w:type="dxa"/>
            <w:noWrap w:val="0"/>
            <w:vAlign w:val="top"/>
          </w:tcPr>
          <w:p w14:paraId="5A9068A5">
            <w:pPr>
              <w:spacing w:line="20" w:lineRule="atLeast"/>
              <w:rPr>
                <w:rFonts w:hint="eastAsia" w:ascii="仿宋" w:hAnsi="仿宋" w:eastAsia="仿宋" w:cs="仿宋"/>
                <w:color w:val="auto"/>
                <w:sz w:val="24"/>
                <w:highlight w:val="none"/>
              </w:rPr>
            </w:pPr>
          </w:p>
        </w:tc>
        <w:tc>
          <w:tcPr>
            <w:tcW w:w="1350" w:type="dxa"/>
            <w:noWrap w:val="0"/>
            <w:vAlign w:val="top"/>
          </w:tcPr>
          <w:p w14:paraId="602C8C8A">
            <w:pPr>
              <w:spacing w:line="20" w:lineRule="atLeast"/>
              <w:rPr>
                <w:rFonts w:hint="eastAsia" w:ascii="仿宋" w:hAnsi="仿宋" w:eastAsia="仿宋" w:cs="仿宋"/>
                <w:color w:val="auto"/>
                <w:sz w:val="24"/>
                <w:highlight w:val="none"/>
              </w:rPr>
            </w:pPr>
          </w:p>
        </w:tc>
      </w:tr>
      <w:tr w14:paraId="0B02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33F12AA">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4CFB6B3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85C086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E668DA8">
            <w:pPr>
              <w:spacing w:line="20" w:lineRule="atLeast"/>
              <w:rPr>
                <w:rFonts w:hint="eastAsia" w:ascii="仿宋" w:hAnsi="仿宋" w:eastAsia="仿宋" w:cs="仿宋"/>
                <w:color w:val="auto"/>
                <w:sz w:val="24"/>
                <w:highlight w:val="none"/>
              </w:rPr>
            </w:pPr>
          </w:p>
        </w:tc>
        <w:tc>
          <w:tcPr>
            <w:tcW w:w="744" w:type="dxa"/>
            <w:noWrap w:val="0"/>
            <w:vAlign w:val="top"/>
          </w:tcPr>
          <w:p w14:paraId="28F342FB">
            <w:pPr>
              <w:spacing w:line="20" w:lineRule="atLeast"/>
              <w:rPr>
                <w:rFonts w:hint="eastAsia" w:ascii="仿宋" w:hAnsi="仿宋" w:eastAsia="仿宋" w:cs="仿宋"/>
                <w:color w:val="auto"/>
                <w:sz w:val="24"/>
                <w:highlight w:val="none"/>
              </w:rPr>
            </w:pPr>
          </w:p>
        </w:tc>
        <w:tc>
          <w:tcPr>
            <w:tcW w:w="826" w:type="dxa"/>
            <w:noWrap w:val="0"/>
            <w:vAlign w:val="top"/>
          </w:tcPr>
          <w:p w14:paraId="4E059807">
            <w:pPr>
              <w:spacing w:line="20" w:lineRule="atLeast"/>
              <w:rPr>
                <w:rFonts w:hint="eastAsia" w:ascii="仿宋" w:hAnsi="仿宋" w:eastAsia="仿宋" w:cs="仿宋"/>
                <w:color w:val="auto"/>
                <w:sz w:val="24"/>
                <w:highlight w:val="none"/>
              </w:rPr>
            </w:pPr>
          </w:p>
        </w:tc>
        <w:tc>
          <w:tcPr>
            <w:tcW w:w="660" w:type="dxa"/>
            <w:noWrap w:val="0"/>
            <w:vAlign w:val="top"/>
          </w:tcPr>
          <w:p w14:paraId="02EE03BD">
            <w:pPr>
              <w:spacing w:line="20" w:lineRule="atLeast"/>
              <w:rPr>
                <w:rFonts w:hint="eastAsia" w:ascii="仿宋" w:hAnsi="仿宋" w:eastAsia="仿宋" w:cs="仿宋"/>
                <w:color w:val="auto"/>
                <w:sz w:val="24"/>
                <w:highlight w:val="none"/>
              </w:rPr>
            </w:pPr>
          </w:p>
        </w:tc>
        <w:tc>
          <w:tcPr>
            <w:tcW w:w="1350" w:type="dxa"/>
            <w:noWrap w:val="0"/>
            <w:vAlign w:val="top"/>
          </w:tcPr>
          <w:p w14:paraId="410D83DA">
            <w:pPr>
              <w:spacing w:line="20" w:lineRule="atLeast"/>
              <w:rPr>
                <w:rFonts w:hint="eastAsia" w:ascii="仿宋" w:hAnsi="仿宋" w:eastAsia="仿宋" w:cs="仿宋"/>
                <w:color w:val="auto"/>
                <w:sz w:val="24"/>
                <w:highlight w:val="none"/>
              </w:rPr>
            </w:pPr>
          </w:p>
        </w:tc>
      </w:tr>
      <w:tr w14:paraId="32F4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1165BDA">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66A5D2F0">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C8CDC78">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A5C60B5">
            <w:pPr>
              <w:spacing w:line="20" w:lineRule="atLeast"/>
              <w:rPr>
                <w:rFonts w:hint="eastAsia" w:ascii="仿宋" w:hAnsi="仿宋" w:eastAsia="仿宋" w:cs="仿宋"/>
                <w:color w:val="auto"/>
                <w:sz w:val="24"/>
                <w:highlight w:val="none"/>
              </w:rPr>
            </w:pPr>
          </w:p>
        </w:tc>
        <w:tc>
          <w:tcPr>
            <w:tcW w:w="744" w:type="dxa"/>
            <w:noWrap w:val="0"/>
            <w:vAlign w:val="top"/>
          </w:tcPr>
          <w:p w14:paraId="33AA3821">
            <w:pPr>
              <w:spacing w:line="20" w:lineRule="atLeast"/>
              <w:rPr>
                <w:rFonts w:hint="eastAsia" w:ascii="仿宋" w:hAnsi="仿宋" w:eastAsia="仿宋" w:cs="仿宋"/>
                <w:color w:val="auto"/>
                <w:sz w:val="24"/>
                <w:highlight w:val="none"/>
              </w:rPr>
            </w:pPr>
          </w:p>
        </w:tc>
        <w:tc>
          <w:tcPr>
            <w:tcW w:w="826" w:type="dxa"/>
            <w:noWrap w:val="0"/>
            <w:vAlign w:val="top"/>
          </w:tcPr>
          <w:p w14:paraId="281EB0A0">
            <w:pPr>
              <w:spacing w:line="20" w:lineRule="atLeast"/>
              <w:rPr>
                <w:rFonts w:hint="eastAsia" w:ascii="仿宋" w:hAnsi="仿宋" w:eastAsia="仿宋" w:cs="仿宋"/>
                <w:color w:val="auto"/>
                <w:sz w:val="24"/>
                <w:highlight w:val="none"/>
              </w:rPr>
            </w:pPr>
          </w:p>
        </w:tc>
        <w:tc>
          <w:tcPr>
            <w:tcW w:w="660" w:type="dxa"/>
            <w:noWrap w:val="0"/>
            <w:vAlign w:val="top"/>
          </w:tcPr>
          <w:p w14:paraId="2357048D">
            <w:pPr>
              <w:spacing w:line="20" w:lineRule="atLeast"/>
              <w:rPr>
                <w:rFonts w:hint="eastAsia" w:ascii="仿宋" w:hAnsi="仿宋" w:eastAsia="仿宋" w:cs="仿宋"/>
                <w:color w:val="auto"/>
                <w:sz w:val="24"/>
                <w:highlight w:val="none"/>
              </w:rPr>
            </w:pPr>
          </w:p>
        </w:tc>
        <w:tc>
          <w:tcPr>
            <w:tcW w:w="1350" w:type="dxa"/>
            <w:noWrap w:val="0"/>
            <w:vAlign w:val="top"/>
          </w:tcPr>
          <w:p w14:paraId="7E528EFE">
            <w:pPr>
              <w:spacing w:line="20" w:lineRule="atLeast"/>
              <w:rPr>
                <w:rFonts w:hint="eastAsia" w:ascii="仿宋" w:hAnsi="仿宋" w:eastAsia="仿宋" w:cs="仿宋"/>
                <w:color w:val="auto"/>
                <w:sz w:val="24"/>
                <w:highlight w:val="none"/>
              </w:rPr>
            </w:pPr>
          </w:p>
        </w:tc>
      </w:tr>
    </w:tbl>
    <w:p w14:paraId="12D03AD7">
      <w:pPr>
        <w:adjustRightInd w:val="0"/>
        <w:snapToGrid w:val="0"/>
        <w:spacing w:line="300" w:lineRule="auto"/>
        <w:rPr>
          <w:rFonts w:hint="eastAsia" w:ascii="仿宋" w:hAnsi="仿宋" w:eastAsia="仿宋" w:cs="仿宋"/>
          <w:color w:val="auto"/>
          <w:sz w:val="24"/>
          <w:highlight w:val="none"/>
        </w:rPr>
      </w:pPr>
    </w:p>
    <w:p w14:paraId="13FBFC67">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lang w:val="en-GB" w:eastAsia="zh-CN"/>
        </w:rPr>
        <w:t>做</w:t>
      </w:r>
      <w:r>
        <w:rPr>
          <w:rFonts w:hint="eastAsia" w:ascii="仿宋" w:hAnsi="仿宋" w:eastAsia="仿宋" w:cs="仿宋"/>
          <w:color w:val="auto"/>
          <w:sz w:val="24"/>
          <w:highlight w:val="none"/>
          <w:lang w:val="en-GB"/>
        </w:rPr>
        <w:t>任何更改。否则视为不符合响应要求。</w:t>
      </w:r>
    </w:p>
    <w:p w14:paraId="4CB9A0A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7993A262">
      <w:pPr>
        <w:adjustRightInd w:val="0"/>
        <w:snapToGrid w:val="0"/>
        <w:spacing w:line="300" w:lineRule="auto"/>
        <w:rPr>
          <w:rFonts w:ascii="仿宋" w:hAnsi="仿宋" w:eastAsia="仿宋" w:cs="仿宋"/>
          <w:b/>
          <w:color w:val="auto"/>
          <w:sz w:val="24"/>
          <w:highlight w:val="none"/>
        </w:rPr>
      </w:pPr>
    </w:p>
    <w:p w14:paraId="234CA4A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A9AB0E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395713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3B73927">
      <w:pPr>
        <w:rPr>
          <w:rFonts w:hint="eastAsia" w:ascii="仿宋" w:hAnsi="仿宋" w:eastAsia="仿宋" w:cs="仿宋"/>
          <w:color w:val="auto"/>
          <w:sz w:val="24"/>
          <w:highlight w:val="none"/>
        </w:rPr>
      </w:pPr>
    </w:p>
    <w:p w14:paraId="0B4C9E04">
      <w:pPr>
        <w:pStyle w:val="2"/>
        <w:rPr>
          <w:rFonts w:hint="eastAsia" w:ascii="仿宋" w:hAnsi="仿宋" w:eastAsia="仿宋" w:cs="仿宋"/>
          <w:color w:val="auto"/>
          <w:sz w:val="24"/>
          <w:highlight w:val="none"/>
        </w:rPr>
      </w:pPr>
    </w:p>
    <w:p w14:paraId="43DB51BA">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3FDBB797">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1D2F3AD3">
      <w:pPr>
        <w:numPr>
          <w:ilvl w:val="0"/>
          <w:numId w:val="0"/>
        </w:numPr>
        <w:rPr>
          <w:rFonts w:hint="eastAsia" w:ascii="仿宋" w:hAnsi="仿宋" w:eastAsia="仿宋" w:cs="仿宋"/>
          <w:b/>
          <w:bCs/>
          <w:color w:val="auto"/>
          <w:kern w:val="2"/>
          <w:sz w:val="28"/>
          <w:szCs w:val="28"/>
          <w:highlight w:val="none"/>
          <w:lang w:val="en-US" w:eastAsia="zh-CN" w:bidi="ar-SA"/>
        </w:rPr>
      </w:pPr>
    </w:p>
    <w:p w14:paraId="4ED1E010">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1E0E7667">
      <w:pPr>
        <w:jc w:val="center"/>
        <w:rPr>
          <w:rFonts w:hint="eastAsia" w:ascii="仿宋" w:hAnsi="仿宋" w:eastAsia="仿宋" w:cs="仿宋"/>
          <w:b/>
          <w:bCs/>
          <w:color w:val="auto"/>
          <w:sz w:val="32"/>
          <w:szCs w:val="32"/>
          <w:highlight w:val="none"/>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EDE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62F52FBB">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2046889B">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0A8F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02AD63FA">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3C7AFC1B">
            <w:pPr>
              <w:pStyle w:val="28"/>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6522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3234D720">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6B810BE6">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7A71DC7C">
      <w:pPr>
        <w:pStyle w:val="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3D56E903">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10B50394">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w:t>
      </w:r>
      <w:r>
        <w:rPr>
          <w:rFonts w:hint="eastAsia" w:ascii="仿宋" w:hAnsi="仿宋" w:eastAsia="仿宋" w:cs="仿宋"/>
          <w:color w:val="auto"/>
          <w:sz w:val="24"/>
          <w:szCs w:val="24"/>
          <w:highlight w:val="none"/>
          <w:lang w:eastAsia="zh-CN"/>
        </w:rPr>
        <w:t>无效</w:t>
      </w:r>
      <w:r>
        <w:rPr>
          <w:rFonts w:hint="eastAsia" w:ascii="仿宋" w:hAnsi="仿宋" w:eastAsia="仿宋" w:cs="仿宋"/>
          <w:color w:val="auto"/>
          <w:sz w:val="24"/>
          <w:szCs w:val="24"/>
          <w:highlight w:val="none"/>
        </w:rPr>
        <w:t>处理。</w:t>
      </w:r>
    </w:p>
    <w:p w14:paraId="5C5157B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14:paraId="0969CD5A">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14:paraId="1AD3C35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3394F0F2">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0A126130">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14:paraId="1DB3012B">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0015F9AC">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0C8ED50B">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787B7C96">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7D38908">
      <w:pPr>
        <w:rPr>
          <w:color w:val="auto"/>
        </w:rPr>
      </w:pPr>
    </w:p>
    <w:p w14:paraId="5D15533D">
      <w:pPr>
        <w:rPr>
          <w:color w:val="auto"/>
        </w:rPr>
      </w:pPr>
    </w:p>
    <w:p w14:paraId="63FE7AE4">
      <w:pPr>
        <w:rPr>
          <w:color w:val="auto"/>
        </w:rPr>
      </w:pPr>
    </w:p>
    <w:p w14:paraId="40572769">
      <w:pPr>
        <w:rPr>
          <w:rFonts w:hint="eastAsia" w:ascii="仿宋" w:hAnsi="仿宋" w:eastAsia="仿宋" w:cs="仿宋"/>
          <w:b/>
          <w:bCs/>
          <w:color w:val="auto"/>
          <w:kern w:val="2"/>
          <w:sz w:val="28"/>
          <w:szCs w:val="28"/>
          <w:highlight w:val="yellow"/>
          <w:lang w:val="en-US" w:eastAsia="zh-CN" w:bidi="ar-SA"/>
        </w:rPr>
      </w:pPr>
    </w:p>
    <w:p w14:paraId="463DA8A0">
      <w:pPr>
        <w:rPr>
          <w:rFonts w:hint="eastAsia" w:ascii="仿宋" w:hAnsi="仿宋" w:eastAsia="仿宋" w:cs="仿宋"/>
          <w:b/>
          <w:bCs/>
          <w:color w:val="auto"/>
          <w:kern w:val="2"/>
          <w:sz w:val="28"/>
          <w:szCs w:val="28"/>
          <w:highlight w:val="yellow"/>
          <w:lang w:val="en-US" w:eastAsia="zh-CN" w:bidi="ar-SA"/>
        </w:rPr>
      </w:pPr>
      <w:r>
        <w:rPr>
          <w:rFonts w:hint="eastAsia" w:ascii="仿宋" w:hAnsi="仿宋" w:eastAsia="仿宋" w:cs="仿宋"/>
          <w:b/>
          <w:bCs/>
          <w:color w:val="auto"/>
          <w:kern w:val="2"/>
          <w:sz w:val="28"/>
          <w:szCs w:val="28"/>
          <w:highlight w:val="yellow"/>
          <w:lang w:val="en-US" w:eastAsia="zh-CN" w:bidi="ar-SA"/>
        </w:rPr>
        <w:t>7.定标部分</w:t>
      </w:r>
    </w:p>
    <w:p w14:paraId="4B7D5C10">
      <w:pPr>
        <w:pStyle w:val="4"/>
        <w:numPr>
          <w:ilvl w:val="2"/>
          <w:numId w:val="0"/>
        </w:numPr>
        <w:spacing w:line="360" w:lineRule="auto"/>
        <w:ind w:leftChars="0"/>
        <w:jc w:val="center"/>
        <w:outlineLvl w:val="1"/>
        <w:rPr>
          <w:rFonts w:hint="eastAsia" w:ascii="仿宋" w:hAnsi="仿宋" w:eastAsia="仿宋" w:cs="仿宋"/>
          <w:color w:val="auto"/>
          <w:spacing w:val="0"/>
          <w:sz w:val="24"/>
          <w:szCs w:val="24"/>
          <w:highlight w:val="yellow"/>
        </w:rPr>
      </w:pPr>
      <w:r>
        <w:rPr>
          <w:rFonts w:hint="eastAsia" w:ascii="仿宋" w:hAnsi="仿宋" w:eastAsia="仿宋" w:cs="仿宋"/>
          <w:color w:val="auto"/>
          <w:spacing w:val="0"/>
          <w:sz w:val="24"/>
          <w:szCs w:val="24"/>
          <w:highlight w:val="yellow"/>
        </w:rPr>
        <w:t>定标因素表</w:t>
      </w:r>
    </w:p>
    <w:p w14:paraId="5DC67046">
      <w:pPr>
        <w:pStyle w:val="4"/>
        <w:numPr>
          <w:ilvl w:val="2"/>
          <w:numId w:val="0"/>
        </w:numPr>
        <w:spacing w:line="360" w:lineRule="auto"/>
        <w:ind w:leftChars="0"/>
        <w:jc w:val="center"/>
        <w:outlineLvl w:val="1"/>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定标因素表</w:t>
      </w:r>
    </w:p>
    <w:tbl>
      <w:tblPr>
        <w:tblStyle w:val="17"/>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611"/>
        <w:gridCol w:w="1778"/>
        <w:gridCol w:w="2269"/>
        <w:gridCol w:w="1836"/>
        <w:gridCol w:w="1050"/>
      </w:tblGrid>
      <w:tr w14:paraId="6F5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7D780900">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序号</w:t>
            </w:r>
          </w:p>
        </w:tc>
        <w:tc>
          <w:tcPr>
            <w:tcW w:w="3389" w:type="dxa"/>
            <w:gridSpan w:val="2"/>
            <w:noWrap w:val="0"/>
            <w:vAlign w:val="center"/>
          </w:tcPr>
          <w:p w14:paraId="62F17EFD">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定标因素</w:t>
            </w:r>
          </w:p>
        </w:tc>
        <w:tc>
          <w:tcPr>
            <w:tcW w:w="2269" w:type="dxa"/>
            <w:noWrap w:val="0"/>
            <w:vAlign w:val="center"/>
          </w:tcPr>
          <w:p w14:paraId="364536F1">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投标人</w:t>
            </w:r>
            <w:r>
              <w:rPr>
                <w:rFonts w:hint="eastAsia" w:ascii="宋体" w:hAnsi="宋体" w:eastAsia="宋体" w:cs="宋体"/>
                <w:b/>
                <w:bCs/>
                <w:color w:val="auto"/>
                <w:spacing w:val="0"/>
                <w:sz w:val="20"/>
                <w:szCs w:val="20"/>
                <w:highlight w:val="none"/>
                <w:lang w:val="en-US" w:eastAsia="zh-CN"/>
              </w:rPr>
              <w:t>响应</w:t>
            </w:r>
            <w:r>
              <w:rPr>
                <w:rFonts w:hint="eastAsia" w:ascii="宋体" w:hAnsi="宋体" w:eastAsia="宋体" w:cs="宋体"/>
                <w:b/>
                <w:bCs/>
                <w:color w:val="auto"/>
                <w:spacing w:val="0"/>
                <w:sz w:val="20"/>
                <w:szCs w:val="20"/>
                <w:highlight w:val="none"/>
              </w:rPr>
              <w:t>情况</w:t>
            </w:r>
          </w:p>
        </w:tc>
        <w:tc>
          <w:tcPr>
            <w:tcW w:w="1836" w:type="dxa"/>
            <w:noWrap w:val="0"/>
            <w:vAlign w:val="center"/>
          </w:tcPr>
          <w:p w14:paraId="54E70AB5">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证明材料所在页码</w:t>
            </w:r>
          </w:p>
        </w:tc>
        <w:tc>
          <w:tcPr>
            <w:tcW w:w="1050" w:type="dxa"/>
            <w:noWrap w:val="0"/>
            <w:vAlign w:val="center"/>
          </w:tcPr>
          <w:p w14:paraId="4FFED2BF">
            <w:pPr>
              <w:adjustRightInd w:val="0"/>
              <w:snapToGrid w:val="0"/>
              <w:spacing w:line="360" w:lineRule="auto"/>
              <w:jc w:val="center"/>
              <w:rPr>
                <w:rFonts w:hint="eastAsia" w:ascii="宋体" w:hAnsi="宋体" w:eastAsia="宋体" w:cs="宋体"/>
                <w:b/>
                <w:bCs/>
                <w:color w:val="auto"/>
                <w:spacing w:val="0"/>
                <w:sz w:val="20"/>
                <w:szCs w:val="20"/>
                <w:highlight w:val="none"/>
              </w:rPr>
            </w:pPr>
            <w:r>
              <w:rPr>
                <w:rFonts w:hint="eastAsia" w:ascii="宋体" w:hAnsi="宋体" w:eastAsia="宋体" w:cs="宋体"/>
                <w:b/>
                <w:bCs/>
                <w:color w:val="auto"/>
                <w:spacing w:val="0"/>
                <w:sz w:val="20"/>
                <w:szCs w:val="20"/>
                <w:highlight w:val="none"/>
              </w:rPr>
              <w:t>备注</w:t>
            </w:r>
          </w:p>
        </w:tc>
      </w:tr>
      <w:tr w14:paraId="650C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7" w:type="dxa"/>
            <w:noWrap w:val="0"/>
            <w:vAlign w:val="center"/>
          </w:tcPr>
          <w:p w14:paraId="51734ABB">
            <w:pPr>
              <w:adjustRightInd w:val="0"/>
              <w:snapToGrid w:val="0"/>
              <w:spacing w:line="360" w:lineRule="auto"/>
              <w:jc w:val="center"/>
              <w:rPr>
                <w:rFonts w:hint="eastAsia" w:ascii="宋体" w:hAnsi="宋体" w:eastAsia="宋体" w:cs="宋体"/>
                <w:color w:val="auto"/>
                <w:spacing w:val="0"/>
                <w:sz w:val="20"/>
                <w:szCs w:val="20"/>
                <w:highlight w:val="none"/>
                <w:lang w:val="en-US" w:eastAsia="zh-CN"/>
              </w:rPr>
            </w:pPr>
            <w:r>
              <w:rPr>
                <w:rFonts w:hint="eastAsia" w:ascii="宋体" w:hAnsi="宋体" w:cs="宋体"/>
                <w:color w:val="auto"/>
                <w:spacing w:val="0"/>
                <w:sz w:val="20"/>
                <w:szCs w:val="20"/>
                <w:highlight w:val="none"/>
                <w:lang w:val="en-US" w:eastAsia="zh-CN"/>
              </w:rPr>
              <w:t>1</w:t>
            </w:r>
          </w:p>
        </w:tc>
        <w:tc>
          <w:tcPr>
            <w:tcW w:w="1611" w:type="dxa"/>
            <w:noWrap w:val="0"/>
            <w:vAlign w:val="center"/>
          </w:tcPr>
          <w:p w14:paraId="455A92FC">
            <w:pPr>
              <w:adjustRightInd w:val="0"/>
              <w:snapToGrid w:val="0"/>
              <w:spacing w:line="360" w:lineRule="auto"/>
              <w:jc w:val="center"/>
              <w:rPr>
                <w:rFonts w:hint="eastAsia" w:ascii="宋体" w:hAnsi="宋体" w:eastAsia="宋体" w:cs="宋体"/>
                <w:color w:val="auto"/>
                <w:spacing w:val="0"/>
                <w:kern w:val="2"/>
                <w:sz w:val="20"/>
                <w:szCs w:val="20"/>
                <w:highlight w:val="none"/>
                <w:lang w:val="en-US" w:eastAsia="zh-CN" w:bidi="ar-SA"/>
              </w:rPr>
            </w:pPr>
            <w:r>
              <w:rPr>
                <w:rFonts w:hint="eastAsia"/>
                <w:color w:val="auto"/>
                <w:highlight w:val="none"/>
                <w:lang w:val="en-US" w:eastAsia="zh-CN"/>
              </w:rPr>
              <w:t>企业实力</w:t>
            </w:r>
          </w:p>
        </w:tc>
        <w:tc>
          <w:tcPr>
            <w:tcW w:w="1778" w:type="dxa"/>
            <w:noWrap w:val="0"/>
            <w:vAlign w:val="center"/>
          </w:tcPr>
          <w:p w14:paraId="4E3A9FCF">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自行提交材料</w:t>
            </w:r>
          </w:p>
        </w:tc>
        <w:tc>
          <w:tcPr>
            <w:tcW w:w="2269" w:type="dxa"/>
            <w:noWrap w:val="0"/>
            <w:vAlign w:val="center"/>
          </w:tcPr>
          <w:p w14:paraId="66F1DFFE">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5306085">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248BE1A7">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0EF3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07CB393F">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2</w:t>
            </w:r>
          </w:p>
        </w:tc>
        <w:tc>
          <w:tcPr>
            <w:tcW w:w="1611" w:type="dxa"/>
            <w:noWrap w:val="0"/>
            <w:vAlign w:val="center"/>
          </w:tcPr>
          <w:p w14:paraId="7DC9242F">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企业信誉</w:t>
            </w:r>
          </w:p>
        </w:tc>
        <w:tc>
          <w:tcPr>
            <w:tcW w:w="1778" w:type="dxa"/>
            <w:noWrap w:val="0"/>
            <w:vAlign w:val="center"/>
          </w:tcPr>
          <w:p w14:paraId="487FF64F">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自行提交材料</w:t>
            </w:r>
          </w:p>
        </w:tc>
        <w:tc>
          <w:tcPr>
            <w:tcW w:w="2269" w:type="dxa"/>
            <w:noWrap w:val="0"/>
            <w:vAlign w:val="center"/>
          </w:tcPr>
          <w:p w14:paraId="5F1E2C0F">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094AFCEC">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4B1C1923">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49E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45115869">
            <w:pPr>
              <w:adjustRightInd w:val="0"/>
              <w:snapToGrid w:val="0"/>
              <w:spacing w:line="360" w:lineRule="auto"/>
              <w:jc w:val="center"/>
              <w:rPr>
                <w:rFonts w:hint="eastAsia" w:ascii="宋体" w:hAnsi="宋体" w:eastAsia="宋体" w:cs="宋体"/>
                <w:color w:val="auto"/>
                <w:spacing w:val="0"/>
                <w:sz w:val="20"/>
                <w:szCs w:val="20"/>
                <w:highlight w:val="none"/>
                <w:lang w:val="en-US" w:eastAsia="zh-CN"/>
              </w:rPr>
            </w:pPr>
            <w:r>
              <w:rPr>
                <w:rFonts w:hint="eastAsia" w:ascii="宋体" w:hAnsi="宋体" w:cs="宋体"/>
                <w:color w:val="auto"/>
                <w:spacing w:val="0"/>
                <w:sz w:val="20"/>
                <w:szCs w:val="20"/>
                <w:highlight w:val="none"/>
                <w:lang w:val="en-US" w:eastAsia="zh-CN"/>
              </w:rPr>
              <w:t>3</w:t>
            </w:r>
          </w:p>
        </w:tc>
        <w:tc>
          <w:tcPr>
            <w:tcW w:w="1611" w:type="dxa"/>
            <w:noWrap w:val="0"/>
            <w:vAlign w:val="center"/>
          </w:tcPr>
          <w:p w14:paraId="51D596DE">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投标文件响应情况</w:t>
            </w:r>
          </w:p>
        </w:tc>
        <w:tc>
          <w:tcPr>
            <w:tcW w:w="1778" w:type="dxa"/>
            <w:noWrap w:val="0"/>
            <w:vAlign w:val="center"/>
          </w:tcPr>
          <w:p w14:paraId="499D48E3">
            <w:pPr>
              <w:adjustRightInd w:val="0"/>
              <w:snapToGrid w:val="0"/>
              <w:spacing w:line="360" w:lineRule="auto"/>
              <w:jc w:val="center"/>
              <w:rPr>
                <w:rFonts w:hint="eastAsia"/>
                <w:color w:val="auto"/>
                <w:sz w:val="21"/>
                <w:szCs w:val="21"/>
                <w:highlight w:val="none"/>
                <w:lang w:val="en-US" w:eastAsia="zh-CN"/>
              </w:rPr>
            </w:pPr>
            <w:r>
              <w:rPr>
                <w:rFonts w:hint="eastAsia"/>
                <w:color w:val="auto"/>
                <w:sz w:val="21"/>
                <w:szCs w:val="21"/>
                <w:highlight w:val="none"/>
                <w:lang w:val="en-US" w:eastAsia="zh-CN"/>
              </w:rPr>
              <w:t>按投标文件响应内容提供，提交汇总表</w:t>
            </w:r>
          </w:p>
        </w:tc>
        <w:tc>
          <w:tcPr>
            <w:tcW w:w="2269" w:type="dxa"/>
            <w:noWrap w:val="0"/>
            <w:vAlign w:val="center"/>
          </w:tcPr>
          <w:p w14:paraId="592A7E5F">
            <w:pPr>
              <w:adjustRightInd w:val="0"/>
              <w:snapToGrid w:val="0"/>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招标文件需求内容负偏离:</w:t>
            </w:r>
            <w:r>
              <w:rPr>
                <w:rFonts w:hint="eastAsia" w:ascii="宋体" w:hAnsi="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rPr>
              <w:t>条</w:t>
            </w:r>
          </w:p>
        </w:tc>
        <w:tc>
          <w:tcPr>
            <w:tcW w:w="1836" w:type="dxa"/>
            <w:noWrap w:val="0"/>
            <w:vAlign w:val="top"/>
          </w:tcPr>
          <w:p w14:paraId="60EE1EE7">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5498688D">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28B7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54C074AD">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4</w:t>
            </w:r>
          </w:p>
        </w:tc>
        <w:tc>
          <w:tcPr>
            <w:tcW w:w="1611" w:type="dxa"/>
            <w:noWrap w:val="0"/>
            <w:vAlign w:val="center"/>
          </w:tcPr>
          <w:p w14:paraId="51516C6C">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投标报价</w:t>
            </w:r>
          </w:p>
        </w:tc>
        <w:tc>
          <w:tcPr>
            <w:tcW w:w="1778" w:type="dxa"/>
            <w:noWrap w:val="0"/>
            <w:vAlign w:val="center"/>
          </w:tcPr>
          <w:p w14:paraId="4B847BB9">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按投标文件内容提供</w:t>
            </w:r>
          </w:p>
        </w:tc>
        <w:tc>
          <w:tcPr>
            <w:tcW w:w="2269" w:type="dxa"/>
            <w:noWrap w:val="0"/>
            <w:vAlign w:val="center"/>
          </w:tcPr>
          <w:p w14:paraId="099736B2">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04F37E5F">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5C919315">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5178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105D2DA1">
            <w:pPr>
              <w:adjustRightInd w:val="0"/>
              <w:snapToGrid w:val="0"/>
              <w:spacing w:line="360" w:lineRule="auto"/>
              <w:jc w:val="center"/>
              <w:rPr>
                <w:rFonts w:hint="eastAsia" w:ascii="宋体" w:hAnsi="宋体" w:eastAsia="宋体" w:cs="宋体"/>
                <w:color w:val="auto"/>
                <w:spacing w:val="0"/>
                <w:sz w:val="20"/>
                <w:szCs w:val="20"/>
                <w:highlight w:val="none"/>
                <w:lang w:eastAsia="zh-CN"/>
              </w:rPr>
            </w:pPr>
            <w:r>
              <w:rPr>
                <w:rFonts w:hint="eastAsia" w:ascii="宋体" w:hAnsi="宋体" w:cs="宋体"/>
                <w:color w:val="auto"/>
                <w:spacing w:val="0"/>
                <w:sz w:val="20"/>
                <w:szCs w:val="20"/>
                <w:highlight w:val="none"/>
                <w:lang w:val="en-US" w:eastAsia="zh-CN"/>
              </w:rPr>
              <w:t>5</w:t>
            </w:r>
          </w:p>
        </w:tc>
        <w:tc>
          <w:tcPr>
            <w:tcW w:w="1611" w:type="dxa"/>
            <w:noWrap w:val="0"/>
            <w:vAlign w:val="center"/>
          </w:tcPr>
          <w:p w14:paraId="285401A7">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color w:val="auto"/>
                <w:highlight w:val="none"/>
                <w:lang w:val="en-US" w:eastAsia="zh-CN"/>
              </w:rPr>
              <w:t>拟派团队管理能力与水平</w:t>
            </w:r>
          </w:p>
        </w:tc>
        <w:tc>
          <w:tcPr>
            <w:tcW w:w="1778" w:type="dxa"/>
            <w:noWrap w:val="0"/>
            <w:vAlign w:val="center"/>
          </w:tcPr>
          <w:p w14:paraId="03052D9A">
            <w:pPr>
              <w:adjustRightInd w:val="0"/>
              <w:snapToGrid w:val="0"/>
              <w:spacing w:line="360" w:lineRule="auto"/>
              <w:jc w:val="center"/>
              <w:rPr>
                <w:rFonts w:hint="eastAsia"/>
                <w:color w:val="auto"/>
                <w:highlight w:val="none"/>
                <w:lang w:val="en-US" w:eastAsia="zh-CN"/>
              </w:rPr>
            </w:pPr>
            <w:r>
              <w:rPr>
                <w:rFonts w:hint="eastAsia"/>
                <w:color w:val="auto"/>
                <w:highlight w:val="none"/>
                <w:lang w:val="en-US" w:eastAsia="zh-CN"/>
              </w:rPr>
              <w:t>按投标文件内容提供</w:t>
            </w:r>
          </w:p>
        </w:tc>
        <w:tc>
          <w:tcPr>
            <w:tcW w:w="2269" w:type="dxa"/>
            <w:noWrap w:val="0"/>
            <w:vAlign w:val="center"/>
          </w:tcPr>
          <w:p w14:paraId="37C9056C">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1FD909F">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7FE40F2B">
            <w:pPr>
              <w:adjustRightInd w:val="0"/>
              <w:snapToGrid w:val="0"/>
              <w:spacing w:line="360" w:lineRule="auto"/>
              <w:jc w:val="center"/>
              <w:rPr>
                <w:rFonts w:hint="eastAsia" w:ascii="宋体" w:hAnsi="宋体" w:eastAsia="宋体" w:cs="宋体"/>
                <w:color w:val="auto"/>
                <w:spacing w:val="0"/>
                <w:sz w:val="20"/>
                <w:szCs w:val="20"/>
                <w:highlight w:val="none"/>
              </w:rPr>
            </w:pPr>
          </w:p>
        </w:tc>
      </w:tr>
      <w:tr w14:paraId="567F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7" w:type="dxa"/>
            <w:noWrap w:val="0"/>
            <w:vAlign w:val="center"/>
          </w:tcPr>
          <w:p w14:paraId="5B2D468D">
            <w:pPr>
              <w:adjustRightInd w:val="0"/>
              <w:snapToGrid w:val="0"/>
              <w:spacing w:line="360" w:lineRule="auto"/>
              <w:jc w:val="center"/>
              <w:rPr>
                <w:rFonts w:hint="eastAsia" w:ascii="宋体" w:hAnsi="宋体" w:eastAsia="宋体" w:cs="宋体"/>
                <w:color w:val="auto"/>
                <w:spacing w:val="0"/>
                <w:sz w:val="20"/>
                <w:szCs w:val="20"/>
                <w:highlight w:val="none"/>
              </w:rPr>
            </w:pPr>
            <w:r>
              <w:rPr>
                <w:rFonts w:hint="eastAsia" w:ascii="宋体" w:hAnsi="宋体" w:eastAsia="宋体" w:cs="宋体"/>
                <w:color w:val="auto"/>
                <w:spacing w:val="0"/>
                <w:sz w:val="20"/>
                <w:szCs w:val="20"/>
                <w:highlight w:val="none"/>
              </w:rPr>
              <w:t>……</w:t>
            </w:r>
          </w:p>
        </w:tc>
        <w:tc>
          <w:tcPr>
            <w:tcW w:w="1611" w:type="dxa"/>
            <w:noWrap w:val="0"/>
            <w:vAlign w:val="center"/>
          </w:tcPr>
          <w:p w14:paraId="4A255BB0">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778" w:type="dxa"/>
            <w:noWrap w:val="0"/>
            <w:vAlign w:val="center"/>
          </w:tcPr>
          <w:p w14:paraId="3E9A875A">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2269" w:type="dxa"/>
            <w:noWrap w:val="0"/>
            <w:vAlign w:val="center"/>
          </w:tcPr>
          <w:p w14:paraId="7B421FAA">
            <w:pPr>
              <w:adjustRightInd w:val="0"/>
              <w:snapToGrid w:val="0"/>
              <w:spacing w:line="360" w:lineRule="auto"/>
              <w:jc w:val="left"/>
              <w:rPr>
                <w:rFonts w:hint="eastAsia" w:ascii="宋体" w:hAnsi="宋体" w:eastAsia="宋体" w:cs="宋体"/>
                <w:color w:val="auto"/>
                <w:spacing w:val="0"/>
                <w:sz w:val="20"/>
                <w:szCs w:val="20"/>
                <w:highlight w:val="none"/>
              </w:rPr>
            </w:pPr>
          </w:p>
        </w:tc>
        <w:tc>
          <w:tcPr>
            <w:tcW w:w="1836" w:type="dxa"/>
            <w:noWrap w:val="0"/>
            <w:vAlign w:val="top"/>
          </w:tcPr>
          <w:p w14:paraId="73F624FB">
            <w:pPr>
              <w:adjustRightInd w:val="0"/>
              <w:snapToGrid w:val="0"/>
              <w:spacing w:line="360" w:lineRule="auto"/>
              <w:jc w:val="center"/>
              <w:rPr>
                <w:rFonts w:hint="eastAsia" w:ascii="宋体" w:hAnsi="宋体" w:eastAsia="宋体" w:cs="宋体"/>
                <w:color w:val="auto"/>
                <w:spacing w:val="0"/>
                <w:sz w:val="20"/>
                <w:szCs w:val="20"/>
                <w:highlight w:val="none"/>
              </w:rPr>
            </w:pPr>
          </w:p>
        </w:tc>
        <w:tc>
          <w:tcPr>
            <w:tcW w:w="1050" w:type="dxa"/>
            <w:noWrap w:val="0"/>
            <w:vAlign w:val="center"/>
          </w:tcPr>
          <w:p w14:paraId="7E3788B9">
            <w:pPr>
              <w:adjustRightInd w:val="0"/>
              <w:snapToGrid w:val="0"/>
              <w:spacing w:line="360" w:lineRule="auto"/>
              <w:jc w:val="center"/>
              <w:rPr>
                <w:rFonts w:hint="eastAsia" w:ascii="宋体" w:hAnsi="宋体" w:eastAsia="宋体" w:cs="宋体"/>
                <w:color w:val="auto"/>
                <w:spacing w:val="0"/>
                <w:sz w:val="20"/>
                <w:szCs w:val="20"/>
                <w:highlight w:val="none"/>
              </w:rPr>
            </w:pPr>
          </w:p>
        </w:tc>
      </w:tr>
    </w:tbl>
    <w:p w14:paraId="6F3D1827">
      <w:pPr>
        <w:rPr>
          <w:color w:val="auto"/>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57A4">
    <w:pPr>
      <w:pStyle w:val="1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C8480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8C8480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BB13">
    <w:pPr>
      <w:pStyle w:val="14"/>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337FA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C337FA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A385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32B4">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569C8C25"/>
    <w:multiLevelType w:val="singleLevel"/>
    <w:tmpl w:val="569C8C25"/>
    <w:lvl w:ilvl="0" w:tentative="0">
      <w:start w:val="1"/>
      <w:numFmt w:val="chineseCounting"/>
      <w:suff w:val="nothing"/>
      <w:lvlText w:val="%1、"/>
      <w:lvlJc w:val="left"/>
    </w:lvl>
  </w:abstractNum>
  <w:abstractNum w:abstractNumId="2">
    <w:nsid w:val="723B01DB"/>
    <w:multiLevelType w:val="singleLevel"/>
    <w:tmpl w:val="723B01DB"/>
    <w:lvl w:ilvl="0" w:tentative="0">
      <w:start w:val="1"/>
      <w:numFmt w:val="japaneseCounting"/>
      <w:lvlText w:val="第%1条"/>
      <w:lvlJc w:val="left"/>
      <w:pPr>
        <w:tabs>
          <w:tab w:val="left" w:pos="1080"/>
        </w:tabs>
        <w:ind w:left="1080" w:hanging="10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E7A38"/>
    <w:rsid w:val="18155A97"/>
    <w:rsid w:val="1F487E80"/>
    <w:rsid w:val="2CE44D15"/>
    <w:rsid w:val="42901FC2"/>
    <w:rsid w:val="44C516F4"/>
    <w:rsid w:val="45961CFC"/>
    <w:rsid w:val="46860606"/>
    <w:rsid w:val="46C87FF5"/>
    <w:rsid w:val="480D37FF"/>
    <w:rsid w:val="498E3D53"/>
    <w:rsid w:val="4DCB2395"/>
    <w:rsid w:val="586F3E9C"/>
    <w:rsid w:val="66E97003"/>
    <w:rsid w:val="6916453B"/>
    <w:rsid w:val="75E67943"/>
    <w:rsid w:val="79892D64"/>
    <w:rsid w:val="7B38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5"/>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0"/>
    <w:pPr>
      <w:ind w:left="840"/>
      <w:jc w:val="left"/>
    </w:pPr>
    <w:rPr>
      <w:sz w:val="18"/>
      <w:szCs w:val="18"/>
    </w:rPr>
  </w:style>
  <w:style w:type="paragraph" w:styleId="5">
    <w:name w:val="List Paragraph"/>
    <w:basedOn w:val="1"/>
    <w:qFormat/>
    <w:uiPriority w:val="34"/>
    <w:pPr>
      <w:ind w:firstLine="420"/>
    </w:pPr>
  </w:style>
  <w:style w:type="paragraph" w:styleId="7">
    <w:name w:val="caption"/>
    <w:basedOn w:val="1"/>
    <w:next w:val="1"/>
    <w:qFormat/>
    <w:uiPriority w:val="0"/>
    <w:rPr>
      <w:rFonts w:ascii="Cambria" w:hAnsi="Cambria" w:eastAsia="黑体" w:cs="Times New Roman"/>
      <w:sz w:val="20"/>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Indent"/>
    <w:basedOn w:val="1"/>
    <w:next w:val="11"/>
    <w:qFormat/>
    <w:uiPriority w:val="0"/>
    <w:pPr>
      <w:ind w:firstLine="830" w:firstLineChars="352"/>
    </w:pPr>
    <w:rPr>
      <w:rFonts w:ascii="仿宋_GB2312" w:eastAsia="仿宋_GB2312"/>
      <w:sz w:val="32"/>
      <w:szCs w:val="20"/>
    </w:rPr>
  </w:style>
  <w:style w:type="paragraph" w:styleId="11">
    <w:name w:val="envelope return"/>
    <w:basedOn w:val="1"/>
    <w:qFormat/>
    <w:uiPriority w:val="0"/>
    <w:pPr>
      <w:snapToGrid w:val="0"/>
    </w:pPr>
    <w:rPr>
      <w:rFonts w:ascii="Arial" w:hAnsi="Arial"/>
    </w:rPr>
  </w:style>
  <w:style w:type="paragraph" w:styleId="12">
    <w:name w:val="List 2"/>
    <w:basedOn w:val="1"/>
    <w:qFormat/>
    <w:uiPriority w:val="0"/>
    <w:pPr>
      <w:ind w:left="100" w:leftChars="200" w:hanging="200" w:hangingChars="200"/>
    </w:pPr>
  </w:style>
  <w:style w:type="paragraph" w:styleId="13">
    <w:name w:val="Plain Text"/>
    <w:basedOn w:val="1"/>
    <w:qFormat/>
    <w:uiPriority w:val="0"/>
    <w:rPr>
      <w:rFonts w:ascii="宋体" w:hAnsi="Courier New" w:cs="Courier New"/>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列表段落"/>
    <w:basedOn w:val="1"/>
    <w:qFormat/>
    <w:uiPriority w:val="34"/>
    <w:pPr>
      <w:ind w:firstLine="420"/>
    </w:pPr>
  </w:style>
  <w:style w:type="paragraph" w:customStyle="1" w:styleId="21">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22">
    <w:name w:val="表格文字"/>
    <w:basedOn w:val="10"/>
    <w:next w:val="1"/>
    <w:qFormat/>
    <w:uiPriority w:val="0"/>
    <w:pPr>
      <w:spacing w:before="25" w:after="25"/>
      <w:jc w:val="left"/>
    </w:pPr>
    <w:rPr>
      <w:bCs/>
      <w:spacing w:val="10"/>
      <w:kern w:val="0"/>
    </w:rPr>
  </w:style>
  <w:style w:type="paragraph" w:customStyle="1" w:styleId="23">
    <w:name w:val="正文_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24">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5">
    <w:name w:val="null3"/>
    <w:qFormat/>
    <w:uiPriority w:val="0"/>
    <w:rPr>
      <w:rFonts w:hint="eastAsia" w:ascii="Calibri" w:hAnsi="Calibri" w:eastAsia="宋体" w:cs="Times New Roman"/>
      <w:lang w:val="en-US" w:eastAsia="zh-Hans"/>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
    <w:name w:val="题注4"/>
    <w:basedOn w:val="1"/>
    <w:next w:val="7"/>
    <w:qFormat/>
    <w:uiPriority w:val="0"/>
    <w:pPr>
      <w:ind w:left="-132" w:leftChars="-64" w:right="-105" w:rightChars="-50" w:hanging="2"/>
      <w:jc w:val="center"/>
    </w:pPr>
    <w:rPr>
      <w:b/>
      <w:color w:val="FF0000"/>
      <w:szCs w:val="21"/>
      <w:lang w:val="en-GB"/>
    </w:rPr>
  </w:style>
  <w:style w:type="paragraph" w:customStyle="1" w:styleId="28">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2768</Words>
  <Characters>3031</Characters>
  <Lines>0</Lines>
  <Paragraphs>0</Paragraphs>
  <TotalTime>19</TotalTime>
  <ScaleCrop>false</ScaleCrop>
  <LinksUpToDate>false</LinksUpToDate>
  <CharactersWithSpaces>3121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2025-04-28T06:40:00Z</dcterms:created>
  <dc:creator>Administrator</dc:creator>
  <cp:lastModifiedBy>大琳</cp:lastModifiedBy>
  <dcterms:modified xsi:type="dcterms:W3CDTF">2025-07-08T07:02:46Z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eyJoZGlkIjoiZGIwZjQzNDZhODQwMTUzM2MzNjVmNTk4NzMwMmY1YTciLCJ1c2VySWQiOiI2ODkyMjEwNDEifQ==</vt:lpwstr>
  </property>
  <property fmtid="{D5CDD505-2E9C-101B-9397-08002B2CF9AE}" pid="4" name="ICV">
    <vt:lpwstr>E19C97EA3DC64DFFA6CB3F40F23742E8_12</vt:lpwstr>
  </property>
</Properties>
</file>