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1600" w:lineRule="atLeast"/>
        <w:rPr>
          <w:rFonts w:hint="eastAsia" w:ascii="仿宋" w:hAnsi="仿宋" w:eastAsia="仿宋" w:cs="仿宋"/>
          <w:b/>
          <w:color w:val="auto"/>
          <w:sz w:val="72"/>
          <w:szCs w:val="72"/>
          <w:highlight w:val="none"/>
        </w:rPr>
      </w:pPr>
      <w:bookmarkStart w:id="0" w:name="OLE_LINK2"/>
      <w:r>
        <w:rPr>
          <w:rFonts w:hint="eastAsia" w:ascii="仿宋" w:hAnsi="仿宋" w:eastAsia="仿宋" w:cs="仿宋"/>
          <w:b/>
          <w:color w:val="auto"/>
          <w:sz w:val="72"/>
          <w:szCs w:val="72"/>
          <w:highlight w:val="none"/>
        </w:rPr>
        <w:t xml:space="preserve">  </w:t>
      </w:r>
    </w:p>
    <w:p>
      <w:pPr>
        <w:tabs>
          <w:tab w:val="left" w:pos="420"/>
          <w:tab w:val="left" w:pos="6660"/>
        </w:tabs>
        <w:spacing w:line="1600" w:lineRule="atLeast"/>
        <w:jc w:val="center"/>
        <w:rPr>
          <w:rFonts w:hint="eastAsia" w:ascii="仿宋" w:hAnsi="仿宋" w:eastAsia="仿宋" w:cs="仿宋"/>
          <w:b/>
          <w:color w:val="auto"/>
          <w:sz w:val="72"/>
          <w:szCs w:val="72"/>
          <w:highlight w:val="none"/>
          <w:lang w:eastAsia="zh-CN"/>
        </w:rPr>
      </w:pPr>
      <w:r>
        <w:rPr>
          <w:rFonts w:hint="eastAsia" w:ascii="仿宋" w:hAnsi="仿宋" w:eastAsia="仿宋" w:cs="仿宋"/>
          <w:b/>
          <w:color w:val="auto"/>
          <w:sz w:val="72"/>
          <w:szCs w:val="72"/>
          <w:highlight w:val="none"/>
          <w:lang w:eastAsia="zh-CN"/>
        </w:rPr>
        <w:t>惠州市第一妇幼保健院</w:t>
      </w:r>
    </w:p>
    <w:p>
      <w:pPr>
        <w:tabs>
          <w:tab w:val="left" w:pos="420"/>
          <w:tab w:val="left" w:pos="6660"/>
        </w:tabs>
        <w:spacing w:line="1600" w:lineRule="atLeast"/>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 院内比选文件</w:t>
      </w:r>
    </w:p>
    <w:p>
      <w:pPr>
        <w:spacing w:line="500" w:lineRule="exact"/>
        <w:jc w:val="center"/>
        <w:rPr>
          <w:rFonts w:hint="eastAsia" w:ascii="仿宋" w:hAnsi="仿宋" w:eastAsia="仿宋" w:cs="仿宋"/>
          <w:bCs/>
          <w:color w:val="auto"/>
          <w:sz w:val="28"/>
          <w:szCs w:val="28"/>
          <w:highlight w:val="none"/>
        </w:rPr>
      </w:pPr>
    </w:p>
    <w:p>
      <w:pPr>
        <w:spacing w:line="500" w:lineRule="exact"/>
        <w:jc w:val="center"/>
        <w:rPr>
          <w:rFonts w:hint="eastAsia" w:ascii="仿宋" w:hAnsi="仿宋" w:eastAsia="仿宋" w:cs="仿宋"/>
          <w:bCs/>
          <w:color w:val="auto"/>
          <w:sz w:val="28"/>
          <w:szCs w:val="28"/>
          <w:highlight w:val="none"/>
        </w:rPr>
      </w:pPr>
    </w:p>
    <w:p>
      <w:pPr>
        <w:spacing w:line="500" w:lineRule="exact"/>
        <w:jc w:val="center"/>
        <w:rPr>
          <w:rFonts w:hint="eastAsia" w:ascii="仿宋" w:hAnsi="仿宋" w:eastAsia="仿宋" w:cs="仿宋"/>
          <w:b/>
          <w:color w:val="auto"/>
          <w:sz w:val="28"/>
          <w:szCs w:val="28"/>
          <w:highlight w:val="none"/>
        </w:rPr>
      </w:pPr>
    </w:p>
    <w:p>
      <w:pPr>
        <w:spacing w:line="500" w:lineRule="exact"/>
        <w:jc w:val="center"/>
        <w:rPr>
          <w:rFonts w:hint="eastAsia" w:ascii="仿宋" w:hAnsi="仿宋" w:eastAsia="仿宋" w:cs="仿宋"/>
          <w:b/>
          <w:color w:val="auto"/>
          <w:sz w:val="28"/>
          <w:szCs w:val="28"/>
          <w:highlight w:val="none"/>
        </w:rPr>
      </w:pPr>
    </w:p>
    <w:p>
      <w:pPr>
        <w:spacing w:line="500" w:lineRule="exact"/>
        <w:jc w:val="center"/>
        <w:rPr>
          <w:rFonts w:hint="eastAsia" w:ascii="仿宋" w:hAnsi="仿宋" w:eastAsia="仿宋" w:cs="仿宋"/>
          <w:bCs/>
          <w:color w:val="auto"/>
          <w:sz w:val="28"/>
          <w:szCs w:val="28"/>
          <w:highlight w:val="none"/>
        </w:rPr>
      </w:pPr>
    </w:p>
    <w:p>
      <w:pPr>
        <w:spacing w:line="500" w:lineRule="exact"/>
        <w:jc w:val="center"/>
        <w:rPr>
          <w:rFonts w:hint="default"/>
          <w:color w:val="auto"/>
          <w:highlight w:val="none"/>
          <w:lang w:val="en-US" w:eastAsia="zh-CN"/>
        </w:rPr>
      </w:pPr>
      <w:r>
        <w:rPr>
          <w:rFonts w:hint="eastAsia" w:ascii="仿宋" w:hAnsi="仿宋" w:eastAsia="仿宋" w:cs="仿宋"/>
          <w:b/>
          <w:color w:val="auto"/>
          <w:sz w:val="28"/>
          <w:szCs w:val="28"/>
          <w:highlight w:val="none"/>
        </w:rPr>
        <w:t>项目编号：</w:t>
      </w:r>
      <w:r>
        <w:rPr>
          <w:rFonts w:hint="eastAsia" w:ascii="仿宋" w:hAnsi="仿宋" w:eastAsia="仿宋" w:cs="仿宋"/>
          <w:b/>
          <w:color w:val="auto"/>
          <w:sz w:val="28"/>
          <w:szCs w:val="28"/>
          <w:highlight w:val="none"/>
          <w:lang w:val="en-US" w:eastAsia="zh-CN"/>
        </w:rPr>
        <w:t>ZCB-YN-2025009</w:t>
      </w:r>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28"/>
          <w:szCs w:val="28"/>
          <w:highlight w:val="none"/>
        </w:rPr>
        <w:t xml:space="preserve"> 项目名称：</w:t>
      </w:r>
      <w:r>
        <w:rPr>
          <w:rFonts w:hint="eastAsia" w:ascii="仿宋" w:hAnsi="仿宋" w:eastAsia="仿宋" w:cs="仿宋"/>
          <w:b/>
          <w:color w:val="auto"/>
          <w:sz w:val="28"/>
          <w:szCs w:val="28"/>
          <w:highlight w:val="none"/>
          <w:lang w:eastAsia="zh-CN"/>
        </w:rPr>
        <w:tab/>
      </w:r>
      <w:bookmarkStart w:id="1" w:name="OLE_LINK1"/>
      <w:r>
        <w:rPr>
          <w:rFonts w:hint="eastAsia" w:ascii="仿宋" w:hAnsi="仿宋" w:eastAsia="仿宋" w:cs="仿宋"/>
          <w:b/>
          <w:color w:val="auto"/>
          <w:sz w:val="28"/>
          <w:szCs w:val="28"/>
          <w:highlight w:val="none"/>
          <w:lang w:eastAsia="zh-CN"/>
        </w:rPr>
        <w:t>惠州市第一妇幼保健院采购模拟教学思维与方法师资培训课程服务项目</w:t>
      </w:r>
      <w:bookmarkEnd w:id="1"/>
    </w:p>
    <w:p>
      <w:pPr>
        <w:jc w:val="both"/>
        <w:rPr>
          <w:rFonts w:hint="eastAsia" w:ascii="仿宋" w:hAnsi="仿宋" w:eastAsia="仿宋" w:cs="仿宋"/>
          <w:b/>
          <w:color w:val="auto"/>
          <w:sz w:val="32"/>
          <w:szCs w:val="32"/>
          <w:highlight w:val="none"/>
        </w:rPr>
      </w:pPr>
    </w:p>
    <w:p>
      <w:pPr>
        <w:jc w:val="center"/>
        <w:rPr>
          <w:rFonts w:hint="eastAsia" w:ascii="仿宋" w:hAnsi="仿宋" w:eastAsia="仿宋" w:cs="仿宋"/>
          <w:b/>
          <w:color w:val="auto"/>
          <w:sz w:val="32"/>
          <w:szCs w:val="32"/>
          <w:highlight w:val="none"/>
        </w:rPr>
      </w:pPr>
    </w:p>
    <w:p>
      <w:pPr>
        <w:jc w:val="center"/>
        <w:rPr>
          <w:rFonts w:hint="eastAsia" w:ascii="仿宋" w:hAnsi="仿宋" w:eastAsia="仿宋" w:cs="仿宋"/>
          <w:b/>
          <w:color w:val="auto"/>
          <w:sz w:val="32"/>
          <w:szCs w:val="32"/>
          <w:highlight w:val="none"/>
        </w:rPr>
      </w:pPr>
    </w:p>
    <w:p>
      <w:pPr>
        <w:pStyle w:val="2"/>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rPr>
      </w:pPr>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惠州市第一妇幼保健院</w:t>
      </w:r>
      <w:r>
        <w:rPr>
          <w:rFonts w:hint="eastAsia" w:ascii="仿宋" w:hAnsi="仿宋" w:eastAsia="仿宋" w:cs="仿宋"/>
          <w:b/>
          <w:color w:val="auto"/>
          <w:sz w:val="32"/>
          <w:szCs w:val="32"/>
          <w:highlight w:val="none"/>
        </w:rPr>
        <w:t>编制</w:t>
      </w:r>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2025</w:t>
      </w:r>
      <w:r>
        <w:rPr>
          <w:rFonts w:hint="eastAsia" w:ascii="仿宋" w:hAnsi="仿宋" w:eastAsia="仿宋" w:cs="仿宋"/>
          <w:b/>
          <w:color w:val="auto"/>
          <w:sz w:val="32"/>
          <w:szCs w:val="32"/>
          <w:highlight w:val="none"/>
        </w:rPr>
        <w:t>年</w:t>
      </w:r>
      <w:r>
        <w:rPr>
          <w:rFonts w:hint="eastAsia" w:ascii="仿宋" w:hAnsi="仿宋" w:eastAsia="仿宋" w:cs="仿宋"/>
          <w:b/>
          <w:color w:val="auto"/>
          <w:sz w:val="32"/>
          <w:szCs w:val="32"/>
          <w:highlight w:val="none"/>
          <w:lang w:val="en-US" w:eastAsia="zh-CN"/>
        </w:rPr>
        <w:t>3</w:t>
      </w:r>
      <w:r>
        <w:rPr>
          <w:rFonts w:hint="eastAsia" w:ascii="仿宋" w:hAnsi="仿宋" w:eastAsia="仿宋" w:cs="仿宋"/>
          <w:b/>
          <w:color w:val="auto"/>
          <w:sz w:val="32"/>
          <w:szCs w:val="32"/>
          <w:highlight w:val="none"/>
        </w:rPr>
        <w:t>月</w:t>
      </w:r>
    </w:p>
    <w:p>
      <w:pPr>
        <w:jc w:val="center"/>
        <w:rPr>
          <w:rFonts w:hint="eastAsia" w:ascii="仿宋" w:hAnsi="仿宋" w:eastAsia="仿宋" w:cs="仿宋"/>
          <w:b/>
          <w:bCs/>
          <w:color w:val="auto"/>
          <w:sz w:val="52"/>
          <w:szCs w:val="52"/>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jc w:val="center"/>
        <w:rPr>
          <w:rFonts w:hint="eastAsia" w:ascii="仿宋" w:hAnsi="仿宋" w:eastAsia="仿宋" w:cs="仿宋"/>
          <w:b/>
          <w:bCs/>
          <w:color w:val="auto"/>
          <w:sz w:val="52"/>
          <w:szCs w:val="52"/>
          <w:highlight w:val="none"/>
          <w:lang w:eastAsia="zh-CN"/>
        </w:rPr>
      </w:pPr>
      <w:r>
        <w:rPr>
          <w:rFonts w:hint="eastAsia" w:ascii="仿宋" w:hAnsi="仿宋" w:eastAsia="仿宋" w:cs="仿宋"/>
          <w:b/>
          <w:bCs/>
          <w:color w:val="auto"/>
          <w:sz w:val="52"/>
          <w:szCs w:val="52"/>
          <w:highlight w:val="none"/>
        </w:rPr>
        <w:t>目      录</w:t>
      </w:r>
    </w:p>
    <w:p>
      <w:pPr>
        <w:pStyle w:val="7"/>
        <w:rPr>
          <w:rFonts w:hint="eastAsia"/>
          <w:color w:val="auto"/>
          <w:highlight w:val="none"/>
          <w:lang w:eastAsia="zh-CN"/>
        </w:rPr>
      </w:pPr>
    </w:p>
    <w:p>
      <w:pPr>
        <w:pStyle w:val="11"/>
        <w:tabs>
          <w:tab w:val="right" w:leader="dot" w:pos="9174"/>
        </w:tabs>
        <w:spacing w:line="360" w:lineRule="auto"/>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第一部分  比选邀请函</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第二部分  采购项目内容</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第三部分  响应供应商须知</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第四部分  合同书格式</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第五部分  响应文件格式</w:t>
      </w:r>
    </w:p>
    <w:p>
      <w:pPr>
        <w:spacing w:line="360" w:lineRule="auto"/>
        <w:rPr>
          <w:rFonts w:hint="eastAsia" w:ascii="仿宋" w:hAnsi="仿宋" w:eastAsia="仿宋" w:cs="仿宋"/>
          <w:b/>
          <w:color w:val="auto"/>
          <w:kern w:val="0"/>
          <w:sz w:val="28"/>
          <w:szCs w:val="28"/>
          <w:highlight w:val="non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spacing w:line="42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第一部分 比选邀请函</w:t>
      </w:r>
    </w:p>
    <w:p>
      <w:pPr>
        <w:spacing w:line="42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各（潜在）供应商:</w:t>
      </w:r>
    </w:p>
    <w:p>
      <w:pPr>
        <w:spacing w:line="420" w:lineRule="exact"/>
        <w:ind w:firstLine="486"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惠州市第一妇幼保健院采购模拟教学思维与方法师资培训课程服务项目</w:t>
      </w:r>
      <w:r>
        <w:rPr>
          <w:rFonts w:hint="eastAsia" w:ascii="仿宋" w:hAnsi="仿宋" w:eastAsia="仿宋" w:cs="仿宋"/>
          <w:color w:val="auto"/>
          <w:sz w:val="24"/>
          <w:highlight w:val="none"/>
        </w:rPr>
        <w:t>将进行院内比选采购，</w:t>
      </w:r>
      <w:r>
        <w:rPr>
          <w:rFonts w:hint="eastAsia" w:ascii="仿宋" w:hAnsi="仿宋" w:eastAsia="仿宋" w:cs="仿宋"/>
          <w:color w:val="auto"/>
          <w:sz w:val="24"/>
          <w:highlight w:val="none"/>
          <w:lang w:val="zh-CN"/>
        </w:rPr>
        <w:t>欢迎符合资格条件</w:t>
      </w:r>
      <w:r>
        <w:rPr>
          <w:rFonts w:hint="eastAsia" w:ascii="仿宋" w:hAnsi="仿宋" w:eastAsia="仿宋" w:cs="仿宋"/>
          <w:color w:val="auto"/>
          <w:sz w:val="24"/>
          <w:highlight w:val="none"/>
        </w:rPr>
        <w:t>的供应商响应。</w:t>
      </w:r>
    </w:p>
    <w:p>
      <w:pPr>
        <w:autoSpaceDE w:val="0"/>
        <w:autoSpaceDN w:val="0"/>
        <w:spacing w:line="42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一、项目</w:t>
      </w:r>
      <w:r>
        <w:rPr>
          <w:rFonts w:hint="eastAsia" w:ascii="仿宋" w:hAnsi="仿宋" w:eastAsia="仿宋" w:cs="仿宋"/>
          <w:color w:val="auto"/>
          <w:sz w:val="24"/>
          <w:highlight w:val="none"/>
          <w:lang w:val="zh-CN"/>
        </w:rPr>
        <w:t>编号：</w:t>
      </w:r>
      <w:r>
        <w:rPr>
          <w:rFonts w:hint="eastAsia" w:ascii="仿宋" w:hAnsi="仿宋" w:eastAsia="仿宋" w:cs="仿宋"/>
          <w:color w:val="auto"/>
          <w:sz w:val="24"/>
          <w:highlight w:val="none"/>
          <w:lang w:eastAsia="zh-CN"/>
        </w:rPr>
        <w:t>ZCB-YN-2025009</w:t>
      </w:r>
    </w:p>
    <w:p>
      <w:pPr>
        <w:autoSpaceDE w:val="0"/>
        <w:autoSpaceDN w:val="0"/>
        <w:spacing w:line="420" w:lineRule="exact"/>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二、项目名称：</w:t>
      </w:r>
      <w:r>
        <w:rPr>
          <w:rFonts w:hint="eastAsia" w:ascii="仿宋" w:hAnsi="仿宋" w:eastAsia="仿宋" w:cs="仿宋"/>
          <w:color w:val="auto"/>
          <w:sz w:val="24"/>
          <w:highlight w:val="none"/>
          <w:lang w:eastAsia="zh-CN"/>
        </w:rPr>
        <w:t>惠州市第一妇幼保健院采购模拟教学思维与方法师资培训课程服务项目</w:t>
      </w:r>
    </w:p>
    <w:p>
      <w:pPr>
        <w:spacing w:line="420" w:lineRule="exact"/>
        <w:ind w:firstLine="510" w:firstLineChars="21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三、项目内容：</w:t>
      </w:r>
    </w:p>
    <w:tbl>
      <w:tblPr>
        <w:tblStyle w:val="12"/>
        <w:tblW w:w="7831" w:type="dxa"/>
        <w:jc w:val="center"/>
        <w:tblLayout w:type="fixed"/>
        <w:tblCellMar>
          <w:top w:w="0" w:type="dxa"/>
          <w:left w:w="108" w:type="dxa"/>
          <w:bottom w:w="0" w:type="dxa"/>
          <w:right w:w="108" w:type="dxa"/>
        </w:tblCellMar>
      </w:tblPr>
      <w:tblGrid>
        <w:gridCol w:w="727"/>
        <w:gridCol w:w="2076"/>
        <w:gridCol w:w="714"/>
        <w:gridCol w:w="720"/>
        <w:gridCol w:w="1608"/>
        <w:gridCol w:w="1986"/>
      </w:tblGrid>
      <w:tr>
        <w:tblPrEx>
          <w:tblCellMar>
            <w:top w:w="0" w:type="dxa"/>
            <w:left w:w="108" w:type="dxa"/>
            <w:bottom w:w="0" w:type="dxa"/>
            <w:right w:w="108" w:type="dxa"/>
          </w:tblCellMar>
        </w:tblPrEx>
        <w:trPr>
          <w:trHeight w:val="645"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序号</w:t>
            </w:r>
          </w:p>
        </w:tc>
        <w:tc>
          <w:tcPr>
            <w:tcW w:w="20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项目</w:t>
            </w:r>
            <w:r>
              <w:rPr>
                <w:rFonts w:hint="eastAsia" w:ascii="仿宋" w:hAnsi="仿宋" w:eastAsia="仿宋" w:cs="仿宋"/>
                <w:color w:val="auto"/>
                <w:kern w:val="0"/>
                <w:szCs w:val="21"/>
                <w:highlight w:val="none"/>
              </w:rPr>
              <w:t>名称</w:t>
            </w:r>
          </w:p>
        </w:tc>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数量</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单位</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最高限价（元）</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备注</w:t>
            </w:r>
          </w:p>
        </w:tc>
      </w:tr>
      <w:tr>
        <w:tblPrEx>
          <w:tblCellMar>
            <w:top w:w="0" w:type="dxa"/>
            <w:left w:w="108" w:type="dxa"/>
            <w:bottom w:w="0" w:type="dxa"/>
            <w:right w:w="108" w:type="dxa"/>
          </w:tblCellMar>
        </w:tblPrEx>
        <w:trPr>
          <w:trHeight w:val="971"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1</w:t>
            </w:r>
          </w:p>
        </w:tc>
        <w:tc>
          <w:tcPr>
            <w:tcW w:w="20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惠州市第一妇幼保健院采购模拟教学思维与方法师资培训课程服务项目</w:t>
            </w:r>
          </w:p>
        </w:tc>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项</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143800</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详细</w:t>
            </w:r>
            <w:r>
              <w:rPr>
                <w:rFonts w:hint="eastAsia" w:ascii="仿宋" w:hAnsi="仿宋" w:eastAsia="仿宋" w:cs="仿宋"/>
                <w:color w:val="auto"/>
                <w:kern w:val="0"/>
                <w:szCs w:val="21"/>
                <w:highlight w:val="none"/>
                <w:lang w:eastAsia="zh-CN"/>
              </w:rPr>
              <w:t>技术要求</w:t>
            </w:r>
            <w:r>
              <w:rPr>
                <w:rFonts w:hint="eastAsia" w:ascii="仿宋" w:hAnsi="仿宋" w:eastAsia="仿宋" w:cs="仿宋"/>
                <w:color w:val="auto"/>
                <w:kern w:val="0"/>
                <w:szCs w:val="21"/>
                <w:highlight w:val="none"/>
              </w:rPr>
              <w:t>请参阅</w:t>
            </w:r>
            <w:r>
              <w:rPr>
                <w:rFonts w:hint="eastAsia" w:ascii="仿宋" w:hAnsi="仿宋" w:eastAsia="仿宋" w:cs="仿宋"/>
                <w:color w:val="auto"/>
                <w:kern w:val="0"/>
                <w:szCs w:val="21"/>
                <w:highlight w:val="none"/>
                <w:lang w:val="en-US" w:eastAsia="zh-CN"/>
              </w:rPr>
              <w:t>比选</w:t>
            </w:r>
            <w:r>
              <w:rPr>
                <w:rFonts w:hint="eastAsia" w:ascii="仿宋" w:hAnsi="仿宋" w:eastAsia="仿宋" w:cs="仿宋"/>
                <w:color w:val="auto"/>
                <w:kern w:val="0"/>
                <w:szCs w:val="21"/>
                <w:highlight w:val="none"/>
              </w:rPr>
              <w:t>文件中的采购项目内容。</w:t>
            </w:r>
          </w:p>
        </w:tc>
      </w:tr>
    </w:tbl>
    <w:p>
      <w:pPr>
        <w:spacing w:line="420" w:lineRule="exact"/>
        <w:ind w:firstLine="510" w:firstLineChars="210"/>
        <w:rPr>
          <w:rFonts w:hint="eastAsia" w:ascii="仿宋" w:hAnsi="仿宋" w:eastAsia="仿宋" w:cs="仿宋"/>
          <w:color w:val="auto"/>
          <w:sz w:val="24"/>
          <w:highlight w:val="none"/>
          <w:lang w:val="zh-CN"/>
        </w:rPr>
      </w:pPr>
    </w:p>
    <w:p>
      <w:pPr>
        <w:spacing w:line="420" w:lineRule="exact"/>
        <w:ind w:firstLine="510" w:firstLineChars="21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zh-CN"/>
        </w:rPr>
        <w:t>四、拟参加</w:t>
      </w:r>
      <w:r>
        <w:rPr>
          <w:rFonts w:hint="eastAsia" w:ascii="仿宋" w:hAnsi="仿宋" w:eastAsia="仿宋" w:cs="仿宋"/>
          <w:color w:val="auto"/>
          <w:sz w:val="24"/>
          <w:highlight w:val="none"/>
        </w:rPr>
        <w:t>响应的供应商应当在</w:t>
      </w:r>
      <w:r>
        <w:rPr>
          <w:rFonts w:hint="eastAsia" w:ascii="仿宋" w:hAnsi="仿宋" w:eastAsia="仿宋" w:cs="仿宋"/>
          <w:color w:val="auto"/>
          <w:sz w:val="24"/>
          <w:highlight w:val="none"/>
          <w:lang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21</w:t>
      </w:r>
      <w:r>
        <w:rPr>
          <w:rFonts w:hint="eastAsia" w:ascii="仿宋" w:hAnsi="仿宋" w:eastAsia="仿宋" w:cs="仿宋"/>
          <w:color w:val="auto"/>
          <w:sz w:val="24"/>
          <w:highlight w:val="none"/>
        </w:rPr>
        <w:t>日起至</w:t>
      </w:r>
      <w:r>
        <w:rPr>
          <w:rFonts w:hint="eastAsia" w:ascii="仿宋" w:hAnsi="仿宋" w:eastAsia="仿宋" w:cs="仿宋"/>
          <w:color w:val="auto"/>
          <w:sz w:val="24"/>
          <w:highlight w:val="none"/>
          <w:lang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27</w:t>
      </w:r>
      <w:r>
        <w:rPr>
          <w:rFonts w:hint="eastAsia" w:ascii="仿宋" w:hAnsi="仿宋" w:eastAsia="仿宋" w:cs="仿宋"/>
          <w:color w:val="auto"/>
          <w:sz w:val="24"/>
          <w:highlight w:val="none"/>
        </w:rPr>
        <w:t>日（上午08:00-12:00，下午14:30-17:30，法定节假日除外）</w:t>
      </w:r>
      <w:r>
        <w:rPr>
          <w:rFonts w:hint="eastAsia" w:ascii="仿宋" w:hAnsi="仿宋" w:eastAsia="仿宋" w:cs="仿宋"/>
          <w:color w:val="auto"/>
          <w:kern w:val="0"/>
          <w:sz w:val="24"/>
          <w:highlight w:val="none"/>
        </w:rPr>
        <w:t>通过惠州市第一妇幼保健院</w:t>
      </w:r>
      <w:r>
        <w:rPr>
          <w:rFonts w:hint="eastAsia" w:ascii="仿宋" w:hAnsi="仿宋" w:eastAsia="仿宋" w:cs="仿宋"/>
          <w:color w:val="auto"/>
          <w:kern w:val="0"/>
          <w:sz w:val="24"/>
          <w:highlight w:val="none"/>
          <w:lang w:eastAsia="zh-CN"/>
        </w:rPr>
        <w:t>医院办公室</w:t>
      </w:r>
      <w:r>
        <w:rPr>
          <w:rFonts w:hint="eastAsia" w:ascii="仿宋" w:hAnsi="仿宋" w:eastAsia="仿宋" w:cs="仿宋"/>
          <w:color w:val="auto"/>
          <w:kern w:val="0"/>
          <w:sz w:val="24"/>
          <w:highlight w:val="none"/>
        </w:rPr>
        <w:t>邮箱报名</w:t>
      </w:r>
      <w:r>
        <w:rPr>
          <w:rFonts w:hint="eastAsia" w:ascii="仿宋" w:hAnsi="仿宋" w:eastAsia="仿宋" w:cs="仿宋"/>
          <w:color w:val="auto"/>
          <w:kern w:val="0"/>
          <w:sz w:val="24"/>
          <w:highlight w:val="none"/>
          <w:lang w:eastAsia="zh-CN"/>
        </w:rPr>
        <w:t>或现场报名</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医院办公室</w:t>
      </w:r>
      <w:r>
        <w:rPr>
          <w:rFonts w:hint="eastAsia" w:ascii="仿宋" w:hAnsi="仿宋" w:eastAsia="仿宋" w:cs="仿宋"/>
          <w:color w:val="auto"/>
          <w:kern w:val="0"/>
          <w:sz w:val="24"/>
          <w:highlight w:val="none"/>
        </w:rPr>
        <w:t>邮箱：dyfyzcb@huizhou.gov.cn</w:t>
      </w:r>
    </w:p>
    <w:p>
      <w:pPr>
        <w:spacing w:line="420" w:lineRule="exact"/>
        <w:ind w:firstLine="510"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五、响应文件递交截止时间：</w:t>
      </w:r>
      <w:r>
        <w:rPr>
          <w:rFonts w:hint="eastAsia" w:ascii="仿宋" w:hAnsi="仿宋" w:eastAsia="仿宋" w:cs="仿宋"/>
          <w:color w:val="auto"/>
          <w:sz w:val="24"/>
          <w:highlight w:val="none"/>
          <w:lang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28</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00</w:t>
      </w:r>
      <w:r>
        <w:rPr>
          <w:rFonts w:hint="eastAsia" w:ascii="仿宋" w:hAnsi="仿宋" w:eastAsia="仿宋" w:cs="仿宋"/>
          <w:color w:val="auto"/>
          <w:sz w:val="24"/>
          <w:highlight w:val="none"/>
        </w:rPr>
        <w:t>分（北京时间）</w:t>
      </w:r>
    </w:p>
    <w:p>
      <w:pPr>
        <w:spacing w:line="420" w:lineRule="exact"/>
        <w:ind w:firstLine="510"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六、响应文件送达地点：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惠州市第一妇幼保健院发热门诊二楼。</w:t>
      </w:r>
    </w:p>
    <w:p>
      <w:pPr>
        <w:spacing w:line="420" w:lineRule="exact"/>
        <w:ind w:firstLine="510"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七、比选时间：</w:t>
      </w:r>
      <w:r>
        <w:rPr>
          <w:rFonts w:hint="eastAsia" w:ascii="仿宋" w:hAnsi="仿宋" w:eastAsia="仿宋" w:cs="仿宋"/>
          <w:color w:val="auto"/>
          <w:sz w:val="24"/>
          <w:highlight w:val="none"/>
          <w:lang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28</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15分</w:t>
      </w:r>
      <w:r>
        <w:rPr>
          <w:rFonts w:hint="eastAsia" w:ascii="仿宋" w:hAnsi="仿宋" w:eastAsia="仿宋" w:cs="仿宋"/>
          <w:color w:val="auto"/>
          <w:sz w:val="24"/>
          <w:highlight w:val="none"/>
        </w:rPr>
        <w:t>（北京时间）</w:t>
      </w:r>
    </w:p>
    <w:p>
      <w:pPr>
        <w:spacing w:line="420" w:lineRule="exact"/>
        <w:ind w:firstLine="510"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八、比选地点：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w:t>
      </w:r>
      <w:bookmarkStart w:id="33" w:name="_GoBack"/>
      <w:bookmarkEnd w:id="33"/>
      <w:r>
        <w:rPr>
          <w:rFonts w:hint="eastAsia" w:ascii="仿宋" w:hAnsi="仿宋" w:eastAsia="仿宋" w:cs="仿宋"/>
          <w:color w:val="auto"/>
          <w:sz w:val="24"/>
          <w:highlight w:val="none"/>
          <w:lang w:val="zh-CN"/>
        </w:rPr>
        <w:t>院发热门诊二楼</w:t>
      </w:r>
      <w:r>
        <w:rPr>
          <w:rFonts w:hint="eastAsia" w:ascii="仿宋" w:hAnsi="仿宋" w:eastAsia="仿宋" w:cs="仿宋"/>
          <w:color w:val="auto"/>
          <w:sz w:val="24"/>
          <w:highlight w:val="none"/>
        </w:rPr>
        <w:t>。</w:t>
      </w:r>
    </w:p>
    <w:p>
      <w:pPr>
        <w:spacing w:line="42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eastAsia="zh-CN"/>
        </w:rPr>
        <w:t>惠州市第一妇幼保健院</w:t>
      </w:r>
    </w:p>
    <w:p>
      <w:pPr>
        <w:spacing w:line="42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李工</w:t>
      </w:r>
      <w:r>
        <w:rPr>
          <w:rFonts w:hint="eastAsia" w:ascii="仿宋" w:hAnsi="仿宋" w:eastAsia="仿宋" w:cs="仿宋"/>
          <w:color w:val="auto"/>
          <w:sz w:val="24"/>
          <w:highlight w:val="none"/>
        </w:rPr>
        <w:t xml:space="preserve">                         电话：</w:t>
      </w:r>
      <w:r>
        <w:rPr>
          <w:rFonts w:ascii="仿宋" w:hAnsi="仿宋" w:eastAsia="仿宋" w:cs="仿宋"/>
          <w:color w:val="auto"/>
          <w:sz w:val="24"/>
          <w:highlight w:val="none"/>
        </w:rPr>
        <w:t>0752-</w:t>
      </w:r>
      <w:r>
        <w:rPr>
          <w:rFonts w:hint="eastAsia" w:ascii="仿宋" w:hAnsi="仿宋" w:eastAsia="仿宋" w:cs="仿宋"/>
          <w:color w:val="auto"/>
          <w:sz w:val="24"/>
          <w:highlight w:val="none"/>
          <w:lang w:val="en-US" w:eastAsia="zh-CN"/>
        </w:rPr>
        <w:t>7806068</w:t>
      </w:r>
    </w:p>
    <w:p>
      <w:pPr>
        <w:spacing w:line="42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联系地址：惠州市演达四路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CN"/>
        </w:rPr>
        <w:t>邮编：516001</w:t>
      </w:r>
    </w:p>
    <w:p>
      <w:pPr>
        <w:spacing w:line="420" w:lineRule="exact"/>
        <w:ind w:firstLine="3766" w:firstLineChars="15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pStyle w:val="14"/>
        <w:rPr>
          <w:rFonts w:hint="eastAsia"/>
          <w:color w:val="auto"/>
          <w:highlight w:val="none"/>
          <w:lang w:val="en-US" w:eastAsia="zh-CN"/>
        </w:rPr>
      </w:pPr>
    </w:p>
    <w:p>
      <w:pPr>
        <w:spacing w:line="420" w:lineRule="exact"/>
        <w:ind w:firstLine="3766" w:firstLineChars="15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420" w:lineRule="exact"/>
        <w:ind w:firstLine="3766" w:firstLineChars="155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惠州市第一妇幼保健院</w:t>
      </w:r>
    </w:p>
    <w:p>
      <w:pPr>
        <w:spacing w:line="420" w:lineRule="exact"/>
        <w:ind w:firstLine="4860" w:firstLineChars="20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 xml:space="preserve"> 3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日</w:t>
      </w:r>
    </w:p>
    <w:p>
      <w:pPr>
        <w:spacing w:line="360" w:lineRule="auto"/>
        <w:jc w:val="center"/>
        <w:rPr>
          <w:rFonts w:hint="eastAsia" w:ascii="仿宋" w:hAnsi="仿宋" w:eastAsia="仿宋" w:cs="仿宋"/>
          <w:b/>
          <w:color w:val="auto"/>
          <w:sz w:val="28"/>
          <w:szCs w:val="28"/>
          <w:highlight w:val="none"/>
        </w:rPr>
      </w:pPr>
      <w:r>
        <w:rPr>
          <w:rFonts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第二部分　采购项目内容</w:t>
      </w:r>
    </w:p>
    <w:p>
      <w:pPr>
        <w:numPr>
          <w:ilvl w:val="0"/>
          <w:numId w:val="1"/>
        </w:numPr>
        <w:spacing w:line="360" w:lineRule="auto"/>
        <w:ind w:firstLine="486"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响应供应商</w:t>
      </w:r>
      <w:r>
        <w:rPr>
          <w:rFonts w:hint="eastAsia" w:ascii="仿宋" w:hAnsi="仿宋" w:eastAsia="仿宋" w:cs="仿宋"/>
          <w:b/>
          <w:bCs/>
          <w:color w:val="auto"/>
          <w:sz w:val="24"/>
          <w:highlight w:val="none"/>
        </w:rPr>
        <w:t>资格</w:t>
      </w:r>
    </w:p>
    <w:p>
      <w:pPr>
        <w:tabs>
          <w:tab w:val="left" w:pos="0"/>
        </w:tabs>
        <w:wordWrap w:val="0"/>
        <w:spacing w:line="360" w:lineRule="auto"/>
        <w:ind w:firstLine="486"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1.具备《政府采购法》第二十二条规定的条件,且提供以下证明文件：</w:t>
      </w:r>
    </w:p>
    <w:p>
      <w:pPr>
        <w:tabs>
          <w:tab w:val="left" w:pos="0"/>
        </w:tabs>
        <w:wordWrap w:val="0"/>
        <w:spacing w:line="360" w:lineRule="auto"/>
        <w:ind w:firstLine="486"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（1）在中华人民共和国境内注册的具有独立承担民事责任能力的法人或其他组织（提供营业执照等证明文件）；</w:t>
      </w:r>
    </w:p>
    <w:p>
      <w:pPr>
        <w:tabs>
          <w:tab w:val="left" w:pos="0"/>
        </w:tabs>
        <w:wordWrap w:val="0"/>
        <w:spacing w:line="360" w:lineRule="auto"/>
        <w:ind w:firstLine="486"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szCs w:val="24"/>
          <w:highlight w:val="none"/>
        </w:rPr>
        <w:t>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内部的财务报表复印件（新成立公司提供成立至今的月或季度财务报表复印件）；或③截至</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文件递交截止日</w:t>
      </w:r>
      <w:r>
        <w:rPr>
          <w:rFonts w:hint="eastAsia" w:ascii="仿宋" w:hAnsi="仿宋" w:eastAsia="仿宋" w:cs="仿宋"/>
          <w:color w:val="auto"/>
          <w:sz w:val="24"/>
          <w:szCs w:val="24"/>
          <w:highlight w:val="none"/>
          <w:lang w:eastAsia="zh-CN"/>
        </w:rPr>
        <w:t>12个月内银行</w:t>
      </w:r>
      <w:r>
        <w:rPr>
          <w:rFonts w:hint="eastAsia" w:ascii="仿宋" w:hAnsi="仿宋" w:eastAsia="仿宋" w:cs="仿宋"/>
          <w:color w:val="auto"/>
          <w:sz w:val="24"/>
          <w:szCs w:val="24"/>
          <w:highlight w:val="none"/>
        </w:rPr>
        <w:t>出具的资信证明（复印件）；</w:t>
      </w:r>
    </w:p>
    <w:p>
      <w:pPr>
        <w:tabs>
          <w:tab w:val="left" w:pos="0"/>
        </w:tabs>
        <w:wordWrap w:val="0"/>
        <w:spacing w:line="360" w:lineRule="auto"/>
        <w:ind w:firstLine="486" w:firstLineChars="200"/>
        <w:jc w:val="lef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（3）比选截止时间近12个月内任意一个月的依法缴纳税收证明材料</w:t>
      </w:r>
      <w:r>
        <w:rPr>
          <w:rFonts w:hint="eastAsia" w:ascii="仿宋" w:hAnsi="仿宋" w:eastAsia="仿宋" w:cs="仿宋"/>
          <w:b/>
          <w:bCs/>
          <w:color w:val="auto"/>
          <w:sz w:val="24"/>
          <w:highlight w:val="none"/>
        </w:rPr>
        <w:t>（如依法免税，则须提供相应文件证明其依法免税）；</w:t>
      </w:r>
    </w:p>
    <w:p>
      <w:pPr>
        <w:tabs>
          <w:tab w:val="left" w:pos="0"/>
        </w:tabs>
        <w:wordWrap w:val="0"/>
        <w:spacing w:line="360" w:lineRule="auto"/>
        <w:ind w:firstLine="486" w:firstLineChars="200"/>
        <w:jc w:val="lef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（4）比选截止时间近12个月内任意一个月的依法缴纳社会保险凭据</w:t>
      </w:r>
      <w:r>
        <w:rPr>
          <w:rFonts w:hint="eastAsia" w:ascii="仿宋" w:hAnsi="仿宋" w:eastAsia="仿宋" w:cs="仿宋"/>
          <w:b/>
          <w:bCs/>
          <w:color w:val="auto"/>
          <w:sz w:val="24"/>
          <w:highlight w:val="none"/>
        </w:rPr>
        <w:t>（如依法不需要缴纳社保，则须提供相应文件证明其依法不需要缴纳）</w:t>
      </w:r>
      <w:r>
        <w:rPr>
          <w:rFonts w:hint="eastAsia" w:ascii="仿宋" w:hAnsi="仿宋" w:eastAsia="仿宋" w:cs="仿宋"/>
          <w:color w:val="auto"/>
          <w:sz w:val="24"/>
          <w:highlight w:val="none"/>
          <w:lang w:eastAsia="zh-CN"/>
        </w:rPr>
        <w:t>或书面声明。</w:t>
      </w:r>
    </w:p>
    <w:p>
      <w:pPr>
        <w:tabs>
          <w:tab w:val="left" w:pos="0"/>
        </w:tabs>
        <w:wordWrap w:val="0"/>
        <w:spacing w:line="360" w:lineRule="auto"/>
        <w:ind w:firstLine="486"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（5）履行合同所必需的设备和专业技术能力的证明材料或书面声明；</w:t>
      </w:r>
    </w:p>
    <w:p>
      <w:pPr>
        <w:tabs>
          <w:tab w:val="left" w:pos="0"/>
        </w:tabs>
        <w:wordWrap w:val="0"/>
        <w:spacing w:line="360" w:lineRule="auto"/>
        <w:ind w:firstLine="486"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pPr>
        <w:tabs>
          <w:tab w:val="left" w:pos="0"/>
        </w:tabs>
        <w:wordWrap w:val="0"/>
        <w:spacing w:line="360" w:lineRule="auto"/>
        <w:ind w:firstLine="486"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tabs>
          <w:tab w:val="left" w:pos="0"/>
        </w:tabs>
        <w:wordWrap w:val="0"/>
        <w:spacing w:line="360" w:lineRule="auto"/>
        <w:ind w:firstLine="486"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3.单位负责人为同一人或者存在直接控股、管理关系的不同供应商，不得参加同一包号</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lang w:val="zh-CN"/>
        </w:rPr>
        <w:t>或者未划分包号的同一采购项目。</w:t>
      </w:r>
      <w:r>
        <w:rPr>
          <w:rFonts w:hint="eastAsia" w:ascii="仿宋" w:hAnsi="仿宋" w:eastAsia="仿宋" w:cs="仿宋"/>
          <w:b/>
          <w:bCs/>
          <w:color w:val="auto"/>
          <w:sz w:val="24"/>
          <w:highlight w:val="none"/>
          <w:lang w:val="zh-CN"/>
        </w:rPr>
        <w:t>(供应商出具声明函)</w:t>
      </w:r>
    </w:p>
    <w:p>
      <w:pPr>
        <w:tabs>
          <w:tab w:val="left" w:pos="0"/>
        </w:tabs>
        <w:wordWrap w:val="0"/>
        <w:spacing w:line="360" w:lineRule="auto"/>
        <w:ind w:firstLine="486"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4.为本采购项目提供整体设计、规范编制或者项目管理、监理、检测等服务的供应商，不得再参加本采购项目的采购活动。</w:t>
      </w:r>
      <w:r>
        <w:rPr>
          <w:rFonts w:hint="eastAsia" w:ascii="仿宋" w:hAnsi="仿宋" w:eastAsia="仿宋" w:cs="仿宋"/>
          <w:b/>
          <w:bCs/>
          <w:color w:val="auto"/>
          <w:sz w:val="24"/>
          <w:highlight w:val="none"/>
          <w:lang w:val="zh-CN"/>
        </w:rPr>
        <w:t>(供应商出具声明函)</w:t>
      </w:r>
    </w:p>
    <w:p>
      <w:pPr>
        <w:tabs>
          <w:tab w:val="left" w:pos="0"/>
        </w:tabs>
        <w:wordWrap w:val="0"/>
        <w:spacing w:line="360" w:lineRule="auto"/>
        <w:ind w:firstLine="486" w:firstLineChars="200"/>
        <w:jc w:val="left"/>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rPr>
        <w:t>5.</w:t>
      </w:r>
      <w:r>
        <w:rPr>
          <w:rFonts w:hint="eastAsia" w:ascii="仿宋" w:hAnsi="仿宋" w:eastAsia="仿宋" w:cs="仿宋"/>
          <w:color w:val="auto"/>
          <w:sz w:val="24"/>
          <w:highlight w:val="none"/>
        </w:rPr>
        <w:t>本项目不接受联合体参加比选，不允许响应供应商对各比选项目进行分包或转包</w:t>
      </w:r>
      <w:r>
        <w:rPr>
          <w:rFonts w:hint="eastAsia" w:ascii="仿宋" w:hAnsi="仿宋" w:eastAsia="仿宋" w:cs="仿宋"/>
          <w:b/>
          <w:bCs/>
          <w:color w:val="auto"/>
          <w:sz w:val="24"/>
          <w:highlight w:val="none"/>
        </w:rPr>
        <w:t>(供应商出具声明函)</w:t>
      </w:r>
      <w:r>
        <w:rPr>
          <w:rFonts w:hint="eastAsia" w:ascii="仿宋" w:hAnsi="仿宋" w:eastAsia="仿宋" w:cs="仿宋"/>
          <w:color w:val="auto"/>
          <w:sz w:val="24"/>
          <w:highlight w:val="none"/>
          <w:lang w:eastAsia="zh-CN"/>
        </w:rPr>
        <w:t>。</w:t>
      </w:r>
    </w:p>
    <w:p>
      <w:pPr>
        <w:tabs>
          <w:tab w:val="left" w:pos="0"/>
        </w:tabs>
        <w:wordWrap w:val="0"/>
        <w:spacing w:line="360" w:lineRule="auto"/>
        <w:ind w:firstLine="486" w:firstLineChars="200"/>
        <w:jc w:val="left"/>
        <w:rPr>
          <w:rFonts w:hint="eastAsia" w:ascii="仿宋" w:hAnsi="仿宋" w:eastAsia="仿宋" w:cs="仿宋"/>
          <w:b w:val="0"/>
          <w:bCs w:val="0"/>
          <w:strike/>
          <w:color w:val="auto"/>
          <w:sz w:val="24"/>
          <w:highlight w:val="none"/>
          <w:lang w:val="en-US"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w:t>
      </w:r>
      <w:r>
        <w:rPr>
          <w:rFonts w:hint="eastAsia" w:ascii="仿宋" w:hAnsi="仿宋" w:eastAsia="仿宋" w:cs="仿宋"/>
          <w:strike w:val="0"/>
          <w:color w:val="auto"/>
          <w:sz w:val="24"/>
          <w:highlight w:val="none"/>
          <w:lang w:eastAsia="zh-CN"/>
        </w:rPr>
        <w:t>本项目是专门面向中小企业采购的项目，供应商应为中小微企业。（提供《中小企业声明函》,具体格式文件见比选文件P4</w:t>
      </w:r>
      <w:r>
        <w:rPr>
          <w:rFonts w:hint="eastAsia" w:ascii="仿宋" w:hAnsi="仿宋" w:eastAsia="仿宋" w:cs="仿宋"/>
          <w:strike w:val="0"/>
          <w:color w:val="auto"/>
          <w:sz w:val="24"/>
          <w:highlight w:val="none"/>
          <w:lang w:val="en-US" w:eastAsia="zh-CN"/>
        </w:rPr>
        <w:t>5</w:t>
      </w:r>
      <w:r>
        <w:rPr>
          <w:rFonts w:hint="eastAsia" w:ascii="仿宋" w:hAnsi="仿宋" w:eastAsia="仿宋" w:cs="仿宋"/>
          <w:strike w:val="0"/>
          <w:color w:val="auto"/>
          <w:sz w:val="24"/>
          <w:highlight w:val="none"/>
          <w:lang w:eastAsia="zh-CN"/>
        </w:rPr>
        <w:t>中小企业声明函，未按要求提供声明函的将导致响应无效）。</w:t>
      </w:r>
      <w:r>
        <w:rPr>
          <w:rFonts w:hint="eastAsia" w:ascii="仿宋" w:hAnsi="仿宋" w:eastAsia="仿宋" w:cs="仿宋"/>
          <w:strike w:val="0"/>
          <w:color w:val="auto"/>
          <w:sz w:val="24"/>
          <w:highlight w:val="none"/>
        </w:rPr>
        <w:t>本项目中小企业划</w:t>
      </w:r>
      <w:r>
        <w:rPr>
          <w:rFonts w:hint="eastAsia" w:ascii="仿宋" w:hAnsi="仿宋" w:eastAsia="仿宋" w:cs="仿宋"/>
          <w:b w:val="0"/>
          <w:bCs w:val="0"/>
          <w:strike w:val="0"/>
          <w:color w:val="auto"/>
          <w:sz w:val="24"/>
          <w:highlight w:val="none"/>
        </w:rPr>
        <w:t>分标准所属行业为</w:t>
      </w:r>
      <w:r>
        <w:rPr>
          <w:rFonts w:hint="eastAsia" w:ascii="仿宋" w:hAnsi="仿宋" w:eastAsia="仿宋" w:cs="仿宋"/>
          <w:b w:val="0"/>
          <w:bCs w:val="0"/>
          <w:strike w:val="0"/>
          <w:color w:val="auto"/>
          <w:sz w:val="24"/>
          <w:highlight w:val="none"/>
          <w:lang w:eastAsia="zh-CN"/>
        </w:rPr>
        <w:t>：</w:t>
      </w:r>
      <w:r>
        <w:rPr>
          <w:rFonts w:hint="eastAsia" w:ascii="仿宋" w:hAnsi="仿宋" w:eastAsia="仿宋" w:cs="仿宋"/>
          <w:b w:val="0"/>
          <w:bCs w:val="0"/>
          <w:strike w:val="0"/>
          <w:color w:val="auto"/>
          <w:sz w:val="24"/>
          <w:highlight w:val="none"/>
          <w:lang w:val="en-US" w:eastAsia="zh-CN"/>
        </w:rPr>
        <w:t>未列明行业</w:t>
      </w:r>
    </w:p>
    <w:p>
      <w:pPr>
        <w:tabs>
          <w:tab w:val="left" w:pos="0"/>
        </w:tabs>
        <w:wordWrap w:val="0"/>
        <w:spacing w:line="360" w:lineRule="auto"/>
        <w:ind w:firstLine="486"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7.已在医院办公室报名。</w:t>
      </w:r>
    </w:p>
    <w:p>
      <w:pPr>
        <w:autoSpaceDE w:val="0"/>
        <w:autoSpaceDN w:val="0"/>
        <w:spacing w:line="360" w:lineRule="auto"/>
        <w:ind w:firstLine="486"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响应供应商必须满足以上资格要求，如出现对任意一条不满足的，资格性审查将不通过。</w:t>
      </w:r>
    </w:p>
    <w:p>
      <w:pPr>
        <w:autoSpaceDE w:val="0"/>
        <w:autoSpaceDN w:val="0"/>
        <w:spacing w:line="360" w:lineRule="auto"/>
        <w:ind w:firstLine="486" w:firstLineChars="200"/>
        <w:rPr>
          <w:rFonts w:hint="eastAsia" w:ascii="仿宋" w:hAnsi="仿宋" w:eastAsia="仿宋" w:cs="仿宋"/>
          <w:b/>
          <w:bCs/>
          <w:color w:val="auto"/>
          <w:sz w:val="24"/>
          <w:highlight w:val="none"/>
          <w:lang w:val="zh-CN" w:eastAsia="zh-CN"/>
        </w:rPr>
      </w:pPr>
      <w:r>
        <w:rPr>
          <w:rFonts w:hint="eastAsia" w:ascii="仿宋" w:hAnsi="仿宋" w:eastAsia="仿宋" w:cs="仿宋"/>
          <w:b/>
          <w:color w:val="auto"/>
          <w:sz w:val="24"/>
          <w:highlight w:val="none"/>
        </w:rPr>
        <w:t>二、</w:t>
      </w:r>
      <w:r>
        <w:rPr>
          <w:rFonts w:hint="eastAsia" w:ascii="仿宋" w:hAnsi="仿宋" w:eastAsia="仿宋" w:cs="仿宋"/>
          <w:b/>
          <w:color w:val="auto"/>
          <w:sz w:val="24"/>
          <w:highlight w:val="none"/>
          <w:lang w:val="en-US" w:eastAsia="zh-CN"/>
        </w:rPr>
        <w:t>采购项目用户需求书</w:t>
      </w:r>
    </w:p>
    <w:p>
      <w:pPr>
        <w:numPr>
          <w:ilvl w:val="0"/>
          <w:numId w:val="0"/>
        </w:numPr>
        <w:spacing w:line="360" w:lineRule="auto"/>
        <w:ind w:firstLine="486" w:firstLineChars="200"/>
        <w:rPr>
          <w:rFonts w:hint="eastAsia" w:ascii="仿宋" w:hAnsi="仿宋" w:eastAsia="仿宋" w:cs="仿宋"/>
          <w:b/>
          <w:bCs/>
          <w:color w:val="auto"/>
          <w:sz w:val="24"/>
          <w:highlight w:val="none"/>
          <w:lang w:val="zh-CN" w:eastAsia="zh-CN"/>
        </w:rPr>
      </w:pPr>
      <w:r>
        <w:rPr>
          <w:rFonts w:hint="eastAsia" w:ascii="仿宋" w:hAnsi="仿宋" w:eastAsia="仿宋" w:cs="仿宋"/>
          <w:b/>
          <w:bCs/>
          <w:color w:val="auto"/>
          <w:sz w:val="24"/>
          <w:highlight w:val="none"/>
          <w:lang w:val="en-US" w:eastAsia="zh-CN"/>
        </w:rPr>
        <w:t>（一）响应</w:t>
      </w:r>
      <w:r>
        <w:rPr>
          <w:rFonts w:hint="eastAsia" w:ascii="仿宋" w:hAnsi="仿宋" w:eastAsia="仿宋" w:cs="仿宋"/>
          <w:b/>
          <w:bCs/>
          <w:color w:val="auto"/>
          <w:sz w:val="24"/>
          <w:highlight w:val="none"/>
          <w:lang w:val="zh-CN" w:eastAsia="zh-CN"/>
        </w:rPr>
        <w:t>基本要求</w:t>
      </w:r>
    </w:p>
    <w:p>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u w:val="none" w:color="auto"/>
        </w:rPr>
        <w:t>1</w:t>
      </w:r>
      <w:r>
        <w:rPr>
          <w:rFonts w:hint="eastAsia" w:ascii="仿宋" w:hAnsi="仿宋" w:eastAsia="仿宋" w:cs="仿宋"/>
          <w:b/>
          <w:color w:val="auto"/>
          <w:sz w:val="24"/>
          <w:highlight w:val="none"/>
          <w:u w:val="none" w:color="auto"/>
          <w:lang w:val="en-US" w:eastAsia="zh-CN"/>
        </w:rPr>
        <w:t>.</w:t>
      </w:r>
      <w:r>
        <w:rPr>
          <w:rFonts w:hint="eastAsia" w:ascii="仿宋" w:hAnsi="仿宋" w:eastAsia="仿宋" w:cs="仿宋"/>
          <w:b/>
          <w:color w:val="auto"/>
          <w:sz w:val="24"/>
          <w:highlight w:val="none"/>
          <w:u w:val="none" w:color="auto"/>
        </w:rPr>
        <w:t>本项目要求中所出现的产品工艺、材料、设备或参照的型号、品牌仅作为参考建议，不作为限制性要求。“采购项目技术参数要求”中所列参数为最低要求，供应商可以提供相当于或优于</w:t>
      </w:r>
      <w:r>
        <w:rPr>
          <w:rFonts w:hint="eastAsia" w:ascii="仿宋" w:hAnsi="仿宋" w:eastAsia="仿宋" w:cs="仿宋"/>
          <w:b/>
          <w:color w:val="auto"/>
          <w:sz w:val="24"/>
          <w:highlight w:val="none"/>
          <w:u w:val="none" w:color="auto"/>
          <w:lang w:eastAsia="zh-CN"/>
        </w:rPr>
        <w:t>比选</w:t>
      </w:r>
      <w:r>
        <w:rPr>
          <w:rFonts w:hint="eastAsia" w:ascii="仿宋" w:hAnsi="仿宋" w:eastAsia="仿宋" w:cs="仿宋"/>
          <w:b/>
          <w:color w:val="auto"/>
          <w:sz w:val="24"/>
          <w:highlight w:val="none"/>
          <w:u w:val="none" w:color="auto"/>
        </w:rPr>
        <w:t>文件参数的货物</w:t>
      </w:r>
      <w:r>
        <w:rPr>
          <w:rFonts w:hint="eastAsia" w:ascii="仿宋" w:hAnsi="仿宋" w:eastAsia="仿宋" w:cs="仿宋"/>
          <w:b/>
          <w:color w:val="auto"/>
          <w:sz w:val="24"/>
          <w:highlight w:val="none"/>
          <w:u w:val="none" w:color="auto"/>
          <w:lang w:eastAsia="zh-CN"/>
        </w:rPr>
        <w:t>，</w:t>
      </w:r>
      <w:r>
        <w:rPr>
          <w:rFonts w:hint="eastAsia" w:ascii="仿宋" w:hAnsi="仿宋" w:eastAsia="仿宋" w:cs="仿宋"/>
          <w:color w:val="auto"/>
          <w:sz w:val="24"/>
          <w:highlight w:val="none"/>
        </w:rPr>
        <w:t>至少应提供对主要技术参数的响应证明材料。响应供应商所响应产品应当提供厂商说明材料，厂商说明材料包括但不限于下列文件：</w:t>
      </w:r>
    </w:p>
    <w:p>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（1）响应产品的品牌、型号、详细配置参数；</w:t>
      </w:r>
    </w:p>
    <w:p>
      <w:pPr>
        <w:spacing w:line="360" w:lineRule="auto"/>
        <w:ind w:firstLine="480"/>
        <w:rPr>
          <w:rFonts w:hint="eastAsia" w:ascii="仿宋" w:hAnsi="仿宋" w:eastAsia="仿宋" w:cs="仿宋"/>
          <w:b/>
          <w:color w:val="auto"/>
          <w:sz w:val="24"/>
          <w:highlight w:val="none"/>
          <w:u w:val="none" w:color="auto"/>
          <w:lang w:eastAsia="zh-CN"/>
        </w:rPr>
      </w:pPr>
      <w:r>
        <w:rPr>
          <w:rFonts w:hint="eastAsia" w:ascii="仿宋" w:hAnsi="仿宋" w:eastAsia="仿宋" w:cs="仿宋"/>
          <w:color w:val="auto"/>
          <w:sz w:val="24"/>
          <w:highlight w:val="none"/>
        </w:rPr>
        <w:t>（2）能证实产品技术、配置参数的证明材料（包括：①能体现响应技术参数厂商的中文说明书或彩页或厂家主要技术参数说明函等；或②厂商针对本项目的产品详细配置响应表；或③厂商官方网站的技术白皮书打印稿，同时注明材料来源于官方网站的网址。以上文件均需加盖厂商或响应供应商公章）。</w:t>
      </w:r>
    </w:p>
    <w:p>
      <w:pPr>
        <w:autoSpaceDE w:val="0"/>
        <w:autoSpaceDN w:val="0"/>
        <w:spacing w:line="360" w:lineRule="auto"/>
        <w:ind w:firstLine="486"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2</w:t>
      </w:r>
      <w:r>
        <w:rPr>
          <w:rFonts w:hint="eastAsia" w:ascii="仿宋" w:hAnsi="仿宋" w:eastAsia="仿宋" w:cs="仿宋"/>
          <w:b/>
          <w:bCs/>
          <w:color w:val="auto"/>
          <w:sz w:val="24"/>
          <w:highlight w:val="none"/>
          <w:u w:val="none" w:color="auto"/>
          <w:lang w:val="en-US" w:eastAsia="zh-CN"/>
        </w:rPr>
        <w:t>.</w:t>
      </w:r>
      <w:r>
        <w:rPr>
          <w:rFonts w:hint="eastAsia" w:ascii="仿宋" w:hAnsi="仿宋" w:eastAsia="仿宋" w:cs="仿宋"/>
          <w:b/>
          <w:bCs/>
          <w:color w:val="auto"/>
          <w:sz w:val="24"/>
          <w:highlight w:val="none"/>
          <w:u w:val="none" w:color="auto"/>
        </w:rPr>
        <w:t>本采购项目中标注★号的内容为实质性要求和条件，如果响应供应商所比选货物、服务与具体要求存在不响应或者负偏离，在符合性审查时将不予通过，响应无效。</w:t>
      </w:r>
    </w:p>
    <w:p>
      <w:pPr>
        <w:autoSpaceDE w:val="0"/>
        <w:autoSpaceDN w:val="0"/>
        <w:spacing w:line="360" w:lineRule="auto"/>
        <w:ind w:firstLine="486"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kern w:val="0"/>
          <w:sz w:val="24"/>
          <w:highlight w:val="none"/>
          <w:u w:val="none" w:color="auto"/>
        </w:rPr>
        <w:t>3</w:t>
      </w:r>
      <w:r>
        <w:rPr>
          <w:rFonts w:hint="eastAsia" w:ascii="仿宋" w:hAnsi="仿宋" w:eastAsia="仿宋" w:cs="仿宋"/>
          <w:b/>
          <w:bCs/>
          <w:color w:val="auto"/>
          <w:kern w:val="0"/>
          <w:sz w:val="24"/>
          <w:highlight w:val="none"/>
          <w:u w:val="none" w:color="auto"/>
          <w:lang w:val="en-US" w:eastAsia="zh-CN"/>
        </w:rPr>
        <w:t>.</w:t>
      </w:r>
      <w:r>
        <w:rPr>
          <w:rFonts w:hint="eastAsia" w:ascii="仿宋" w:hAnsi="仿宋" w:eastAsia="仿宋" w:cs="仿宋"/>
          <w:b/>
          <w:bCs/>
          <w:color w:val="auto"/>
          <w:sz w:val="24"/>
          <w:highlight w:val="none"/>
          <w:u w:val="none" w:color="auto"/>
        </w:rPr>
        <w:t>本采购项目中标注▲号的内容为择优要求和条件，负偏离或不响应▲号条款的响应供应商将影响综合得分。</w:t>
      </w:r>
    </w:p>
    <w:p>
      <w:pPr>
        <w:autoSpaceDE w:val="0"/>
        <w:autoSpaceDN w:val="0"/>
        <w:spacing w:line="360" w:lineRule="auto"/>
        <w:ind w:firstLine="486"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4</w:t>
      </w:r>
      <w:r>
        <w:rPr>
          <w:rFonts w:hint="eastAsia" w:ascii="仿宋" w:hAnsi="仿宋" w:eastAsia="仿宋" w:cs="仿宋"/>
          <w:b/>
          <w:bCs/>
          <w:color w:val="auto"/>
          <w:sz w:val="24"/>
          <w:highlight w:val="none"/>
          <w:u w:val="none" w:color="auto"/>
          <w:lang w:val="en-US" w:eastAsia="zh-CN"/>
        </w:rPr>
        <w:t>.</w:t>
      </w:r>
      <w:r>
        <w:rPr>
          <w:rFonts w:hint="eastAsia" w:ascii="仿宋" w:hAnsi="仿宋" w:eastAsia="仿宋" w:cs="仿宋"/>
          <w:b/>
          <w:bCs/>
          <w:color w:val="auto"/>
          <w:sz w:val="24"/>
          <w:highlight w:val="none"/>
          <w:u w:val="none" w:color="auto"/>
          <w:lang w:eastAsia="zh-CN"/>
        </w:rPr>
        <w:t>响应供应商</w:t>
      </w:r>
      <w:r>
        <w:rPr>
          <w:rFonts w:hint="eastAsia" w:ascii="仿宋" w:hAnsi="仿宋" w:eastAsia="仿宋" w:cs="仿宋"/>
          <w:b/>
          <w:bCs/>
          <w:color w:val="auto"/>
          <w:sz w:val="24"/>
          <w:highlight w:val="none"/>
          <w:u w:val="none" w:color="auto"/>
        </w:rPr>
        <w:t>须提供独立密封</w:t>
      </w:r>
      <w:r>
        <w:rPr>
          <w:rFonts w:hint="eastAsia" w:ascii="仿宋" w:hAnsi="仿宋" w:eastAsia="仿宋" w:cs="仿宋"/>
          <w:b/>
          <w:bCs/>
          <w:strike w:val="0"/>
          <w:dstrike w:val="0"/>
          <w:color w:val="auto"/>
          <w:sz w:val="24"/>
          <w:highlight w:val="none"/>
          <w:u w:val="none" w:color="auto"/>
        </w:rPr>
        <w:t>和</w:t>
      </w:r>
      <w:r>
        <w:rPr>
          <w:rFonts w:hint="eastAsia" w:ascii="仿宋" w:hAnsi="仿宋" w:eastAsia="仿宋" w:cs="仿宋"/>
          <w:b/>
          <w:bCs/>
          <w:color w:val="auto"/>
          <w:sz w:val="24"/>
          <w:highlight w:val="none"/>
          <w:u w:val="none" w:color="auto"/>
          <w:lang w:val="en-US" w:eastAsia="zh-CN"/>
        </w:rPr>
        <w:t>装订成册</w:t>
      </w:r>
      <w:r>
        <w:rPr>
          <w:rFonts w:hint="eastAsia" w:ascii="仿宋" w:hAnsi="仿宋" w:eastAsia="仿宋" w:cs="仿宋"/>
          <w:b/>
          <w:bCs/>
          <w:color w:val="auto"/>
          <w:sz w:val="24"/>
          <w:highlight w:val="none"/>
          <w:u w:val="none" w:color="auto"/>
        </w:rPr>
        <w:t>“</w:t>
      </w:r>
      <w:r>
        <w:rPr>
          <w:rFonts w:hint="eastAsia" w:ascii="仿宋" w:hAnsi="仿宋" w:eastAsia="仿宋" w:cs="仿宋"/>
          <w:b/>
          <w:bCs/>
          <w:color w:val="auto"/>
          <w:sz w:val="24"/>
          <w:highlight w:val="none"/>
          <w:u w:val="none" w:color="auto"/>
          <w:lang w:eastAsia="zh-CN"/>
        </w:rPr>
        <w:t>比选</w:t>
      </w:r>
      <w:r>
        <w:rPr>
          <w:rFonts w:hint="eastAsia" w:ascii="仿宋" w:hAnsi="仿宋" w:eastAsia="仿宋" w:cs="仿宋"/>
          <w:b/>
          <w:bCs/>
          <w:color w:val="auto"/>
          <w:sz w:val="24"/>
          <w:highlight w:val="none"/>
          <w:u w:val="none" w:color="auto"/>
        </w:rPr>
        <w:t>响应文件”</w:t>
      </w:r>
      <w:r>
        <w:rPr>
          <w:rFonts w:hint="eastAsia" w:ascii="仿宋" w:hAnsi="仿宋" w:eastAsia="仿宋" w:cs="仿宋"/>
          <w:b/>
          <w:bCs/>
          <w:color w:val="auto"/>
          <w:sz w:val="24"/>
          <w:highlight w:val="none"/>
          <w:u w:val="none" w:color="auto"/>
          <w:lang w:eastAsia="zh-CN"/>
        </w:rPr>
        <w:t>一式两份</w:t>
      </w:r>
      <w:r>
        <w:rPr>
          <w:rFonts w:hint="eastAsia" w:ascii="仿宋" w:hAnsi="仿宋" w:eastAsia="仿宋" w:cs="仿宋"/>
          <w:b/>
          <w:bCs/>
          <w:color w:val="auto"/>
          <w:sz w:val="24"/>
          <w:highlight w:val="none"/>
          <w:u w:val="none" w:color="auto"/>
        </w:rPr>
        <w:t>，否则其响应文件将被拒收。</w:t>
      </w:r>
    </w:p>
    <w:p>
      <w:pPr>
        <w:autoSpaceDE w:val="0"/>
        <w:autoSpaceDN w:val="0"/>
        <w:spacing w:line="440" w:lineRule="exact"/>
        <w:ind w:firstLine="486"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三、</w:t>
      </w:r>
      <w:r>
        <w:rPr>
          <w:rFonts w:hint="eastAsia" w:ascii="仿宋" w:hAnsi="仿宋" w:eastAsia="仿宋" w:cs="仿宋"/>
          <w:b/>
          <w:color w:val="auto"/>
          <w:sz w:val="24"/>
          <w:highlight w:val="none"/>
          <w:lang w:eastAsia="zh-CN"/>
        </w:rPr>
        <w:t>项目概况</w:t>
      </w:r>
    </w:p>
    <w:p>
      <w:pPr>
        <w:numPr>
          <w:ilvl w:val="0"/>
          <w:numId w:val="0"/>
        </w:numPr>
        <w:autoSpaceDE w:val="0"/>
        <w:autoSpaceDN w:val="0"/>
        <w:spacing w:line="360" w:lineRule="auto"/>
        <w:ind w:firstLine="486"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为更好地落实惠市卫函〔2025〕15 号，关于印发《惠州市全生命周期健康服务体系建设项目实施方案》中的子项目——依托惠州市第一妇幼保健院，建设妇幼技能培训中心的任务，提升区域妇幼健康服务能力，推进市级妇幼技能培训中心建设。惠州市第一妇幼保健院拟开展“模拟教学思维与方法师资培训班项目”，培养一批具备模拟教学能力的师资队伍，完成开展市级妇幼医务人员的急救、教学、妇幼专科诊疗技术等相关的技能培训的建设指标，且为实现高质量、高标准的模拟教学，及儿科住院医师规范化培训基地提供教学保障。</w:t>
      </w:r>
    </w:p>
    <w:p>
      <w:pPr>
        <w:numPr>
          <w:ilvl w:val="0"/>
          <w:numId w:val="0"/>
        </w:numPr>
        <w:autoSpaceDE w:val="0"/>
        <w:autoSpaceDN w:val="0"/>
        <w:spacing w:line="360" w:lineRule="auto"/>
        <w:ind w:firstLine="486" w:firstLineChars="200"/>
        <w:rPr>
          <w:rFonts w:hint="eastAsia" w:ascii="仿宋" w:hAnsi="仿宋" w:eastAsia="仿宋" w:cs="仿宋"/>
          <w:b/>
          <w:bCs/>
          <w:color w:val="auto"/>
          <w:sz w:val="24"/>
          <w:highlight w:val="none"/>
          <w:lang w:val="zh-CN" w:eastAsia="zh-CN"/>
        </w:rPr>
      </w:pPr>
      <w:r>
        <w:rPr>
          <w:rFonts w:hint="eastAsia" w:ascii="仿宋" w:hAnsi="仿宋" w:eastAsia="仿宋" w:cs="仿宋"/>
          <w:b/>
          <w:bCs/>
          <w:color w:val="auto"/>
          <w:sz w:val="24"/>
          <w:highlight w:val="none"/>
          <w:lang w:val="zh-CN" w:eastAsia="zh-CN"/>
        </w:rPr>
        <w:t>四、项目内容及服务要求：</w:t>
      </w:r>
    </w:p>
    <w:p>
      <w:pPr>
        <w:numPr>
          <w:ilvl w:val="0"/>
          <w:numId w:val="0"/>
        </w:numPr>
        <w:autoSpaceDE w:val="0"/>
        <w:autoSpaceDN w:val="0"/>
        <w:spacing w:line="360" w:lineRule="auto"/>
        <w:ind w:firstLine="486"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（一）本项目为</w:t>
      </w:r>
      <w:r>
        <w:rPr>
          <w:rFonts w:hint="eastAsia" w:ascii="仿宋" w:hAnsi="仿宋" w:eastAsia="仿宋" w:cs="仿宋"/>
          <w:strike w:val="0"/>
          <w:dstrike w:val="0"/>
          <w:color w:val="auto"/>
          <w:sz w:val="24"/>
          <w:highlight w:val="none"/>
          <w:lang w:val="zh-CN" w:eastAsia="zh-CN"/>
        </w:rPr>
        <w:t>采购人</w:t>
      </w:r>
      <w:r>
        <w:rPr>
          <w:rFonts w:hint="eastAsia" w:ascii="仿宋" w:hAnsi="仿宋" w:eastAsia="仿宋" w:cs="仿宋"/>
          <w:color w:val="auto"/>
          <w:sz w:val="24"/>
          <w:highlight w:val="none"/>
          <w:lang w:val="zh-CN" w:eastAsia="zh-CN"/>
        </w:rPr>
        <w:t>培训60名医护人员，课程主题为模拟教学思维与方法，授课天数合计8天，共96学时。授课结束后开展考核，参加培训的人员考核通过后为合格的模拟骨干师资，并获得培训证书。</w:t>
      </w:r>
    </w:p>
    <w:p>
      <w:pPr>
        <w:numPr>
          <w:ilvl w:val="0"/>
          <w:numId w:val="0"/>
        </w:numPr>
        <w:autoSpaceDE w:val="0"/>
        <w:autoSpaceDN w:val="0"/>
        <w:spacing w:line="360" w:lineRule="auto"/>
        <w:ind w:firstLine="486"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（二）合同签订后，同步分别为参考培训的人员提供线上自学课程96学时。</w:t>
      </w:r>
    </w:p>
    <w:p>
      <w:pPr>
        <w:numPr>
          <w:ilvl w:val="0"/>
          <w:numId w:val="0"/>
        </w:numPr>
        <w:autoSpaceDE w:val="0"/>
        <w:autoSpaceDN w:val="0"/>
        <w:spacing w:line="360" w:lineRule="auto"/>
        <w:ind w:firstLine="486"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（三）课程内容</w:t>
      </w:r>
    </w:p>
    <w:p>
      <w:pPr>
        <w:numPr>
          <w:ilvl w:val="0"/>
          <w:numId w:val="0"/>
        </w:numPr>
        <w:autoSpaceDE w:val="0"/>
        <w:autoSpaceDN w:val="0"/>
        <w:spacing w:line="360" w:lineRule="auto"/>
        <w:ind w:firstLine="486"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1.模拟教学思维与方法师资培训班</w:t>
      </w:r>
    </w:p>
    <w:p>
      <w:pPr>
        <w:numPr>
          <w:ilvl w:val="0"/>
          <w:numId w:val="0"/>
        </w:numPr>
        <w:autoSpaceDE w:val="0"/>
        <w:autoSpaceDN w:val="0"/>
        <w:spacing w:line="360" w:lineRule="auto"/>
        <w:ind w:firstLine="486"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zh-CN" w:eastAsia="zh-CN"/>
        </w:rPr>
        <w:t>）理论授课模块：医学模拟教学相关理论及实践；学习目标设定；模拟复盘技巧；制作核查表与等级量表；如何实施评估。</w:t>
      </w:r>
    </w:p>
    <w:p>
      <w:pPr>
        <w:numPr>
          <w:ilvl w:val="0"/>
          <w:numId w:val="0"/>
        </w:numPr>
        <w:autoSpaceDE w:val="0"/>
        <w:autoSpaceDN w:val="0"/>
        <w:spacing w:line="360" w:lineRule="auto"/>
        <w:ind w:firstLine="486"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zh-CN" w:eastAsia="zh-CN"/>
        </w:rPr>
        <w:t>）教案运行模块：模拟教案书写；运用高仿真模拟人运行模拟案例。</w:t>
      </w:r>
    </w:p>
    <w:p>
      <w:pPr>
        <w:numPr>
          <w:ilvl w:val="0"/>
          <w:numId w:val="0"/>
        </w:numPr>
        <w:autoSpaceDE w:val="0"/>
        <w:autoSpaceDN w:val="0"/>
        <w:spacing w:line="360" w:lineRule="auto"/>
        <w:ind w:firstLine="486"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zh-CN" w:eastAsia="zh-CN"/>
        </w:rPr>
        <w:t>）培训周期：一期3天，共2期、6天，不少于72学时。</w:t>
      </w:r>
    </w:p>
    <w:p>
      <w:pPr>
        <w:numPr>
          <w:ilvl w:val="0"/>
          <w:numId w:val="0"/>
        </w:numPr>
        <w:autoSpaceDE w:val="0"/>
        <w:autoSpaceDN w:val="0"/>
        <w:spacing w:line="360" w:lineRule="auto"/>
        <w:ind w:firstLine="486"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val="zh-CN" w:eastAsia="zh-CN"/>
        </w:rPr>
        <w:t>）培训人数：50人。</w:t>
      </w:r>
    </w:p>
    <w:p>
      <w:pPr>
        <w:numPr>
          <w:ilvl w:val="0"/>
          <w:numId w:val="0"/>
        </w:numPr>
        <w:autoSpaceDE w:val="0"/>
        <w:autoSpaceDN w:val="0"/>
        <w:spacing w:line="360" w:lineRule="auto"/>
        <w:ind w:firstLine="486"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val="zh-CN" w:eastAsia="zh-CN"/>
        </w:rPr>
        <w:t>）培训对象：主治医师以上，内科、外科、妇产、麻醉专业。</w:t>
      </w:r>
    </w:p>
    <w:p>
      <w:pPr>
        <w:numPr>
          <w:ilvl w:val="0"/>
          <w:numId w:val="0"/>
        </w:numPr>
        <w:autoSpaceDE w:val="0"/>
        <w:autoSpaceDN w:val="0"/>
        <w:spacing w:line="360" w:lineRule="auto"/>
        <w:ind w:firstLine="486"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2.模拟教学思维与方法师资培训班（护理专业）</w:t>
      </w:r>
    </w:p>
    <w:p>
      <w:pPr>
        <w:numPr>
          <w:ilvl w:val="0"/>
          <w:numId w:val="0"/>
        </w:numPr>
        <w:autoSpaceDE w:val="0"/>
        <w:autoSpaceDN w:val="0"/>
        <w:spacing w:line="360" w:lineRule="auto"/>
        <w:ind w:firstLine="486"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zh-CN" w:eastAsia="zh-CN"/>
        </w:rPr>
        <w:t>）授课内容：护理模拟教学目标设定；情境模拟教案书写；Briefing与Debriefing的应用；教案点评与修改；情境模拟案例运行。</w:t>
      </w:r>
    </w:p>
    <w:p>
      <w:pPr>
        <w:numPr>
          <w:ilvl w:val="0"/>
          <w:numId w:val="0"/>
        </w:numPr>
        <w:autoSpaceDE w:val="0"/>
        <w:autoSpaceDN w:val="0"/>
        <w:spacing w:line="360" w:lineRule="auto"/>
        <w:ind w:firstLine="486"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zh-CN" w:eastAsia="zh-CN"/>
        </w:rPr>
        <w:t>）培训周期：一期2天，共1期，不少于24学时。</w:t>
      </w:r>
    </w:p>
    <w:p>
      <w:pPr>
        <w:numPr>
          <w:ilvl w:val="0"/>
          <w:numId w:val="0"/>
        </w:numPr>
        <w:autoSpaceDE w:val="0"/>
        <w:autoSpaceDN w:val="0"/>
        <w:spacing w:line="360" w:lineRule="auto"/>
        <w:ind w:firstLine="486"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zh-CN" w:eastAsia="zh-CN"/>
        </w:rPr>
        <w:t>）培训人数：10人。</w:t>
      </w:r>
    </w:p>
    <w:p>
      <w:pPr>
        <w:numPr>
          <w:ilvl w:val="0"/>
          <w:numId w:val="0"/>
        </w:numPr>
        <w:autoSpaceDE w:val="0"/>
        <w:autoSpaceDN w:val="0"/>
        <w:spacing w:line="360" w:lineRule="auto"/>
        <w:ind w:firstLine="486"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val="zh-CN" w:eastAsia="zh-CN"/>
        </w:rPr>
        <w:t>）培训对象：护理专业。</w:t>
      </w:r>
    </w:p>
    <w:p>
      <w:pPr>
        <w:numPr>
          <w:ilvl w:val="0"/>
          <w:numId w:val="0"/>
        </w:numPr>
        <w:autoSpaceDE w:val="0"/>
        <w:autoSpaceDN w:val="0"/>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zh-CN" w:eastAsia="zh-CN"/>
        </w:rPr>
        <w:t>（四）服务要求</w:t>
      </w:r>
    </w:p>
    <w:p>
      <w:pPr>
        <w:numPr>
          <w:ilvl w:val="0"/>
          <w:numId w:val="0"/>
        </w:numPr>
        <w:autoSpaceDE w:val="0"/>
        <w:autoSpaceDN w:val="0"/>
        <w:spacing w:line="360" w:lineRule="auto"/>
        <w:ind w:firstLine="486"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zh-CN" w:eastAsia="zh-CN"/>
        </w:rPr>
        <w:t>线上自学课程</w:t>
      </w:r>
    </w:p>
    <w:p>
      <w:pPr>
        <w:numPr>
          <w:ilvl w:val="0"/>
          <w:numId w:val="0"/>
        </w:numPr>
        <w:autoSpaceDE w:val="0"/>
        <w:autoSpaceDN w:val="0"/>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zh-CN" w:eastAsia="zh-CN"/>
        </w:rPr>
        <w:t>）开放时间：自合同签订之日起至2026年12月31日。</w:t>
      </w:r>
    </w:p>
    <w:p>
      <w:pPr>
        <w:numPr>
          <w:ilvl w:val="0"/>
          <w:numId w:val="0"/>
        </w:numPr>
        <w:autoSpaceDE w:val="0"/>
        <w:autoSpaceDN w:val="0"/>
        <w:spacing w:line="360" w:lineRule="auto"/>
        <w:ind w:firstLine="486"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zh-CN" w:eastAsia="zh-CN"/>
        </w:rPr>
        <w:t>）学习方式：提供网络自学平台供医护人员进行课后视频学习并记录，可满足在电脑端及手机端访问。</w:t>
      </w:r>
    </w:p>
    <w:p>
      <w:pPr>
        <w:numPr>
          <w:ilvl w:val="0"/>
          <w:numId w:val="0"/>
        </w:numPr>
        <w:autoSpaceDE w:val="0"/>
        <w:autoSpaceDN w:val="0"/>
        <w:spacing w:line="360" w:lineRule="auto"/>
        <w:ind w:firstLine="486"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zh-CN" w:eastAsia="zh-CN"/>
        </w:rPr>
        <w:t>）开放学时：不少于96学时。</w:t>
      </w:r>
    </w:p>
    <w:p>
      <w:pPr>
        <w:numPr>
          <w:ilvl w:val="0"/>
          <w:numId w:val="0"/>
        </w:numPr>
        <w:autoSpaceDE w:val="0"/>
        <w:autoSpaceDN w:val="0"/>
        <w:spacing w:line="360" w:lineRule="auto"/>
        <w:ind w:firstLine="486"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zh-CN" w:eastAsia="zh-CN"/>
        </w:rPr>
        <w:t>人员要求</w:t>
      </w:r>
    </w:p>
    <w:p>
      <w:pPr>
        <w:numPr>
          <w:ilvl w:val="0"/>
          <w:numId w:val="0"/>
        </w:numPr>
        <w:autoSpaceDE w:val="0"/>
        <w:autoSpaceDN w:val="0"/>
        <w:spacing w:line="360" w:lineRule="auto"/>
        <w:ind w:firstLine="486"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zh-CN" w:eastAsia="zh-CN"/>
        </w:rPr>
        <w:t>提供不少于3名具备“985”或“211”院校附属医院的高级职称的授课专家。</w:t>
      </w:r>
    </w:p>
    <w:p>
      <w:pPr>
        <w:numPr>
          <w:ilvl w:val="0"/>
          <w:numId w:val="0"/>
        </w:numPr>
        <w:autoSpaceDE w:val="0"/>
        <w:autoSpaceDN w:val="0"/>
        <w:spacing w:line="360" w:lineRule="auto"/>
        <w:ind w:firstLine="486"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zh-CN" w:eastAsia="zh-CN"/>
        </w:rPr>
        <w:t>）提供持有广东省医师协会考核合格证书且能够配合教案演练的标准化病人的人员。</w:t>
      </w:r>
    </w:p>
    <w:p>
      <w:pPr>
        <w:numPr>
          <w:ilvl w:val="0"/>
          <w:numId w:val="0"/>
        </w:numPr>
        <w:autoSpaceDE w:val="0"/>
        <w:autoSpaceDN w:val="0"/>
        <w:spacing w:line="360" w:lineRule="auto"/>
        <w:ind w:firstLine="486"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zh-CN" w:eastAsia="zh-CN"/>
        </w:rPr>
        <w:t>）配备辅教2名，负责协调培训工作、设备安装演示、制作课程材料、专家接送及安排食宿等相关事宜。</w:t>
      </w:r>
    </w:p>
    <w:p>
      <w:pPr>
        <w:numPr>
          <w:ilvl w:val="0"/>
          <w:numId w:val="0"/>
        </w:numPr>
        <w:autoSpaceDE w:val="0"/>
        <w:autoSpaceDN w:val="0"/>
        <w:spacing w:line="360" w:lineRule="auto"/>
        <w:ind w:firstLine="486"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val="zh-CN" w:eastAsia="zh-CN"/>
        </w:rPr>
        <w:t>）配备项目负责人1名，负责课程的整体设计、统筹专家进行集体备课、把控培训质量等相关事宜。</w:t>
      </w:r>
    </w:p>
    <w:p>
      <w:pPr>
        <w:numPr>
          <w:ilvl w:val="0"/>
          <w:numId w:val="0"/>
        </w:numPr>
        <w:autoSpaceDE w:val="0"/>
        <w:autoSpaceDN w:val="0"/>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3.教学设备</w:t>
      </w:r>
    </w:p>
    <w:p>
      <w:pPr>
        <w:numPr>
          <w:ilvl w:val="0"/>
          <w:numId w:val="0"/>
        </w:numPr>
        <w:autoSpaceDE w:val="0"/>
        <w:autoSpaceDN w:val="0"/>
        <w:spacing w:line="360" w:lineRule="auto"/>
        <w:ind w:firstLine="486"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负责提供现场教学的模具设备。</w:t>
      </w:r>
    </w:p>
    <w:p>
      <w:pPr>
        <w:numPr>
          <w:ilvl w:val="0"/>
          <w:numId w:val="0"/>
        </w:numPr>
        <w:autoSpaceDE w:val="0"/>
        <w:autoSpaceDN w:val="0"/>
        <w:spacing w:line="360" w:lineRule="auto"/>
        <w:ind w:firstLine="486"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（五）培训证书</w:t>
      </w:r>
    </w:p>
    <w:p>
      <w:pPr>
        <w:numPr>
          <w:ilvl w:val="0"/>
          <w:numId w:val="0"/>
        </w:numPr>
        <w:autoSpaceDE w:val="0"/>
        <w:autoSpaceDN w:val="0"/>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zh-CN" w:eastAsia="zh-CN"/>
        </w:rPr>
        <w:t>通过考核并发放培训结业证书。</w:t>
      </w:r>
    </w:p>
    <w:p>
      <w:pPr>
        <w:numPr>
          <w:ilvl w:val="0"/>
          <w:numId w:val="0"/>
        </w:numPr>
        <w:autoSpaceDE w:val="0"/>
        <w:autoSpaceDN w:val="0"/>
        <w:spacing w:line="360" w:lineRule="auto"/>
        <w:ind w:firstLine="486" w:firstLineChars="200"/>
        <w:rPr>
          <w:rFonts w:hint="eastAsia" w:ascii="仿宋" w:hAnsi="仿宋" w:eastAsia="仿宋" w:cs="仿宋"/>
          <w:b/>
          <w:bCs/>
          <w:color w:val="auto"/>
          <w:sz w:val="24"/>
          <w:highlight w:val="none"/>
          <w:lang w:val="zh-CN" w:eastAsia="zh-CN"/>
        </w:rPr>
      </w:pPr>
      <w:r>
        <w:rPr>
          <w:rFonts w:hint="eastAsia" w:ascii="仿宋" w:hAnsi="仿宋" w:eastAsia="仿宋" w:cs="仿宋"/>
          <w:b/>
          <w:bCs/>
          <w:color w:val="auto"/>
          <w:sz w:val="24"/>
          <w:highlight w:val="none"/>
          <w:lang w:val="zh-CN" w:eastAsia="zh-CN"/>
        </w:rPr>
        <w:t>五、商务要求</w:t>
      </w:r>
    </w:p>
    <w:p>
      <w:pPr>
        <w:numPr>
          <w:ilvl w:val="0"/>
          <w:numId w:val="0"/>
        </w:numPr>
        <w:autoSpaceDE w:val="0"/>
        <w:autoSpaceDN w:val="0"/>
        <w:spacing w:line="360" w:lineRule="auto"/>
        <w:ind w:firstLine="486"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（一）报价要求：</w:t>
      </w:r>
    </w:p>
    <w:p>
      <w:pPr>
        <w:numPr>
          <w:ilvl w:val="0"/>
          <w:numId w:val="0"/>
        </w:numPr>
        <w:autoSpaceDE w:val="0"/>
        <w:autoSpaceDN w:val="0"/>
        <w:spacing w:line="360" w:lineRule="auto"/>
        <w:ind w:firstLine="486"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1.报价方式为供应商以总价报价的方式进行报价。</w:t>
      </w:r>
    </w:p>
    <w:p>
      <w:pPr>
        <w:numPr>
          <w:ilvl w:val="0"/>
          <w:numId w:val="0"/>
        </w:numPr>
        <w:autoSpaceDE w:val="0"/>
        <w:autoSpaceDN w:val="0"/>
        <w:spacing w:line="360" w:lineRule="auto"/>
        <w:ind w:firstLine="486"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2.报价总价指供应商为完成本项目所收取的全部费用。</w:t>
      </w:r>
    </w:p>
    <w:p>
      <w:pPr>
        <w:numPr>
          <w:ilvl w:val="0"/>
          <w:numId w:val="0"/>
        </w:numPr>
        <w:autoSpaceDE w:val="0"/>
        <w:autoSpaceDN w:val="0"/>
        <w:spacing w:line="360" w:lineRule="auto"/>
        <w:ind w:firstLine="486"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3.响应总价包含但不限于:企业服务费、聘请专家费、差旅费、策划组织、课时费及培训资料等费用。</w:t>
      </w:r>
    </w:p>
    <w:p>
      <w:pPr>
        <w:numPr>
          <w:ilvl w:val="0"/>
          <w:numId w:val="0"/>
        </w:numPr>
        <w:autoSpaceDE w:val="0"/>
        <w:autoSpaceDN w:val="0"/>
        <w:spacing w:line="360" w:lineRule="auto"/>
        <w:ind w:firstLine="486"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4.供应商须考虑本项目在实施期间的一切可能产生的费用。</w:t>
      </w:r>
    </w:p>
    <w:p>
      <w:pPr>
        <w:numPr>
          <w:ilvl w:val="0"/>
          <w:numId w:val="0"/>
        </w:numPr>
        <w:autoSpaceDE w:val="0"/>
        <w:autoSpaceDN w:val="0"/>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（二）服务期限：</w:t>
      </w:r>
    </w:p>
    <w:p>
      <w:pPr>
        <w:numPr>
          <w:ilvl w:val="0"/>
          <w:numId w:val="0"/>
        </w:numPr>
        <w:autoSpaceDE w:val="0"/>
        <w:autoSpaceDN w:val="0"/>
        <w:spacing w:line="360" w:lineRule="auto"/>
        <w:ind w:firstLine="486"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zh-CN" w:eastAsia="zh-CN"/>
        </w:rPr>
        <w:t>模拟教学思维与方法师资培训班共计</w:t>
      </w:r>
      <w:r>
        <w:rPr>
          <w:rFonts w:hint="eastAsia" w:ascii="仿宋" w:hAnsi="仿宋" w:eastAsia="仿宋" w:cs="仿宋"/>
          <w:color w:val="auto"/>
          <w:sz w:val="24"/>
          <w:highlight w:val="none"/>
          <w:lang w:val="en-US" w:eastAsia="zh-CN"/>
        </w:rPr>
        <w:t>2期8天的课程于2025年6月30日前完成，</w:t>
      </w:r>
      <w:r>
        <w:rPr>
          <w:rFonts w:hint="eastAsia" w:ascii="仿宋" w:hAnsi="仿宋" w:eastAsia="仿宋" w:cs="仿宋"/>
          <w:color w:val="auto"/>
          <w:sz w:val="24"/>
          <w:highlight w:val="none"/>
          <w:lang w:val="zh-CN" w:eastAsia="zh-CN"/>
        </w:rPr>
        <w:t>线上自学课程</w:t>
      </w:r>
      <w:r>
        <w:rPr>
          <w:rFonts w:hint="eastAsia" w:ascii="仿宋" w:hAnsi="仿宋" w:eastAsia="仿宋" w:cs="仿宋"/>
          <w:color w:val="auto"/>
          <w:sz w:val="24"/>
          <w:highlight w:val="none"/>
          <w:lang w:val="en-US" w:eastAsia="zh-CN"/>
        </w:rPr>
        <w:t>于培训班结束后立即给予开通，并保留学习权限到2026年12月31日。</w:t>
      </w:r>
    </w:p>
    <w:p>
      <w:pPr>
        <w:numPr>
          <w:ilvl w:val="0"/>
          <w:numId w:val="0"/>
        </w:numPr>
        <w:autoSpaceDE w:val="0"/>
        <w:autoSpaceDN w:val="0"/>
        <w:spacing w:line="360" w:lineRule="auto"/>
        <w:ind w:firstLine="486"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（三）付款方式：</w:t>
      </w:r>
    </w:p>
    <w:p>
      <w:pPr>
        <w:numPr>
          <w:ilvl w:val="0"/>
          <w:numId w:val="0"/>
        </w:numPr>
        <w:autoSpaceDE w:val="0"/>
        <w:autoSpaceDN w:val="0"/>
        <w:spacing w:line="360" w:lineRule="auto"/>
        <w:ind w:firstLine="486"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1.分期付款</w:t>
      </w:r>
    </w:p>
    <w:p>
      <w:pPr>
        <w:numPr>
          <w:ilvl w:val="0"/>
          <w:numId w:val="0"/>
        </w:numPr>
        <w:autoSpaceDE w:val="0"/>
        <w:autoSpaceDN w:val="0"/>
        <w:spacing w:line="360" w:lineRule="auto"/>
        <w:ind w:firstLine="486"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（1）采购人在合同签订后15个工作日内完成预付款支付，预付款比例为合同金额的30%，供应商开具相应金额发票。</w:t>
      </w:r>
    </w:p>
    <w:p>
      <w:pPr>
        <w:numPr>
          <w:ilvl w:val="0"/>
          <w:numId w:val="0"/>
        </w:numPr>
        <w:autoSpaceDE w:val="0"/>
        <w:autoSpaceDN w:val="0"/>
        <w:spacing w:line="360" w:lineRule="auto"/>
        <w:ind w:firstLine="486"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（2）项目整体完成并验收合格后15个工作日内支付合同金额的70%。供应商开具相应金额发票。</w:t>
      </w:r>
    </w:p>
    <w:p>
      <w:pPr>
        <w:numPr>
          <w:ilvl w:val="0"/>
          <w:numId w:val="0"/>
        </w:numPr>
        <w:autoSpaceDE w:val="0"/>
        <w:autoSpaceDN w:val="0"/>
        <w:spacing w:line="360" w:lineRule="auto"/>
        <w:ind w:firstLine="486"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2.支付方式采用银行转账支付，供应商必须向采购人出具合法有效完整的完税发票及凭证进行支付结算。</w:t>
      </w:r>
    </w:p>
    <w:p>
      <w:pPr>
        <w:numPr>
          <w:ilvl w:val="0"/>
          <w:numId w:val="0"/>
        </w:numPr>
        <w:autoSpaceDE w:val="0"/>
        <w:autoSpaceDN w:val="0"/>
        <w:spacing w:line="360" w:lineRule="auto"/>
        <w:ind w:firstLine="486"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3.该合同款项（部分）由财政拨付，如非因采购人原因，而是因财政资金没有及时拨付到位而导致延期支付的，供应商对此予以谅解，不予追究采购人任何违约责任。</w:t>
      </w:r>
    </w:p>
    <w:p>
      <w:pPr>
        <w:numPr>
          <w:ilvl w:val="0"/>
          <w:numId w:val="0"/>
        </w:numPr>
        <w:autoSpaceDE w:val="0"/>
        <w:autoSpaceDN w:val="0"/>
        <w:spacing w:line="360" w:lineRule="auto"/>
        <w:ind w:firstLine="486"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zh-CN" w:eastAsia="zh-CN"/>
        </w:rPr>
        <w:t>（四）验收标准</w:t>
      </w:r>
    </w:p>
    <w:p>
      <w:pPr>
        <w:numPr>
          <w:ilvl w:val="0"/>
          <w:numId w:val="0"/>
        </w:numPr>
        <w:autoSpaceDE w:val="0"/>
        <w:autoSpaceDN w:val="0"/>
        <w:spacing w:line="360" w:lineRule="auto"/>
        <w:ind w:firstLine="486"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1.完成60名医护人员的模拟骨干师资培训，考核合格并获得结业证书。</w:t>
      </w:r>
    </w:p>
    <w:p>
      <w:pPr>
        <w:numPr>
          <w:ilvl w:val="0"/>
          <w:numId w:val="0"/>
        </w:numPr>
        <w:autoSpaceDE w:val="0"/>
        <w:autoSpaceDN w:val="0"/>
        <w:spacing w:line="360" w:lineRule="auto"/>
        <w:ind w:firstLine="486"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2.提供模拟教案4份。</w:t>
      </w:r>
    </w:p>
    <w:p>
      <w:pPr>
        <w:numPr>
          <w:ilvl w:val="0"/>
          <w:numId w:val="0"/>
        </w:numPr>
        <w:autoSpaceDE w:val="0"/>
        <w:autoSpaceDN w:val="0"/>
        <w:spacing w:line="360" w:lineRule="auto"/>
        <w:ind w:firstLine="486"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3.服务经过双方确认后，签署验收文件。</w:t>
      </w:r>
    </w:p>
    <w:p>
      <w:pPr>
        <w:numPr>
          <w:ilvl w:val="0"/>
          <w:numId w:val="0"/>
        </w:numPr>
        <w:autoSpaceDE w:val="0"/>
        <w:autoSpaceDN w:val="0"/>
        <w:spacing w:line="360" w:lineRule="auto"/>
        <w:ind w:firstLine="486"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五</w:t>
      </w:r>
      <w:r>
        <w:rPr>
          <w:rFonts w:hint="eastAsia" w:ascii="仿宋" w:hAnsi="仿宋" w:eastAsia="仿宋" w:cs="仿宋"/>
          <w:color w:val="auto"/>
          <w:sz w:val="24"/>
          <w:highlight w:val="none"/>
          <w:lang w:val="zh-CN" w:eastAsia="zh-CN"/>
        </w:rPr>
        <w:t>）售后服务：</w:t>
      </w:r>
    </w:p>
    <w:p>
      <w:pPr>
        <w:numPr>
          <w:ilvl w:val="0"/>
          <w:numId w:val="0"/>
        </w:numPr>
        <w:autoSpaceDE w:val="0"/>
        <w:autoSpaceDN w:val="0"/>
        <w:spacing w:line="360" w:lineRule="auto"/>
        <w:ind w:firstLine="486"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提供后续咨询及配套相关辅导资料。</w:t>
      </w:r>
    </w:p>
    <w:p>
      <w:pPr>
        <w:numPr>
          <w:ilvl w:val="0"/>
          <w:numId w:val="0"/>
        </w:numPr>
        <w:autoSpaceDE w:val="0"/>
        <w:autoSpaceDN w:val="0"/>
        <w:spacing w:line="360" w:lineRule="auto"/>
        <w:ind w:firstLine="486"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（六）违约责任</w:t>
      </w:r>
    </w:p>
    <w:p>
      <w:pPr>
        <w:numPr>
          <w:ilvl w:val="0"/>
          <w:numId w:val="0"/>
        </w:numPr>
        <w:autoSpaceDE w:val="0"/>
        <w:autoSpaceDN w:val="0"/>
        <w:spacing w:line="360" w:lineRule="auto"/>
        <w:ind w:firstLine="486"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zh-CN" w:eastAsia="zh-CN"/>
        </w:rPr>
        <w:t>乙方违约责任：</w:t>
      </w:r>
    </w:p>
    <w:p>
      <w:pPr>
        <w:numPr>
          <w:ilvl w:val="0"/>
          <w:numId w:val="0"/>
        </w:numPr>
        <w:autoSpaceDE w:val="0"/>
        <w:autoSpaceDN w:val="0"/>
        <w:spacing w:line="360" w:lineRule="auto"/>
        <w:ind w:firstLine="486"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zh-CN" w:eastAsia="zh-CN"/>
        </w:rPr>
        <w:t>）乙方提供的服务不符合采购文件、报价文件或本合同规定的，甲方有权拒收，并且乙方须向甲方支付本合同金额5%的违约金。</w:t>
      </w:r>
    </w:p>
    <w:p>
      <w:pPr>
        <w:numPr>
          <w:ilvl w:val="0"/>
          <w:numId w:val="0"/>
        </w:numPr>
        <w:autoSpaceDE w:val="0"/>
        <w:autoSpaceDN w:val="0"/>
        <w:spacing w:line="360" w:lineRule="auto"/>
        <w:ind w:firstLine="486"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zh-CN" w:eastAsia="zh-CN"/>
        </w:rPr>
        <w:t>）乙方未能按本合同规定时间提供服务的，从逾期之日起每日按本合同金额的万分之五的数额向甲方支付违约金；逾期半个月以上的，甲方有权终止合同，由此造成的甲方经济损失由乙方承担。</w:t>
      </w:r>
    </w:p>
    <w:p>
      <w:pPr>
        <w:numPr>
          <w:ilvl w:val="0"/>
          <w:numId w:val="0"/>
        </w:numPr>
        <w:autoSpaceDE w:val="0"/>
        <w:autoSpaceDN w:val="0"/>
        <w:spacing w:line="360" w:lineRule="auto"/>
        <w:ind w:firstLine="486"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zh-CN" w:eastAsia="zh-CN"/>
        </w:rPr>
        <w:t>甲方违约责任：</w:t>
      </w:r>
    </w:p>
    <w:p>
      <w:pPr>
        <w:numPr>
          <w:ilvl w:val="0"/>
          <w:numId w:val="0"/>
        </w:numPr>
        <w:autoSpaceDE w:val="0"/>
        <w:autoSpaceDN w:val="0"/>
        <w:spacing w:line="360" w:lineRule="auto"/>
        <w:ind w:firstLine="486"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zh-CN" w:eastAsia="zh-CN"/>
        </w:rPr>
        <w:t>）甲方无正当理由拒收接受服务，到期拒付服务款项的，甲方向乙方支付拒付款项5%的违约金。甲方逾期付款，则每日按应付款的万分之五向乙方支付违约金。</w:t>
      </w:r>
    </w:p>
    <w:p>
      <w:pPr>
        <w:numPr>
          <w:ilvl w:val="0"/>
          <w:numId w:val="0"/>
        </w:numPr>
        <w:autoSpaceDE w:val="0"/>
        <w:autoSpaceDN w:val="0"/>
        <w:spacing w:line="360" w:lineRule="auto"/>
        <w:ind w:firstLine="486"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zh-CN" w:eastAsia="zh-CN"/>
        </w:rPr>
        <w:t>）其它违约责任按《中华人民共和国民法典》处理。</w:t>
      </w:r>
    </w:p>
    <w:p>
      <w:pPr>
        <w:numPr>
          <w:ilvl w:val="0"/>
          <w:numId w:val="0"/>
        </w:numPr>
        <w:autoSpaceDE w:val="0"/>
        <w:autoSpaceDN w:val="0"/>
        <w:spacing w:line="360" w:lineRule="auto"/>
        <w:ind w:firstLine="486" w:firstLineChars="200"/>
        <w:rPr>
          <w:rFonts w:hint="eastAsia" w:ascii="仿宋" w:hAnsi="仿宋" w:eastAsia="仿宋" w:cs="仿宋"/>
          <w:color w:val="auto"/>
          <w:sz w:val="24"/>
          <w:highlight w:val="none"/>
          <w:lang w:val="zh-CN" w:eastAsia="zh-CN"/>
        </w:rPr>
      </w:pPr>
    </w:p>
    <w:p>
      <w:pPr>
        <w:spacing w:line="380" w:lineRule="exact"/>
        <w:jc w:val="center"/>
        <w:rPr>
          <w:rFonts w:hint="eastAsia" w:ascii="仿宋" w:hAnsi="仿宋" w:eastAsia="仿宋" w:cs="仿宋"/>
          <w:b/>
          <w:color w:val="auto"/>
          <w:sz w:val="28"/>
          <w:szCs w:val="28"/>
          <w:highlight w:val="none"/>
        </w:rPr>
      </w:pPr>
    </w:p>
    <w:p>
      <w:pPr>
        <w:spacing w:line="380" w:lineRule="exact"/>
        <w:jc w:val="center"/>
        <w:rPr>
          <w:rFonts w:hint="eastAsia" w:ascii="仿宋" w:hAnsi="仿宋" w:eastAsia="仿宋" w:cs="仿宋"/>
          <w:b/>
          <w:color w:val="auto"/>
          <w:sz w:val="28"/>
          <w:szCs w:val="28"/>
          <w:highlight w:val="none"/>
        </w:rPr>
      </w:pPr>
    </w:p>
    <w:p>
      <w:pPr>
        <w:spacing w:line="380" w:lineRule="exact"/>
        <w:jc w:val="center"/>
        <w:rPr>
          <w:rFonts w:hint="eastAsia" w:ascii="仿宋" w:hAnsi="仿宋" w:eastAsia="仿宋" w:cs="仿宋"/>
          <w:b/>
          <w:color w:val="auto"/>
          <w:sz w:val="28"/>
          <w:szCs w:val="28"/>
          <w:highlight w:val="none"/>
        </w:rPr>
      </w:pPr>
    </w:p>
    <w:p>
      <w:pPr>
        <w:spacing w:line="380" w:lineRule="exact"/>
        <w:jc w:val="center"/>
        <w:rPr>
          <w:rFonts w:hint="eastAsia" w:ascii="仿宋" w:hAnsi="仿宋" w:eastAsia="仿宋" w:cs="仿宋"/>
          <w:b/>
          <w:color w:val="auto"/>
          <w:sz w:val="28"/>
          <w:szCs w:val="28"/>
          <w:highlight w:val="none"/>
        </w:rPr>
      </w:pPr>
    </w:p>
    <w:p>
      <w:pPr>
        <w:spacing w:line="380" w:lineRule="exact"/>
        <w:jc w:val="center"/>
        <w:rPr>
          <w:rFonts w:hint="eastAsia" w:ascii="仿宋" w:hAnsi="仿宋" w:eastAsia="仿宋" w:cs="仿宋"/>
          <w:b/>
          <w:color w:val="auto"/>
          <w:sz w:val="28"/>
          <w:szCs w:val="28"/>
          <w:highlight w:val="none"/>
        </w:rPr>
      </w:pPr>
    </w:p>
    <w:p>
      <w:pPr>
        <w:spacing w:line="380" w:lineRule="exact"/>
        <w:jc w:val="both"/>
        <w:rPr>
          <w:rFonts w:hint="eastAsia" w:ascii="仿宋" w:hAnsi="仿宋" w:eastAsia="仿宋" w:cs="仿宋"/>
          <w:b/>
          <w:color w:val="auto"/>
          <w:sz w:val="28"/>
          <w:szCs w:val="28"/>
          <w:highlight w:val="none"/>
        </w:rPr>
      </w:pPr>
    </w:p>
    <w:p>
      <w:pPr>
        <w:spacing w:line="380" w:lineRule="exact"/>
        <w:jc w:val="both"/>
        <w:rPr>
          <w:rFonts w:hint="eastAsia" w:ascii="仿宋" w:hAnsi="仿宋" w:eastAsia="仿宋" w:cs="仿宋"/>
          <w:b/>
          <w:color w:val="auto"/>
          <w:sz w:val="28"/>
          <w:szCs w:val="28"/>
          <w:highlight w:val="none"/>
        </w:rPr>
      </w:pPr>
    </w:p>
    <w:p>
      <w:pPr>
        <w:spacing w:line="38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第三部分  响应供应商须知</w:t>
      </w:r>
    </w:p>
    <w:p>
      <w:pPr>
        <w:pStyle w:val="8"/>
        <w:adjustRightInd w:val="0"/>
        <w:snapToGrid w:val="0"/>
        <w:spacing w:line="380" w:lineRule="exact"/>
        <w:rPr>
          <w:rFonts w:hint="eastAsia" w:ascii="仿宋" w:hAnsi="仿宋" w:eastAsia="仿宋" w:cs="仿宋"/>
          <w:color w:val="auto"/>
          <w:sz w:val="28"/>
          <w:szCs w:val="28"/>
          <w:highlight w:val="none"/>
        </w:rPr>
      </w:pP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一、</w:t>
      </w:r>
      <w:r>
        <w:rPr>
          <w:rFonts w:hint="eastAsia" w:ascii="仿宋" w:hAnsi="仿宋" w:eastAsia="仿宋" w:cs="仿宋"/>
          <w:b/>
          <w:color w:val="auto"/>
          <w:sz w:val="24"/>
          <w:szCs w:val="24"/>
          <w:highlight w:val="none"/>
          <w:lang w:val="en-US" w:eastAsia="zh-CN"/>
        </w:rPr>
        <w:t xml:space="preserve">名词解释         </w:t>
      </w:r>
    </w:p>
    <w:p>
      <w:pPr>
        <w:pStyle w:val="8"/>
        <w:keepNext w:val="0"/>
        <w:keepLines w:val="0"/>
        <w:pageBreakBefore w:val="0"/>
        <w:widowControl/>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1.定义</w:t>
      </w:r>
    </w:p>
    <w:p>
      <w:pPr>
        <w:pStyle w:val="8"/>
        <w:keepNext w:val="0"/>
        <w:keepLines w:val="0"/>
        <w:pageBreakBefore w:val="0"/>
        <w:widowControl/>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“采购人”是指：</w:t>
      </w:r>
      <w:r>
        <w:rPr>
          <w:rFonts w:hint="eastAsia" w:ascii="仿宋" w:hAnsi="仿宋" w:eastAsia="仿宋" w:cs="仿宋"/>
          <w:color w:val="auto"/>
          <w:sz w:val="24"/>
          <w:szCs w:val="24"/>
          <w:highlight w:val="none"/>
          <w:u w:val="none"/>
          <w:lang w:eastAsia="zh-CN"/>
        </w:rPr>
        <w:t>惠州市第一妇幼保健院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是采购活动当事人之一，负责项目的整体规划、技术方案可行性设计论证与实施，作为合同采购方（用户）的主体承担质疑回复、履行合同、验收与评价等义务。</w:t>
      </w:r>
    </w:p>
    <w:p>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“监管部门”是指：</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项目监督管理部门。</w:t>
      </w:r>
    </w:p>
    <w:p>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“响应供应商”是指响应本文件要求，参加</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的法人或者其他组织。</w:t>
      </w:r>
    </w:p>
    <w:p>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合格的响应</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是指符合以下条件的：</w:t>
      </w:r>
    </w:p>
    <w:p>
      <w:pPr>
        <w:pStyle w:val="8"/>
        <w:adjustRightInd w:val="0"/>
        <w:snapToGrid w:val="0"/>
        <w:spacing w:line="360" w:lineRule="auto"/>
        <w:ind w:firstLine="729" w:firstLineChars="3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snapToGrid w:val="0"/>
          <w:color w:val="auto"/>
          <w:kern w:val="0"/>
          <w:sz w:val="24"/>
          <w:szCs w:val="24"/>
          <w:highlight w:val="none"/>
        </w:rPr>
        <w:t>符合《政府采购法》第二十二条规定的供应商。</w:t>
      </w:r>
    </w:p>
    <w:p>
      <w:pPr>
        <w:pStyle w:val="8"/>
        <w:adjustRightInd w:val="0"/>
        <w:snapToGrid w:val="0"/>
        <w:spacing w:line="360" w:lineRule="auto"/>
        <w:ind w:firstLine="729"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）符合</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en-US" w:eastAsia="zh-CN"/>
        </w:rPr>
        <w:t>供应商资格</w:t>
      </w:r>
      <w:r>
        <w:rPr>
          <w:rFonts w:hint="eastAsia" w:ascii="仿宋" w:hAnsi="仿宋" w:eastAsia="仿宋" w:cs="仿宋"/>
          <w:color w:val="auto"/>
          <w:sz w:val="24"/>
          <w:szCs w:val="24"/>
          <w:highlight w:val="none"/>
        </w:rPr>
        <w:t>”规定要求；</w:t>
      </w:r>
    </w:p>
    <w:p>
      <w:pPr>
        <w:pStyle w:val="8"/>
        <w:adjustRightInd w:val="0"/>
        <w:snapToGrid w:val="0"/>
        <w:spacing w:line="360" w:lineRule="auto"/>
        <w:ind w:firstLine="729" w:firstLineChars="300"/>
        <w:rPr>
          <w:rFonts w:hint="eastAsia" w:ascii="仿宋" w:hAnsi="仿宋" w:eastAsia="仿宋" w:cs="仿宋"/>
          <w:color w:val="auto"/>
          <w:sz w:val="24"/>
          <w:szCs w:val="24"/>
          <w:highlight w:val="none"/>
          <w:lang w:val="hr-HR"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hr-HR" w:eastAsia="zh-CN"/>
        </w:rPr>
        <w:t>按要求进行</w:t>
      </w:r>
      <w:r>
        <w:rPr>
          <w:rFonts w:hint="eastAsia" w:ascii="仿宋" w:hAnsi="仿宋" w:eastAsia="仿宋" w:cs="仿宋"/>
          <w:color w:val="auto"/>
          <w:sz w:val="24"/>
          <w:szCs w:val="24"/>
          <w:highlight w:val="none"/>
          <w:lang w:val="en-US" w:eastAsia="zh-CN"/>
        </w:rPr>
        <w:t>资格性符合性审查（即满足采购条件和要求）</w:t>
      </w:r>
      <w:r>
        <w:rPr>
          <w:rFonts w:hint="eastAsia" w:ascii="仿宋" w:hAnsi="仿宋" w:eastAsia="仿宋" w:cs="仿宋"/>
          <w:color w:val="auto"/>
          <w:sz w:val="24"/>
          <w:szCs w:val="24"/>
          <w:highlight w:val="none"/>
          <w:lang w:val="hr-HR" w:eastAsia="zh-CN"/>
        </w:rPr>
        <w:t>并通过；</w:t>
      </w:r>
    </w:p>
    <w:p>
      <w:pPr>
        <w:pStyle w:val="8"/>
        <w:adjustRightInd w:val="0"/>
        <w:snapToGrid w:val="0"/>
        <w:spacing w:line="360" w:lineRule="auto"/>
        <w:ind w:firstLine="486"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供应商”是指经</w:t>
      </w:r>
      <w:r>
        <w:rPr>
          <w:rFonts w:hint="eastAsia" w:ascii="仿宋" w:hAnsi="仿宋" w:eastAsia="仿宋" w:cs="仿宋"/>
          <w:color w:val="auto"/>
          <w:sz w:val="24"/>
          <w:szCs w:val="24"/>
          <w:highlight w:val="none"/>
          <w:lang w:val="en-US" w:eastAsia="zh-CN"/>
        </w:rPr>
        <w:t>评审小组</w:t>
      </w:r>
      <w:r>
        <w:rPr>
          <w:rFonts w:hint="eastAsia" w:ascii="仿宋" w:hAnsi="仿宋" w:eastAsia="仿宋" w:cs="仿宋"/>
          <w:color w:val="auto"/>
          <w:sz w:val="24"/>
          <w:szCs w:val="24"/>
          <w:highlight w:val="none"/>
        </w:rPr>
        <w:t>评审确定的对</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文件做出实质性响应，经采购人按照规定在</w:t>
      </w:r>
      <w:r>
        <w:rPr>
          <w:rFonts w:hint="eastAsia" w:ascii="仿宋" w:hAnsi="仿宋" w:eastAsia="仿宋" w:cs="仿宋"/>
          <w:color w:val="auto"/>
          <w:sz w:val="24"/>
          <w:szCs w:val="24"/>
          <w:highlight w:val="none"/>
          <w:lang w:val="en-US" w:eastAsia="zh-CN"/>
        </w:rPr>
        <w:t>评审小组</w:t>
      </w:r>
      <w:r>
        <w:rPr>
          <w:rFonts w:hint="eastAsia" w:ascii="仿宋" w:hAnsi="仿宋" w:eastAsia="仿宋" w:cs="仿宋"/>
          <w:color w:val="auto"/>
          <w:sz w:val="24"/>
          <w:szCs w:val="24"/>
          <w:highlight w:val="none"/>
        </w:rPr>
        <w:t>推荐的</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候选人中确定的</w:t>
      </w:r>
      <w:r>
        <w:rPr>
          <w:rFonts w:hint="eastAsia" w:ascii="仿宋" w:hAnsi="仿宋" w:eastAsia="仿宋" w:cs="仿宋"/>
          <w:color w:val="auto"/>
          <w:sz w:val="24"/>
          <w:szCs w:val="24"/>
          <w:highlight w:val="none"/>
          <w:lang w:val="en-US" w:eastAsia="zh-CN"/>
        </w:rPr>
        <w:t>响应供应商</w:t>
      </w:r>
      <w:r>
        <w:rPr>
          <w:rFonts w:hint="eastAsia" w:ascii="仿宋" w:hAnsi="仿宋" w:eastAsia="仿宋" w:cs="仿宋"/>
          <w:color w:val="auto"/>
          <w:sz w:val="24"/>
          <w:szCs w:val="24"/>
          <w:highlight w:val="none"/>
        </w:rPr>
        <w:t>。</w:t>
      </w:r>
    </w:p>
    <w:p>
      <w:pPr>
        <w:pStyle w:val="8"/>
        <w:adjustRightInd w:val="0"/>
        <w:snapToGrid w:val="0"/>
        <w:spacing w:line="360" w:lineRule="auto"/>
        <w:ind w:firstLine="486"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（6）采购</w:t>
      </w:r>
      <w:r>
        <w:rPr>
          <w:rFonts w:hint="eastAsia" w:ascii="仿宋" w:hAnsi="仿宋" w:eastAsia="仿宋" w:cs="仿宋"/>
          <w:color w:val="auto"/>
          <w:sz w:val="24"/>
          <w:szCs w:val="24"/>
          <w:highlight w:val="none"/>
        </w:rPr>
        <w:t>文件：是指包括</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公告和</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文件及其补充、变更和澄清等一系列文件。</w:t>
      </w:r>
    </w:p>
    <w:p>
      <w:pPr>
        <w:pStyle w:val="8"/>
        <w:adjustRightInd w:val="0"/>
        <w:snapToGrid w:val="0"/>
        <w:spacing w:line="360" w:lineRule="auto"/>
        <w:ind w:firstLine="486"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（7）“响应文件”是指：供应商根据本文件要求，编制包含报价、技术和服务等所有内容的实质性响应文件。</w:t>
      </w:r>
    </w:p>
    <w:p>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合格的货物和服务：</w:t>
      </w:r>
    </w:p>
    <w:p>
      <w:pPr>
        <w:pStyle w:val="8"/>
        <w:keepNext w:val="0"/>
        <w:keepLines w:val="0"/>
        <w:pageBreakBefore w:val="0"/>
        <w:widowControl w:val="0"/>
        <w:kinsoku/>
        <w:wordWrap/>
        <w:overflowPunct/>
        <w:topLinePunct w:val="0"/>
        <w:bidi w:val="0"/>
        <w:adjustRightInd w:val="0"/>
        <w:snapToGrid w:val="0"/>
        <w:spacing w:line="360" w:lineRule="auto"/>
        <w:ind w:firstLine="486"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color w:val="auto"/>
          <w:sz w:val="24"/>
          <w:highlight w:val="none"/>
        </w:rPr>
        <w:t>“货物”是指</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制造或组织符合</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文件要求的货物等。</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文件中没有提及</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货物来源地的，根据《政府采购法》的相关规定均应是本国货物。</w:t>
      </w:r>
      <w:r>
        <w:rPr>
          <w:rFonts w:hint="eastAsia" w:ascii="仿宋" w:hAnsi="仿宋" w:eastAsia="仿宋" w:cs="仿宋"/>
          <w:snapToGrid w:val="0"/>
          <w:color w:val="auto"/>
          <w:kern w:val="0"/>
          <w:sz w:val="24"/>
          <w:highlight w:val="none"/>
          <w:lang w:eastAsia="zh-CN"/>
        </w:rPr>
        <w:t>响应</w:t>
      </w:r>
      <w:r>
        <w:rPr>
          <w:rFonts w:hint="eastAsia" w:ascii="仿宋" w:hAnsi="仿宋" w:eastAsia="仿宋" w:cs="仿宋"/>
          <w:snapToGrid w:val="0"/>
          <w:color w:val="auto"/>
          <w:kern w:val="0"/>
          <w:sz w:val="24"/>
          <w:highlight w:val="none"/>
        </w:rPr>
        <w:t>的货物必须是其合法生产的符合国家有关标准要求的货物，并满足我院</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文件规定的规格、参数、质量、价格、有效期、售后服务等要求。</w:t>
      </w:r>
    </w:p>
    <w:p>
      <w:pPr>
        <w:pStyle w:val="8"/>
        <w:keepNext w:val="0"/>
        <w:keepLines w:val="0"/>
        <w:pageBreakBefore w:val="0"/>
        <w:widowControl w:val="0"/>
        <w:kinsoku/>
        <w:wordWrap/>
        <w:overflowPunct/>
        <w:topLinePunct w:val="0"/>
        <w:bidi w:val="0"/>
        <w:adjustRightInd w:val="0"/>
        <w:snapToGrid w:val="0"/>
        <w:spacing w:line="360" w:lineRule="auto"/>
        <w:ind w:firstLine="486"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“服务”是指除货物和工程以外的采购对象，其中包括：</w:t>
      </w:r>
      <w:r>
        <w:rPr>
          <w:rFonts w:hint="eastAsia" w:ascii="仿宋" w:hAnsi="仿宋" w:eastAsia="仿宋" w:cs="仿宋"/>
          <w:snapToGrid w:val="0"/>
          <w:color w:val="auto"/>
          <w:kern w:val="0"/>
          <w:sz w:val="24"/>
          <w:highlight w:val="none"/>
          <w:lang w:val="en-US" w:eastAsia="zh-CN"/>
        </w:rPr>
        <w:t>响应供应商</w:t>
      </w:r>
      <w:r>
        <w:rPr>
          <w:rFonts w:hint="eastAsia" w:ascii="仿宋" w:hAnsi="仿宋" w:eastAsia="仿宋" w:cs="仿宋"/>
          <w:snapToGrid w:val="0"/>
          <w:color w:val="auto"/>
          <w:kern w:val="0"/>
          <w:sz w:val="24"/>
          <w:highlight w:val="none"/>
        </w:rPr>
        <w:t>需承担的运输、安装、技术支持、培训以及</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文件规定的其他服务。</w:t>
      </w:r>
    </w:p>
    <w:p>
      <w:pPr>
        <w:pStyle w:val="8"/>
        <w:adjustRightInd w:val="0"/>
        <w:snapToGrid w:val="0"/>
        <w:spacing w:line="360" w:lineRule="auto"/>
        <w:ind w:firstLine="486" w:firstLineChars="200"/>
        <w:rPr>
          <w:rFonts w:hint="eastAsia" w:ascii="仿宋" w:hAnsi="仿宋" w:eastAsia="仿宋" w:cs="仿宋"/>
          <w:b w:val="0"/>
          <w:bCs w:val="0"/>
          <w:snapToGrid w:val="0"/>
          <w:color w:val="auto"/>
          <w:kern w:val="0"/>
          <w:sz w:val="24"/>
          <w:highlight w:val="none"/>
          <w:u w:val="none"/>
        </w:rPr>
      </w:pPr>
      <w:r>
        <w:rPr>
          <w:rFonts w:hint="eastAsia" w:ascii="仿宋" w:hAnsi="仿宋" w:eastAsia="仿宋" w:cs="仿宋"/>
          <w:b w:val="0"/>
          <w:bCs w:val="0"/>
          <w:snapToGrid w:val="0"/>
          <w:color w:val="auto"/>
          <w:kern w:val="0"/>
          <w:sz w:val="24"/>
          <w:szCs w:val="21"/>
          <w:highlight w:val="none"/>
          <w:u w:val="none"/>
          <w:lang w:val="en-US" w:eastAsia="zh-CN" w:bidi="ar-SA"/>
        </w:rPr>
        <w:t>2</w:t>
      </w:r>
      <w:r>
        <w:rPr>
          <w:rFonts w:hint="eastAsia" w:ascii="仿宋" w:hAnsi="仿宋" w:eastAsia="仿宋" w:cs="仿宋"/>
          <w:b w:val="0"/>
          <w:bCs w:val="0"/>
          <w:snapToGrid w:val="0"/>
          <w:color w:val="auto"/>
          <w:kern w:val="0"/>
          <w:sz w:val="24"/>
          <w:highlight w:val="none"/>
          <w:u w:val="none"/>
          <w:lang w:val="en-US" w:eastAsia="zh-CN"/>
        </w:rPr>
        <w:t>.</w:t>
      </w:r>
      <w:r>
        <w:rPr>
          <w:rFonts w:hint="eastAsia" w:ascii="仿宋" w:hAnsi="仿宋" w:eastAsia="仿宋" w:cs="仿宋"/>
          <w:b w:val="0"/>
          <w:bCs w:val="0"/>
          <w:snapToGrid w:val="0"/>
          <w:color w:val="auto"/>
          <w:kern w:val="0"/>
          <w:sz w:val="24"/>
          <w:highlight w:val="none"/>
          <w:u w:val="none"/>
        </w:rPr>
        <w:t>响应费用：</w:t>
      </w:r>
      <w:r>
        <w:rPr>
          <w:rFonts w:hint="eastAsia" w:ascii="仿宋" w:hAnsi="仿宋" w:eastAsia="仿宋" w:cs="仿宋"/>
          <w:b w:val="0"/>
          <w:bCs w:val="0"/>
          <w:snapToGrid w:val="0"/>
          <w:color w:val="auto"/>
          <w:kern w:val="0"/>
          <w:sz w:val="24"/>
          <w:highlight w:val="none"/>
          <w:u w:val="none"/>
          <w:lang w:eastAsia="zh-CN"/>
        </w:rPr>
        <w:t>响应供应商</w:t>
      </w:r>
      <w:r>
        <w:rPr>
          <w:rFonts w:hint="eastAsia" w:ascii="仿宋" w:hAnsi="仿宋" w:eastAsia="仿宋" w:cs="仿宋"/>
          <w:b w:val="0"/>
          <w:bCs w:val="0"/>
          <w:snapToGrid w:val="0"/>
          <w:color w:val="auto"/>
          <w:kern w:val="0"/>
          <w:sz w:val="24"/>
          <w:highlight w:val="none"/>
          <w:u w:val="none"/>
        </w:rPr>
        <w:t>应承担所有与准备和参加响应有关的费用。</w:t>
      </w:r>
    </w:p>
    <w:p>
      <w:pPr>
        <w:pStyle w:val="8"/>
        <w:adjustRightInd w:val="0"/>
        <w:snapToGrid w:val="0"/>
        <w:spacing w:line="360" w:lineRule="auto"/>
        <w:ind w:firstLine="486"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3</w:t>
      </w:r>
      <w:r>
        <w:rPr>
          <w:rFonts w:hint="eastAsia" w:ascii="仿宋" w:hAnsi="仿宋" w:eastAsia="仿宋" w:cs="仿宋"/>
          <w:snapToGrid w:val="0"/>
          <w:color w:val="auto"/>
          <w:kern w:val="0"/>
          <w:sz w:val="24"/>
          <w:highlight w:val="none"/>
        </w:rPr>
        <w:t>.“响应供应商名称”及“</w:t>
      </w:r>
      <w:r>
        <w:rPr>
          <w:rFonts w:hint="eastAsia" w:ascii="仿宋" w:hAnsi="仿宋" w:eastAsia="仿宋" w:cs="仿宋"/>
          <w:snapToGrid w:val="0"/>
          <w:color w:val="auto"/>
          <w:kern w:val="0"/>
          <w:sz w:val="24"/>
          <w:highlight w:val="none"/>
          <w:lang w:eastAsia="zh-CN"/>
        </w:rPr>
        <w:t>盖章</w:t>
      </w:r>
      <w:r>
        <w:rPr>
          <w:rFonts w:hint="eastAsia" w:ascii="仿宋" w:hAnsi="仿宋" w:eastAsia="仿宋" w:cs="仿宋"/>
          <w:snapToGrid w:val="0"/>
          <w:color w:val="auto"/>
          <w:kern w:val="0"/>
          <w:sz w:val="24"/>
          <w:highlight w:val="none"/>
        </w:rPr>
        <w:t>”：在响应文件及相关的其他资料中，涉及“响应供应商名称”的应在对应文件编辑时使用文本录入方式，或在纸质响应文件上进行手写签名或电子印章</w:t>
      </w:r>
      <w:r>
        <w:rPr>
          <w:rFonts w:hint="eastAsia" w:ascii="仿宋" w:hAnsi="仿宋" w:eastAsia="仿宋" w:cs="仿宋"/>
          <w:snapToGrid w:val="0"/>
          <w:color w:val="auto"/>
          <w:kern w:val="0"/>
          <w:sz w:val="24"/>
          <w:highlight w:val="none"/>
          <w:lang w:eastAsia="zh-CN"/>
        </w:rPr>
        <w:t>。</w:t>
      </w:r>
    </w:p>
    <w:p>
      <w:pPr>
        <w:pStyle w:val="8"/>
        <w:adjustRightInd w:val="0"/>
        <w:snapToGrid w:val="0"/>
        <w:spacing w:line="360" w:lineRule="auto"/>
        <w:ind w:firstLine="486"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4.</w:t>
      </w:r>
      <w:r>
        <w:rPr>
          <w:rFonts w:hint="eastAsia" w:ascii="仿宋" w:hAnsi="仿宋" w:eastAsia="仿宋" w:cs="仿宋"/>
          <w:snapToGrid w:val="0"/>
          <w:color w:val="auto"/>
          <w:kern w:val="0"/>
          <w:sz w:val="24"/>
          <w:highlight w:val="none"/>
        </w:rPr>
        <w:t>“</w:t>
      </w:r>
      <w:r>
        <w:rPr>
          <w:rFonts w:hint="eastAsia" w:ascii="仿宋" w:hAnsi="仿宋" w:eastAsia="仿宋" w:cs="仿宋"/>
          <w:color w:val="auto"/>
          <w:sz w:val="24"/>
          <w:highlight w:val="none"/>
        </w:rPr>
        <w:t>响应供应商法定代表人</w:t>
      </w:r>
      <w:r>
        <w:rPr>
          <w:rFonts w:hint="eastAsia" w:ascii="仿宋" w:hAnsi="仿宋" w:eastAsia="仿宋" w:cs="仿宋"/>
          <w:snapToGrid w:val="0"/>
          <w:color w:val="auto"/>
          <w:kern w:val="0"/>
          <w:sz w:val="24"/>
          <w:highlight w:val="none"/>
        </w:rPr>
        <w:t>”及“</w:t>
      </w:r>
      <w:r>
        <w:rPr>
          <w:rFonts w:hint="eastAsia" w:ascii="仿宋" w:hAnsi="仿宋" w:eastAsia="仿宋" w:cs="仿宋"/>
          <w:color w:val="auto"/>
          <w:sz w:val="24"/>
          <w:highlight w:val="none"/>
        </w:rPr>
        <w:t>法定代表人授权代表</w:t>
      </w:r>
      <w:r>
        <w:rPr>
          <w:rFonts w:hint="eastAsia" w:ascii="仿宋" w:hAnsi="仿宋" w:eastAsia="仿宋" w:cs="仿宋"/>
          <w:snapToGrid w:val="0"/>
          <w:color w:val="auto"/>
          <w:kern w:val="0"/>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响应供应商法定代表人（或法定代表人授权代表）</w:t>
      </w:r>
      <w:r>
        <w:rPr>
          <w:rFonts w:hint="eastAsia" w:ascii="仿宋" w:hAnsi="仿宋" w:eastAsia="仿宋" w:cs="仿宋"/>
          <w:color w:val="auto"/>
          <w:sz w:val="24"/>
          <w:highlight w:val="none"/>
          <w:lang w:eastAsia="zh-CN"/>
        </w:rPr>
        <w:t>”</w:t>
      </w:r>
      <w:r>
        <w:rPr>
          <w:rFonts w:hint="eastAsia" w:ascii="仿宋" w:hAnsi="仿宋" w:eastAsia="仿宋" w:cs="仿宋"/>
          <w:snapToGrid w:val="0"/>
          <w:color w:val="auto"/>
          <w:kern w:val="0"/>
          <w:sz w:val="24"/>
          <w:highlight w:val="none"/>
        </w:rPr>
        <w:t>：在响应文件及相关的其他资料中，涉及“</w:t>
      </w:r>
      <w:r>
        <w:rPr>
          <w:rFonts w:hint="eastAsia" w:ascii="仿宋" w:hAnsi="仿宋" w:eastAsia="仿宋" w:cs="仿宋"/>
          <w:b w:val="0"/>
          <w:bCs w:val="0"/>
          <w:snapToGrid w:val="0"/>
          <w:color w:val="auto"/>
          <w:kern w:val="0"/>
          <w:sz w:val="24"/>
          <w:highlight w:val="none"/>
          <w:u w:val="none"/>
          <w:lang w:eastAsia="zh-CN"/>
        </w:rPr>
        <w:t>响应供应商</w:t>
      </w:r>
      <w:r>
        <w:rPr>
          <w:rFonts w:hint="eastAsia" w:ascii="仿宋" w:hAnsi="仿宋" w:eastAsia="仿宋" w:cs="仿宋"/>
          <w:snapToGrid w:val="0"/>
          <w:color w:val="auto"/>
          <w:kern w:val="0"/>
          <w:sz w:val="24"/>
          <w:highlight w:val="none"/>
        </w:rPr>
        <w:t>代表签字”或“授权代表”应在响应文件编辑时使用文本录入方式，或在纸质响应文件上进行手写签名或电子印章</w:t>
      </w:r>
      <w:r>
        <w:rPr>
          <w:rFonts w:hint="eastAsia" w:ascii="仿宋" w:hAnsi="仿宋" w:eastAsia="仿宋" w:cs="仿宋"/>
          <w:snapToGrid w:val="0"/>
          <w:color w:val="auto"/>
          <w:kern w:val="0"/>
          <w:sz w:val="24"/>
          <w:highlight w:val="none"/>
          <w:lang w:eastAsia="zh-CN"/>
        </w:rPr>
        <w:t>。</w:t>
      </w:r>
    </w:p>
    <w:p>
      <w:pPr>
        <w:pStyle w:val="8"/>
        <w:adjustRightInd w:val="0"/>
        <w:snapToGrid w:val="0"/>
        <w:spacing w:line="360" w:lineRule="auto"/>
        <w:ind w:firstLine="486"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二、说明</w:t>
      </w:r>
    </w:p>
    <w:p>
      <w:pPr>
        <w:pStyle w:val="8"/>
        <w:adjustRightInd w:val="0"/>
        <w:snapToGrid w:val="0"/>
        <w:spacing w:line="360" w:lineRule="auto"/>
        <w:ind w:firstLine="481" w:firstLineChars="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1.总则</w:t>
      </w:r>
    </w:p>
    <w:p>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rPr>
      </w:pPr>
      <w:r>
        <w:rPr>
          <w:rFonts w:hint="eastAsia" w:ascii="仿宋" w:hAnsi="仿宋" w:eastAsia="仿宋" w:cs="仿宋"/>
          <w:bCs/>
          <w:color w:val="auto"/>
          <w:sz w:val="24"/>
          <w:szCs w:val="24"/>
          <w:highlight w:val="none"/>
        </w:rPr>
        <w:t>采购人及</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进行的本次采购活动</w:t>
      </w:r>
      <w:r>
        <w:rPr>
          <w:rFonts w:hint="eastAsia" w:ascii="仿宋" w:hAnsi="仿宋" w:eastAsia="仿宋" w:cs="仿宋"/>
          <w:color w:val="auto"/>
          <w:kern w:val="0"/>
          <w:sz w:val="24"/>
          <w:highlight w:val="none"/>
        </w:rPr>
        <w:t>参考《中华人民共和国政府采购法》及医院的采购制度。</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应仔细阅读本项目</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公告及</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的所有内容（包括变更、补充、澄清以及修改等，且均为</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的组成部分），按照</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要求以及格式编制</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文件，并保证其真实性，否则一切后果自负。</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本次</w:t>
      </w:r>
      <w:r>
        <w:rPr>
          <w:rFonts w:hint="eastAsia" w:ascii="仿宋" w:hAnsi="仿宋" w:eastAsia="仿宋" w:cs="仿宋"/>
          <w:bCs/>
          <w:color w:val="auto"/>
          <w:sz w:val="24"/>
          <w:szCs w:val="24"/>
          <w:highlight w:val="none"/>
          <w:lang w:eastAsia="zh-CN"/>
        </w:rPr>
        <w:t>院内比选</w:t>
      </w:r>
      <w:r>
        <w:rPr>
          <w:rFonts w:hint="eastAsia" w:ascii="仿宋" w:hAnsi="仿宋" w:eastAsia="仿宋" w:cs="仿宋"/>
          <w:bCs/>
          <w:color w:val="auto"/>
          <w:sz w:val="24"/>
          <w:szCs w:val="24"/>
          <w:highlight w:val="none"/>
        </w:rPr>
        <w:t>项目，是以</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公告的方式邀请非特定的</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参加</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w:t>
      </w:r>
    </w:p>
    <w:p>
      <w:pPr>
        <w:pStyle w:val="8"/>
        <w:adjustRightInd w:val="0"/>
        <w:snapToGrid w:val="0"/>
        <w:spacing w:line="360" w:lineRule="auto"/>
        <w:ind w:firstLine="486" w:firstLineChars="200"/>
        <w:rPr>
          <w:rFonts w:hint="eastAsia" w:ascii="仿宋" w:hAnsi="仿宋" w:eastAsia="仿宋" w:cs="仿宋"/>
          <w:strike w:val="0"/>
          <w:dstrike w:val="0"/>
          <w:color w:val="auto"/>
          <w:sz w:val="24"/>
          <w:szCs w:val="24"/>
          <w:highlight w:val="none"/>
        </w:rPr>
      </w:pPr>
      <w:r>
        <w:rPr>
          <w:rFonts w:hint="eastAsia" w:ascii="仿宋" w:hAnsi="仿宋" w:eastAsia="仿宋" w:cs="仿宋"/>
          <w:b/>
          <w:bCs/>
          <w:color w:val="auto"/>
          <w:sz w:val="24"/>
          <w:highlight w:val="none"/>
          <w:lang w:val="en-US" w:eastAsia="zh-CN"/>
        </w:rPr>
        <w:t>2.适用范围：</w:t>
      </w:r>
      <w:r>
        <w:rPr>
          <w:rFonts w:hint="eastAsia" w:ascii="仿宋" w:hAnsi="仿宋" w:eastAsia="仿宋" w:cs="仿宋"/>
          <w:strike w:val="0"/>
          <w:dstrike w:val="0"/>
          <w:color w:val="auto"/>
          <w:sz w:val="24"/>
          <w:szCs w:val="24"/>
          <w:highlight w:val="none"/>
        </w:rPr>
        <w:t>本</w:t>
      </w:r>
      <w:r>
        <w:rPr>
          <w:rFonts w:hint="eastAsia" w:ascii="仿宋" w:hAnsi="仿宋" w:eastAsia="仿宋" w:cs="仿宋"/>
          <w:strike w:val="0"/>
          <w:dstrike w:val="0"/>
          <w:color w:val="auto"/>
          <w:sz w:val="24"/>
          <w:szCs w:val="24"/>
          <w:highlight w:val="none"/>
          <w:lang w:eastAsia="zh-CN"/>
        </w:rPr>
        <w:t>比选</w:t>
      </w:r>
      <w:r>
        <w:rPr>
          <w:rFonts w:hint="eastAsia" w:ascii="仿宋" w:hAnsi="仿宋" w:eastAsia="仿宋" w:cs="仿宋"/>
          <w:strike w:val="0"/>
          <w:dstrike w:val="0"/>
          <w:color w:val="auto"/>
          <w:sz w:val="24"/>
          <w:szCs w:val="24"/>
          <w:highlight w:val="none"/>
        </w:rPr>
        <w:t>文件适用于本</w:t>
      </w:r>
      <w:r>
        <w:rPr>
          <w:rFonts w:hint="eastAsia" w:ascii="仿宋" w:hAnsi="仿宋" w:eastAsia="仿宋" w:cs="仿宋"/>
          <w:strike w:val="0"/>
          <w:dstrike w:val="0"/>
          <w:color w:val="auto"/>
          <w:sz w:val="24"/>
          <w:szCs w:val="24"/>
          <w:highlight w:val="none"/>
          <w:lang w:eastAsia="zh-CN"/>
        </w:rPr>
        <w:t>比</w:t>
      </w:r>
      <w:r>
        <w:rPr>
          <w:rFonts w:hint="eastAsia" w:ascii="仿宋" w:hAnsi="仿宋" w:eastAsia="仿宋" w:cs="仿宋"/>
          <w:strike w:val="0"/>
          <w:dstrike w:val="0"/>
          <w:color w:val="auto"/>
          <w:sz w:val="24"/>
          <w:szCs w:val="24"/>
          <w:highlight w:val="none"/>
          <w:lang w:val="en-US" w:eastAsia="zh-CN"/>
        </w:rPr>
        <w:t>选</w:t>
      </w:r>
      <w:r>
        <w:rPr>
          <w:rFonts w:hint="eastAsia" w:ascii="仿宋" w:hAnsi="仿宋" w:eastAsia="仿宋" w:cs="仿宋"/>
          <w:strike w:val="0"/>
          <w:dstrike w:val="0"/>
          <w:color w:val="auto"/>
          <w:sz w:val="24"/>
          <w:szCs w:val="24"/>
          <w:highlight w:val="none"/>
        </w:rPr>
        <w:t>邀请中所述项目的采购项目。</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strike w:val="0"/>
          <w:dstrike w:val="0"/>
          <w:color w:val="auto"/>
          <w:sz w:val="24"/>
          <w:szCs w:val="24"/>
          <w:highlight w:val="none"/>
          <w:lang w:val="en-US" w:eastAsia="zh-CN"/>
        </w:rPr>
        <w:t>3.</w:t>
      </w:r>
      <w:r>
        <w:rPr>
          <w:rFonts w:hint="eastAsia" w:ascii="仿宋" w:hAnsi="仿宋" w:eastAsia="仿宋" w:cs="仿宋"/>
          <w:b/>
          <w:bCs/>
          <w:color w:val="auto"/>
          <w:sz w:val="24"/>
          <w:szCs w:val="24"/>
          <w:highlight w:val="none"/>
        </w:rPr>
        <w:t>关于中小微企业</w:t>
      </w:r>
      <w:r>
        <w:rPr>
          <w:rFonts w:hint="eastAsia" w:ascii="仿宋" w:hAnsi="仿宋" w:eastAsia="仿宋" w:cs="仿宋"/>
          <w:b/>
          <w:bCs/>
          <w:color w:val="auto"/>
          <w:sz w:val="24"/>
          <w:szCs w:val="24"/>
          <w:highlight w:val="none"/>
          <w:lang w:eastAsia="zh-CN"/>
        </w:rPr>
        <w:t>响应</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见《关于印发中小企业划型标准规定的通知》（工信部联企业〔2011〕300号) 。</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小型和微型企业产品价格扣除（专门面向中小企业采购项目不予以价格扣除）根据财政部、工业和信息化部印发的《政府采购促进中小企业发展管理办法》（财库〔2020〕46号）的规定，对小型和微型企业产品的价格给予10%的扣除，用扣除后的价格参与评审；</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产品中仅有部分小型和微型企业产品的，则此部分按所投小型和微型企业产品的价格予以扣除。</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根据财库〔2014〕68号《财政部</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时，提供由省级以上监狱管理局、戒毒管理局(含新疆生产建设兵团)出具的属于监狱企业的证明文件，不再提供《中小企业声明函》。</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监狱企业视同小型、微型企业，享受评审中价格扣除。</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民政部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残疾人福利性单位视</w:t>
      </w:r>
      <w:bookmarkStart w:id="2" w:name="_Toc14923_WPSOffice_Level1"/>
      <w:r>
        <w:rPr>
          <w:rFonts w:hint="eastAsia" w:ascii="仿宋" w:hAnsi="仿宋" w:eastAsia="仿宋" w:cs="仿宋"/>
          <w:b w:val="0"/>
          <w:bCs/>
          <w:color w:val="auto"/>
          <w:sz w:val="24"/>
          <w:szCs w:val="24"/>
          <w:highlight w:val="none"/>
        </w:rPr>
        <w:t>同小型、微型</w:t>
      </w:r>
      <w:bookmarkEnd w:id="2"/>
      <w:r>
        <w:rPr>
          <w:rFonts w:hint="eastAsia" w:ascii="仿宋" w:hAnsi="仿宋" w:eastAsia="仿宋" w:cs="仿宋"/>
          <w:b w:val="0"/>
          <w:bCs/>
          <w:color w:val="auto"/>
          <w:sz w:val="24"/>
          <w:szCs w:val="24"/>
          <w:highlight w:val="none"/>
        </w:rPr>
        <w:t>企业，享受评审中价格扣除。</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同时为小型、微型企业、监狱企业、残疾人福利性单位任两种或以上情况的，评审中只享受一次价格扣除，不重复进行价格扣除。</w:t>
      </w:r>
    </w:p>
    <w:p>
      <w:pPr>
        <w:pStyle w:val="8"/>
        <w:adjustRightInd w:val="0"/>
        <w:snapToGrid w:val="0"/>
        <w:spacing w:line="360" w:lineRule="auto"/>
        <w:ind w:firstLine="486" w:firstLineChars="200"/>
        <w:rPr>
          <w:rFonts w:hint="eastAsia" w:ascii="仿宋" w:hAnsi="仿宋" w:eastAsia="仿宋" w:cs="仿宋"/>
          <w:b/>
          <w:bCs/>
          <w:strike w:val="0"/>
          <w:dstrike w:val="0"/>
          <w:color w:val="auto"/>
          <w:sz w:val="24"/>
          <w:szCs w:val="24"/>
          <w:highlight w:val="none"/>
          <w:lang w:val="en-US" w:eastAsia="zh-CN"/>
        </w:rPr>
      </w:pPr>
      <w:r>
        <w:rPr>
          <w:rFonts w:hint="eastAsia" w:ascii="仿宋" w:hAnsi="仿宋" w:eastAsia="仿宋" w:cs="仿宋"/>
          <w:b/>
          <w:bCs/>
          <w:strike w:val="0"/>
          <w:dstrike w:val="0"/>
          <w:color w:val="auto"/>
          <w:sz w:val="24"/>
          <w:szCs w:val="24"/>
          <w:highlight w:val="none"/>
          <w:lang w:val="en-US" w:eastAsia="zh-CN"/>
        </w:rPr>
        <w:t>4.纪律与保密</w:t>
      </w:r>
    </w:p>
    <w:p>
      <w:pPr>
        <w:pStyle w:val="8"/>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不得相互串通</w:t>
      </w:r>
      <w:r>
        <w:rPr>
          <w:rFonts w:hint="eastAsia" w:ascii="仿宋" w:hAnsi="仿宋" w:eastAsia="仿宋" w:cs="仿宋"/>
          <w:bCs/>
          <w:color w:val="auto"/>
          <w:sz w:val="24"/>
          <w:szCs w:val="24"/>
          <w:highlight w:val="none"/>
          <w:lang w:val="en-US" w:eastAsia="zh-CN"/>
        </w:rPr>
        <w:t>响应</w:t>
      </w:r>
      <w:r>
        <w:rPr>
          <w:rFonts w:hint="eastAsia" w:ascii="仿宋" w:hAnsi="仿宋" w:eastAsia="仿宋" w:cs="仿宋"/>
          <w:bCs/>
          <w:color w:val="auto"/>
          <w:sz w:val="24"/>
          <w:szCs w:val="24"/>
          <w:highlight w:val="none"/>
        </w:rPr>
        <w:t>报价，不得妨碍其他</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的公平竞争，不得损害采购人或其他</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的合法权益，</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不得以向采购人、</w:t>
      </w:r>
      <w:r>
        <w:rPr>
          <w:rFonts w:hint="eastAsia" w:ascii="仿宋" w:hAnsi="仿宋" w:eastAsia="仿宋" w:cs="仿宋"/>
          <w:bCs/>
          <w:color w:val="auto"/>
          <w:sz w:val="24"/>
          <w:szCs w:val="24"/>
          <w:highlight w:val="none"/>
          <w:lang w:val="en-US" w:eastAsia="zh-CN"/>
        </w:rPr>
        <w:t>评审小组</w:t>
      </w:r>
      <w:r>
        <w:rPr>
          <w:rFonts w:hint="eastAsia" w:ascii="仿宋" w:hAnsi="仿宋" w:eastAsia="仿宋" w:cs="仿宋"/>
          <w:bCs/>
          <w:color w:val="auto"/>
          <w:sz w:val="24"/>
          <w:szCs w:val="24"/>
          <w:highlight w:val="none"/>
        </w:rPr>
        <w:t>行贿或者采取其他不正当手段谋取</w:t>
      </w:r>
      <w:r>
        <w:rPr>
          <w:rFonts w:hint="eastAsia" w:ascii="仿宋" w:hAnsi="仿宋" w:eastAsia="仿宋" w:cs="仿宋"/>
          <w:bCs/>
          <w:color w:val="auto"/>
          <w:sz w:val="24"/>
          <w:szCs w:val="24"/>
          <w:highlight w:val="none"/>
          <w:lang w:val="en-US" w:eastAsia="zh-CN"/>
        </w:rPr>
        <w:t>成交</w:t>
      </w:r>
      <w:r>
        <w:rPr>
          <w:rFonts w:hint="eastAsia" w:ascii="仿宋" w:hAnsi="仿宋" w:eastAsia="仿宋" w:cs="仿宋"/>
          <w:bCs/>
          <w:color w:val="auto"/>
          <w:sz w:val="24"/>
          <w:szCs w:val="24"/>
          <w:highlight w:val="none"/>
        </w:rPr>
        <w:t>。</w:t>
      </w:r>
    </w:p>
    <w:p>
      <w:pPr>
        <w:pStyle w:val="8"/>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在确定</w:t>
      </w:r>
      <w:r>
        <w:rPr>
          <w:rFonts w:hint="eastAsia" w:ascii="仿宋" w:hAnsi="仿宋" w:eastAsia="仿宋" w:cs="仿宋"/>
          <w:bCs/>
          <w:color w:val="auto"/>
          <w:sz w:val="24"/>
          <w:szCs w:val="24"/>
          <w:highlight w:val="none"/>
          <w:lang w:val="en-US" w:eastAsia="zh-CN"/>
        </w:rPr>
        <w:t>成交</w:t>
      </w:r>
      <w:r>
        <w:rPr>
          <w:rFonts w:hint="eastAsia" w:ascii="仿宋" w:hAnsi="仿宋" w:eastAsia="仿宋" w:cs="仿宋"/>
          <w:bCs/>
          <w:color w:val="auto"/>
          <w:sz w:val="24"/>
          <w:szCs w:val="24"/>
          <w:highlight w:val="none"/>
        </w:rPr>
        <w:t>供应商之前，</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不得与采购人就</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价格、</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方案等实质性内容进行谈判，也不得私下接触</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成员。</w:t>
      </w:r>
    </w:p>
    <w:p>
      <w:pPr>
        <w:pStyle w:val="8"/>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在确定</w:t>
      </w:r>
      <w:r>
        <w:rPr>
          <w:rFonts w:hint="eastAsia" w:ascii="仿宋" w:hAnsi="仿宋" w:eastAsia="仿宋" w:cs="仿宋"/>
          <w:bCs/>
          <w:color w:val="auto"/>
          <w:sz w:val="24"/>
          <w:szCs w:val="24"/>
          <w:highlight w:val="none"/>
          <w:lang w:eastAsia="zh-CN"/>
        </w:rPr>
        <w:t>成交供应商</w:t>
      </w:r>
      <w:r>
        <w:rPr>
          <w:rFonts w:hint="eastAsia" w:ascii="仿宋" w:hAnsi="仿宋" w:eastAsia="仿宋" w:cs="仿宋"/>
          <w:bCs/>
          <w:color w:val="auto"/>
          <w:sz w:val="24"/>
          <w:szCs w:val="24"/>
          <w:highlight w:val="none"/>
        </w:rPr>
        <w:t>之前，</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试图在</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文件审查、澄清、比较和评价时对</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、采购人施加任何影响都可能导致其</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无效。</w:t>
      </w:r>
    </w:p>
    <w:p>
      <w:pPr>
        <w:pStyle w:val="8"/>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获得本</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者，须履行本项目下保密义务，不得将因本次项目获得的信息向第三人外传，不得将</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用作本次</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以外的任何用途。</w:t>
      </w:r>
    </w:p>
    <w:p>
      <w:pPr>
        <w:pStyle w:val="8"/>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由采购人向</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提供的图纸、详细资料、样品、模型、模件和所有其它资料，均为保密资料，仅被用于它所规定的用途。除非得到采购人的同意，不能向任何第三方透露。</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结束后，应采购人要求，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应归还所有从采购人处获得的保密资料。</w:t>
      </w:r>
    </w:p>
    <w:p>
      <w:pPr>
        <w:pStyle w:val="8"/>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采购人有权将供应商提供的所有资料向有关政府部门或评审小组披露。</w:t>
      </w:r>
    </w:p>
    <w:p>
      <w:pPr>
        <w:pStyle w:val="8"/>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采购人认为适当时、国家机关调查、审查、审计时以及其他符合法律规定的情形下，采购人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8"/>
        <w:adjustRightInd w:val="0"/>
        <w:snapToGrid w:val="0"/>
        <w:spacing w:line="360" w:lineRule="auto"/>
        <w:ind w:firstLine="486" w:firstLineChars="200"/>
        <w:rPr>
          <w:rFonts w:ascii="仿宋" w:hAnsi="仿宋" w:eastAsia="仿宋" w:cs="仿宋"/>
          <w:b/>
          <w:bCs/>
          <w:color w:val="auto"/>
          <w:sz w:val="24"/>
          <w:szCs w:val="24"/>
          <w:highlight w:val="none"/>
        </w:rPr>
      </w:pPr>
      <w:r>
        <w:rPr>
          <w:rFonts w:hint="eastAsia" w:ascii="仿宋" w:hAnsi="仿宋" w:eastAsia="仿宋" w:cs="仿宋"/>
          <w:b/>
          <w:bCs/>
          <w:strike w:val="0"/>
          <w:dstrike w:val="0"/>
          <w:color w:val="auto"/>
          <w:sz w:val="24"/>
          <w:szCs w:val="24"/>
          <w:highlight w:val="none"/>
          <w:lang w:val="en-US" w:eastAsia="zh-CN"/>
        </w:rPr>
        <w:t>5.</w:t>
      </w:r>
      <w:r>
        <w:rPr>
          <w:rFonts w:hint="eastAsia" w:ascii="仿宋" w:hAnsi="仿宋" w:eastAsia="仿宋" w:cs="仿宋"/>
          <w:b/>
          <w:bCs/>
          <w:color w:val="auto"/>
          <w:sz w:val="24"/>
          <w:szCs w:val="24"/>
          <w:highlight w:val="none"/>
        </w:rPr>
        <w:t>比选的语言及计量</w:t>
      </w:r>
    </w:p>
    <w:p>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提交的响应文件以及供应商与采购人就有关比选的所有来往函电均应使用中文。供应商提交的支持文件或印刷的资料可以用另一种语言，但相应内容应附有中文翻译本，在解释响应文件的修改内容时以中文翻译本为准。对中文翻译有异议的，以权威机构的译本为准。</w:t>
      </w:r>
    </w:p>
    <w:p>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除非比选文件中另有规定，供应商在响应文件中及其与采购单位的所有往来文件中的计量单位均应采用中华人民共和国法定计量单位。</w:t>
      </w:r>
    </w:p>
    <w:p>
      <w:pPr>
        <w:pStyle w:val="8"/>
        <w:adjustRightInd w:val="0"/>
        <w:snapToGrid w:val="0"/>
        <w:spacing w:line="360" w:lineRule="auto"/>
        <w:ind w:firstLine="486" w:firstLineChars="200"/>
        <w:rPr>
          <w:rFonts w:hint="eastAsia" w:ascii="仿宋" w:hAnsi="仿宋" w:eastAsia="仿宋" w:cs="仿宋"/>
          <w:b/>
          <w:bCs/>
          <w:strike w:val="0"/>
          <w:dstrike w:val="0"/>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响应文件的构成应符合法律法规及比选文件的要求。</w:t>
      </w:r>
    </w:p>
    <w:p>
      <w:pPr>
        <w:pStyle w:val="8"/>
        <w:adjustRightInd w:val="0"/>
        <w:snapToGrid w:val="0"/>
        <w:spacing w:line="360" w:lineRule="auto"/>
        <w:ind w:firstLine="486" w:firstLineChars="200"/>
        <w:rPr>
          <w:rFonts w:hint="eastAsia" w:ascii="仿宋" w:hAnsi="仿宋" w:eastAsia="仿宋" w:cs="仿宋"/>
          <w:b/>
          <w:bCs/>
          <w:color w:val="auto"/>
          <w:sz w:val="24"/>
          <w:szCs w:val="24"/>
          <w:highlight w:val="none"/>
        </w:rPr>
      </w:pPr>
      <w:r>
        <w:rPr>
          <w:rFonts w:hint="eastAsia" w:ascii="仿宋" w:hAnsi="仿宋" w:eastAsia="仿宋" w:cs="仿宋"/>
          <w:b/>
          <w:bCs/>
          <w:strike w:val="0"/>
          <w:dstrike w:val="0"/>
          <w:color w:val="auto"/>
          <w:sz w:val="24"/>
          <w:szCs w:val="24"/>
          <w:highlight w:val="none"/>
          <w:lang w:val="en-US" w:eastAsia="zh-CN"/>
        </w:rPr>
        <w:t>6.</w:t>
      </w:r>
      <w:r>
        <w:rPr>
          <w:rFonts w:hint="eastAsia" w:ascii="仿宋" w:hAnsi="仿宋" w:eastAsia="仿宋" w:cs="仿宋"/>
          <w:b/>
          <w:bCs/>
          <w:color w:val="auto"/>
          <w:sz w:val="24"/>
          <w:szCs w:val="24"/>
          <w:highlight w:val="none"/>
        </w:rPr>
        <w:t>现场踏勘（如有）</w:t>
      </w:r>
    </w:p>
    <w:p>
      <w:pPr>
        <w:pStyle w:val="8"/>
        <w:adjustRightInd w:val="0"/>
        <w:snapToGrid w:val="0"/>
        <w:spacing w:line="360" w:lineRule="auto"/>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规定组织踏勘现场的，采购人按</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规定的时间、地点组织</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踏勘项目现场。</w:t>
      </w:r>
    </w:p>
    <w:p>
      <w:pPr>
        <w:pStyle w:val="8"/>
        <w:adjustRightInd w:val="0"/>
        <w:snapToGrid w:val="0"/>
        <w:spacing w:line="360" w:lineRule="auto"/>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自行承担踏勘现场发生的责任、风险和自身费用。</w:t>
      </w:r>
    </w:p>
    <w:p>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采购人在踏勘现场中介绍的资料和数据等，只是为了使</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能够利用</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现有的资料。</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人对</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由此而作出的推论、解释和结论概不负责。</w:t>
      </w:r>
    </w:p>
    <w:p>
      <w:pPr>
        <w:pStyle w:val="8"/>
        <w:adjustRightInd w:val="0"/>
        <w:snapToGrid w:val="0"/>
        <w:spacing w:line="360" w:lineRule="auto"/>
        <w:ind w:firstLine="486"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三、比选文件澄清和修改</w:t>
      </w:r>
    </w:p>
    <w:p>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（1）比选文件的澄清是指</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对比选文件中的遗漏、错误、词义表达不清或对比较复杂的事项进行说明，回答供应商提出的各种问题。比选文件的修改是指采购人对比选文件中出现的错误进行修订。</w:t>
      </w:r>
    </w:p>
    <w:p>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（2）任何要求对比选文件进行澄清的供应商，均应在比选文件规定的响应文件递交截止时间3日之前以书面形式通知</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对其收到的书面的对比选文件的澄清要求均以书面形式予以答复，同时将书面形式答复发给每个</w:t>
      </w:r>
      <w:r>
        <w:rPr>
          <w:rFonts w:hint="eastAsia" w:ascii="仿宋" w:hAnsi="仿宋" w:eastAsia="仿宋" w:cs="仿宋"/>
          <w:color w:val="auto"/>
          <w:sz w:val="24"/>
          <w:szCs w:val="24"/>
          <w:highlight w:val="none"/>
          <w:lang w:val="en-US" w:eastAsia="zh-CN"/>
        </w:rPr>
        <w:t>报名成功的</w:t>
      </w:r>
      <w:r>
        <w:rPr>
          <w:rFonts w:hint="eastAsia" w:ascii="仿宋" w:hAnsi="仿宋" w:eastAsia="仿宋" w:cs="仿宋"/>
          <w:color w:val="auto"/>
          <w:sz w:val="24"/>
          <w:szCs w:val="24"/>
          <w:highlight w:val="none"/>
        </w:rPr>
        <w:t>供应商（答复中不包括问题的来源）。不足3日的，顺延提交响应文件的截止时间。该答复作为比选文件的一部分，对供应商有约束力。</w:t>
      </w:r>
    </w:p>
    <w:p>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（3）比选文件的修改将在比选文件规定的响应文件递交截止时间3日之前由</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以书面形式通知所有潜在（报名成功的）供应商，并对其具有约束力。</w:t>
      </w:r>
    </w:p>
    <w:p>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）采购人可以视采购具体情况，延长响应文件递交截止时间，但至少应当在比选文件规定的响应文件递交截止时间3日前，并将变更时间书面通知所有已获取比选文件的潜在供应商。</w:t>
      </w:r>
    </w:p>
    <w:p>
      <w:pPr>
        <w:pStyle w:val="8"/>
        <w:adjustRightInd w:val="0"/>
        <w:snapToGrid w:val="0"/>
        <w:spacing w:line="360" w:lineRule="auto"/>
        <w:ind w:firstLine="486"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四、响应要求</w:t>
      </w:r>
    </w:p>
    <w:p>
      <w:pPr>
        <w:pStyle w:val="8"/>
        <w:adjustRightInd w:val="0"/>
        <w:snapToGrid w:val="0"/>
        <w:spacing w:line="360" w:lineRule="auto"/>
        <w:ind w:firstLine="486"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1.响应文件编制</w:t>
      </w:r>
    </w:p>
    <w:p>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对比选文件中多个包（组）进行响应的，其响应文件的编制应按每个包（组）的要求进行页码编制并分别装订和封装。供应商应当对响应文件进行装订，对未经装订的响应文件可能发生的文件散落或缺损，由此产生的后果由供应商承担。</w:t>
      </w:r>
    </w:p>
    <w:p>
      <w:pPr>
        <w:pStyle w:val="8"/>
        <w:adjustRightInd w:val="0"/>
        <w:snapToGrid w:val="0"/>
        <w:spacing w:line="360" w:lineRule="auto"/>
        <w:ind w:firstLine="486"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响应供应商应完整、真实、准确的填写比选文件中规定的所有内容，对响应文件所提供的全部资料的真实性承担法律责任，并无条件接受我院</w:t>
      </w:r>
      <w:r>
        <w:rPr>
          <w:rFonts w:hint="eastAsia" w:ascii="仿宋" w:hAnsi="仿宋" w:eastAsia="仿宋" w:cs="仿宋"/>
          <w:color w:val="auto"/>
          <w:sz w:val="24"/>
          <w:szCs w:val="24"/>
          <w:highlight w:val="none"/>
          <w:lang w:eastAsia="zh-CN"/>
        </w:rPr>
        <w:t>招采</w:t>
      </w:r>
      <w:r>
        <w:rPr>
          <w:rFonts w:hint="eastAsia" w:ascii="仿宋" w:hAnsi="仿宋" w:eastAsia="仿宋" w:cs="仿宋"/>
          <w:color w:val="auto"/>
          <w:sz w:val="24"/>
          <w:szCs w:val="24"/>
          <w:highlight w:val="none"/>
          <w:lang w:val="en-US" w:eastAsia="zh-CN"/>
        </w:rPr>
        <w:t>部门</w:t>
      </w:r>
      <w:r>
        <w:rPr>
          <w:rFonts w:hint="eastAsia" w:ascii="仿宋" w:hAnsi="仿宋" w:eastAsia="仿宋" w:cs="仿宋"/>
          <w:color w:val="auto"/>
          <w:sz w:val="24"/>
          <w:szCs w:val="24"/>
          <w:highlight w:val="none"/>
        </w:rPr>
        <w:t>和监督管理小组等对其中任何资料进行核实的要求。供应商必须对响应文件所提供的全部资料的真实性承担法律责任。</w:t>
      </w:r>
    </w:p>
    <w:p>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如果因为供应商响应文件填报的内容不详，或没有提供比选文件中所要求的全部资料及数据，由此造成的后果，其责任由供应商承担。</w:t>
      </w:r>
    </w:p>
    <w:p>
      <w:pPr>
        <w:pStyle w:val="8"/>
        <w:adjustRightInd w:val="0"/>
        <w:snapToGrid w:val="0"/>
        <w:spacing w:line="360" w:lineRule="auto"/>
        <w:ind w:firstLine="486"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响应文件的递交</w:t>
      </w:r>
    </w:p>
    <w:p>
      <w:pPr>
        <w:pStyle w:val="8"/>
        <w:adjustRightInd w:val="0"/>
        <w:snapToGrid w:val="0"/>
        <w:spacing w:line="360" w:lineRule="auto"/>
        <w:ind w:firstLine="486"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供应商应将《报价单》单独密封提交，并在信封上清晰标明“报价信封”字样。供应商应将响应文件密封包装。</w:t>
      </w:r>
    </w:p>
    <w:p>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响应的信封袋或者文件袋外包装上应注明采购项目名称、项目编号 “在（比选文件中规定的比选日期和时点）之前不得拆封”字样，封口处加盖公章。未按要求密封和标记的，我院对误投或提前启封概不负责。</w:t>
      </w:r>
    </w:p>
    <w:p>
      <w:pPr>
        <w:pStyle w:val="8"/>
        <w:adjustRightInd w:val="0"/>
        <w:snapToGrid w:val="0"/>
        <w:spacing w:line="360" w:lineRule="auto"/>
        <w:ind w:firstLine="486"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在《比选邀请函》中规定的地点和响应截止时间之前接收响应文件，超过截止时间后的响应为无效响应，采购</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将拒绝接收。</w:t>
      </w:r>
    </w:p>
    <w:p>
      <w:pPr>
        <w:pStyle w:val="8"/>
        <w:adjustRightInd w:val="0"/>
        <w:snapToGrid w:val="0"/>
        <w:spacing w:line="360" w:lineRule="auto"/>
        <w:ind w:firstLine="486"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3.响应文件的修改、撤回与撤销</w:t>
      </w:r>
    </w:p>
    <w:p>
      <w:pPr>
        <w:pStyle w:val="8"/>
        <w:adjustRightInd w:val="0"/>
        <w:snapToGrid w:val="0"/>
        <w:spacing w:line="360" w:lineRule="auto"/>
        <w:ind w:firstLine="486"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在响应截止时间前，可以对所提交的响应文件进行补充、修改或撤回，但必须书面告知；补充、修改的内容应当按比选文件要求签署、盖章，并作为响应文件的组成部分。在响应截止时间后，供应商不得对其响应文件做任何修改和补充或</w:t>
      </w:r>
      <w:r>
        <w:rPr>
          <w:rFonts w:ascii="仿宋" w:hAnsi="仿宋" w:eastAsia="仿宋" w:cs="仿宋"/>
          <w:color w:val="auto"/>
          <w:sz w:val="24"/>
          <w:szCs w:val="24"/>
          <w:highlight w:val="none"/>
        </w:rPr>
        <w:t>撤回</w:t>
      </w:r>
      <w:r>
        <w:rPr>
          <w:rFonts w:hint="eastAsia" w:ascii="仿宋" w:hAnsi="仿宋" w:eastAsia="仿宋" w:cs="仿宋"/>
          <w:color w:val="auto"/>
          <w:sz w:val="24"/>
          <w:szCs w:val="24"/>
          <w:highlight w:val="none"/>
        </w:rPr>
        <w:t>。</w:t>
      </w:r>
    </w:p>
    <w:p>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供应商所提交的响应文件在比选结束后，无论成交与否都不予退还。</w:t>
      </w:r>
    </w:p>
    <w:p>
      <w:pPr>
        <w:pStyle w:val="8"/>
        <w:adjustRightInd w:val="0"/>
        <w:snapToGrid w:val="0"/>
        <w:spacing w:line="360" w:lineRule="auto"/>
        <w:ind w:firstLine="486" w:firstLineChars="200"/>
        <w:rPr>
          <w:rFonts w:hint="eastAsia" w:ascii="仿宋" w:hAnsi="仿宋" w:eastAsia="仿宋" w:cs="仿宋"/>
          <w:b/>
          <w:bCs/>
          <w:strike w:val="0"/>
          <w:color w:val="auto"/>
          <w:sz w:val="24"/>
          <w:szCs w:val="24"/>
          <w:highlight w:val="none"/>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strike w:val="0"/>
          <w:color w:val="auto"/>
          <w:sz w:val="24"/>
          <w:szCs w:val="24"/>
          <w:highlight w:val="none"/>
        </w:rPr>
        <w:t>有以下情形的，将视为响应供应商互相串通响应，不得报名或响应无效：</w:t>
      </w:r>
    </w:p>
    <w:p>
      <w:pPr>
        <w:pStyle w:val="8"/>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（1）不同供应商委托同一单位或个人办理报价事宜；</w:t>
      </w:r>
    </w:p>
    <w:p>
      <w:pPr>
        <w:pStyle w:val="8"/>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（2）不同供应商的报价文件出现同一公章或者签字的；</w:t>
      </w:r>
    </w:p>
    <w:p>
      <w:pPr>
        <w:pStyle w:val="8"/>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（3）不同供应商的响应文件异常一致或者非比选文件格式要求，响应文件中出现错误字/词/句位置一致的，雷同内容达到20字及以上的；</w:t>
      </w:r>
    </w:p>
    <w:p>
      <w:pPr>
        <w:pStyle w:val="8"/>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（4）不同供应商的响应文件载明的项目管理成员或者联系人员为同一人；</w:t>
      </w:r>
    </w:p>
    <w:p>
      <w:pPr>
        <w:pStyle w:val="8"/>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（5）不同供应商的响应文件相互混装；</w:t>
      </w:r>
    </w:p>
    <w:p>
      <w:pPr>
        <w:pStyle w:val="8"/>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（6）法定代表人为同一个人的两个及两个以上法人，母公司、全资子公司及其控股公司或有共同股东组成或主要管理人员中有共同人员的。</w:t>
      </w:r>
    </w:p>
    <w:p>
      <w:pPr>
        <w:pStyle w:val="8"/>
        <w:adjustRightInd w:val="0"/>
        <w:snapToGrid w:val="0"/>
        <w:spacing w:line="360" w:lineRule="auto"/>
        <w:ind w:firstLine="486" w:firstLineChars="200"/>
        <w:rPr>
          <w:rFonts w:hint="eastAsia" w:ascii="仿宋" w:hAnsi="仿宋" w:eastAsia="仿宋" w:cs="仿宋"/>
          <w:b/>
          <w:bCs/>
          <w:strike w:val="0"/>
          <w:color w:val="auto"/>
          <w:sz w:val="24"/>
          <w:szCs w:val="24"/>
          <w:highlight w:val="none"/>
        </w:rPr>
      </w:pPr>
      <w:r>
        <w:rPr>
          <w:rFonts w:hint="eastAsia" w:ascii="仿宋" w:hAnsi="仿宋" w:eastAsia="仿宋" w:cs="仿宋"/>
          <w:b/>
          <w:bCs/>
          <w:strike w:val="0"/>
          <w:color w:val="auto"/>
          <w:sz w:val="24"/>
          <w:szCs w:val="24"/>
          <w:highlight w:val="none"/>
          <w:lang w:val="en-US" w:eastAsia="zh-CN"/>
        </w:rPr>
        <w:t>5.</w:t>
      </w:r>
      <w:r>
        <w:rPr>
          <w:rFonts w:hint="eastAsia" w:ascii="仿宋" w:hAnsi="仿宋" w:eastAsia="仿宋" w:cs="仿宋"/>
          <w:b/>
          <w:bCs/>
          <w:strike w:val="0"/>
          <w:color w:val="auto"/>
          <w:sz w:val="24"/>
          <w:szCs w:val="24"/>
          <w:highlight w:val="none"/>
        </w:rPr>
        <w:t>响应供应商有下列弄虚作假的行为的，不得报名或响应无效：</w:t>
      </w:r>
    </w:p>
    <w:p>
      <w:pPr>
        <w:pStyle w:val="8"/>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（1）使用伪造、变造的许可证件；</w:t>
      </w:r>
    </w:p>
    <w:p>
      <w:pPr>
        <w:pStyle w:val="8"/>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（2）提供虚假的财务状况或者业绩；</w:t>
      </w:r>
    </w:p>
    <w:p>
      <w:pPr>
        <w:pStyle w:val="8"/>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（3）提供虚假的项目负责人或者主要技术人员简历、劳动关系证明；</w:t>
      </w:r>
    </w:p>
    <w:p>
      <w:pPr>
        <w:pStyle w:val="8"/>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（4）提供虚假的信用状况；</w:t>
      </w:r>
    </w:p>
    <w:p>
      <w:pPr>
        <w:pStyle w:val="8"/>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（5）其他弄虚作假的行为；</w:t>
      </w:r>
    </w:p>
    <w:p>
      <w:pPr>
        <w:pStyle w:val="8"/>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（6）响应文件或报价文件的签名为代签或冒签的；</w:t>
      </w:r>
    </w:p>
    <w:p>
      <w:pPr>
        <w:pStyle w:val="8"/>
        <w:adjustRightInd w:val="0"/>
        <w:snapToGrid w:val="0"/>
        <w:spacing w:line="360" w:lineRule="auto"/>
        <w:ind w:firstLine="480" w:firstLineChars="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（7）被授权人委托他人提交响应文件的，无委托书的。</w:t>
      </w:r>
    </w:p>
    <w:p>
      <w:pPr>
        <w:spacing w:line="360" w:lineRule="auto"/>
        <w:ind w:firstLine="486"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rPr>
        <w:t>无效的报价认定</w:t>
      </w:r>
    </w:p>
    <w:p>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（1）报价文件没有有效签署的； </w:t>
      </w:r>
    </w:p>
    <w:p>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（2）报价文件不响应评审小组评审时质疑提出的问题，且该问题将可能给采购人造成重大影响的；</w:t>
      </w:r>
    </w:p>
    <w:p>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（3）报价文件的报价明显过低，可能低于其成本，而供应商又不能作出合理说明的；</w:t>
      </w:r>
    </w:p>
    <w:p>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（4）报价文件的总价超出采购预算且采购人不能接受的；</w:t>
      </w:r>
    </w:p>
    <w:p>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（5）报价文件附有采购人不能接受的条件的；</w:t>
      </w:r>
    </w:p>
    <w:p>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（6）评审小组认为本次报价不响应比选文件实质性要求的；</w:t>
      </w:r>
    </w:p>
    <w:p>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（7）其它评审小组一致认为应作为无效报价的。</w:t>
      </w:r>
    </w:p>
    <w:p>
      <w:pPr>
        <w:pStyle w:val="8"/>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w:t>
      </w:r>
      <w:r>
        <w:rPr>
          <w:rFonts w:hint="eastAsia" w:ascii="仿宋" w:hAnsi="仿宋" w:eastAsia="仿宋" w:cs="仿宋"/>
          <w:b/>
          <w:color w:val="auto"/>
          <w:sz w:val="24"/>
          <w:szCs w:val="24"/>
          <w:highlight w:val="none"/>
        </w:rPr>
        <w:t>★”号条款：必须实质响应的条款，响应供应商不可偏离，负偏离将导致评审时认定为响应无效。“▲”号条款：可以偏离的响应条款，将影响响应供应商的得分。</w:t>
      </w:r>
    </w:p>
    <w:p>
      <w:pPr>
        <w:pStyle w:val="8"/>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以下情形，采购人有权拒收响应文件：</w:t>
      </w:r>
    </w:p>
    <w:p>
      <w:pPr>
        <w:pStyle w:val="8"/>
        <w:adjustRightInd w:val="0"/>
        <w:snapToGrid w:val="0"/>
        <w:spacing w:line="360"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（1）逾期送达；</w:t>
      </w:r>
    </w:p>
    <w:p>
      <w:pPr>
        <w:pStyle w:val="8"/>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（2）未按比选文件要求密封。</w:t>
      </w:r>
    </w:p>
    <w:p>
      <w:pPr>
        <w:pStyle w:val="8"/>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有下列情形，评审小组将否决其响应：</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（1）响应文件未经响应单位盖章和法人或单位负责人签字；</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（2）响应联合体没有提交共同响应协议；</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（3）同一响应供应商提交两个以上不同的响应文件或者响应报价，比选文件要求提交备选响应的除外；</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（4）响应报价低于成本或者高于比选最高响应限价的；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（5）响应文件没有对比选文件的实质性要求和条件作出响应的，</w:t>
      </w:r>
      <w:r>
        <w:rPr>
          <w:rFonts w:hint="eastAsia" w:ascii="仿宋" w:hAnsi="仿宋" w:eastAsia="仿宋" w:cs="仿宋"/>
          <w:color w:val="auto"/>
          <w:sz w:val="24"/>
          <w:szCs w:val="24"/>
          <w:highlight w:val="none"/>
        </w:rPr>
        <w:t>评审小组认为明显不符合评审要求的技术规格、技术标准、采购数量；</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（6）响应供应商有串通响应、弄虚作假等违法行为的；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（7）比选现场存在争议的。</w:t>
      </w:r>
    </w:p>
    <w:p>
      <w:pPr>
        <w:pStyle w:val="8"/>
        <w:adjustRightInd w:val="0"/>
        <w:snapToGrid w:val="0"/>
        <w:spacing w:line="360" w:lineRule="auto"/>
        <w:ind w:firstLine="48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10.</w:t>
      </w:r>
      <w:r>
        <w:rPr>
          <w:rFonts w:hint="eastAsia" w:ascii="仿宋" w:hAnsi="仿宋" w:eastAsia="仿宋" w:cs="仿宋"/>
          <w:b/>
          <w:color w:val="auto"/>
          <w:sz w:val="24"/>
          <w:szCs w:val="24"/>
          <w:highlight w:val="none"/>
        </w:rPr>
        <w:t>供应商在参加比选过程中出现的以下不良行为的，将列入我院黑名单管理，在此后的三年内不得参与我院任何采买活动：</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（1）远低于成本价恶意竞价或提供虚假材料谋求成交的；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（2）采取不正当手段诋毁、排挤其他潜在供应商的；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（3）与其他潜在供应商恶意串通的；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（4）随意申请撤换或放弃成交结果的；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（5）成交后无正当理由拒绝或迟迟不签订采购合同的；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（6）成交后，超过合同约定的供货（或服务）时间未按要求执行，给采购人造成损害的；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（7）在比选采购过程中，与相关部门协商谈判的；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（8）向医院涉及的相关部门行贿或者提供不正当利益的；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（9）拒绝有关部门监督检查或者提供虚假情况的；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（10）无正当理由拒绝履行合同和有关承诺，或擅自变更、中止（终止）采购合同的；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（11）提供假冒伪劣产品或走私物品的；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（12）不遵守比选现场纪律，扰乱评审现场，影响采购活动继续进行的；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（13）采购后擅自撤回采购相应文件，影响采购活动继续进行的；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（14）成交后，擅自将采购合同转包或分包给其他供应商的；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（15）不按比选、响应文件的要求和承诺执行或擅自降低响应承诺的产品质量和售后服务或以次充好、偷工减料的；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（16）实际提供的有关产品性能指标和技术服务能力明显低于采购响应文件时的承诺的；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（17）2年内有一次以上投诉查无实据、捏造事实或者提供虚假投诉材料的；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（18）累计两次供应商履约诚信量化评价得分不合格的供应商的；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（19）2年内累计达两次报名成功后未按规定提前一天发函告知不参加比选的。</w:t>
      </w:r>
    </w:p>
    <w:p>
      <w:pPr>
        <w:pStyle w:val="8"/>
        <w:widowControl/>
        <w:numPr>
          <w:ilvl w:val="0"/>
          <w:numId w:val="0"/>
        </w:numPr>
        <w:adjustRightInd w:val="0"/>
        <w:snapToGrid w:val="0"/>
        <w:spacing w:line="360" w:lineRule="auto"/>
        <w:ind w:firstLine="486" w:firstLineChars="200"/>
        <w:rPr>
          <w:rFonts w:hint="default" w:ascii="仿宋" w:hAnsi="仿宋" w:eastAsia="仿宋" w:cs="仿宋"/>
          <w:strike w:val="0"/>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响应供应商在响应比选文件中必须列出具体数值，如果响应供应商只注明“差不多”“接近”等不明确表述，或擅自修改比选文件的比选服务、商务等要求的将导致评审小组拒绝其响应。</w:t>
      </w:r>
    </w:p>
    <w:p>
      <w:pPr>
        <w:pStyle w:val="8"/>
        <w:adjustRightInd w:val="0"/>
        <w:snapToGrid w:val="0"/>
        <w:spacing w:line="360" w:lineRule="auto"/>
        <w:ind w:firstLine="486"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五、比选</w:t>
      </w:r>
    </w:p>
    <w:p>
      <w:pPr>
        <w:pStyle w:val="8"/>
        <w:adjustRightInd w:val="0"/>
        <w:snapToGrid w:val="0"/>
        <w:spacing w:line="360" w:lineRule="auto"/>
        <w:ind w:right="32" w:firstLine="486" w:firstLineChars="200"/>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（一）比选前</w:t>
      </w:r>
    </w:p>
    <w:p>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在本比选文件规定的日期、时间和地点组织比选。参加比选的代表应签到以证明其出席,并出示有效身份证件以供查验。原则上要求法人或被授权人亲自前来参加比选。确因不可抗拒之原因，委托他人前来的，应出具授权委托书（含被授权人身份证复印件）并加盖公章，授权委托书必须具有法人签名，未签名无效。如缺少上述资料，按响应无效处理。</w:t>
      </w:r>
    </w:p>
    <w:p>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供应商不参加现场比选的，视为无条件认同比选报价结果。</w:t>
      </w:r>
    </w:p>
    <w:p>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szCs w:val="24"/>
          <w:highlight w:val="none"/>
        </w:rPr>
        <w:t>选派监督代表参加比选现场监督，只负责监督不负责评审工作。</w:t>
      </w:r>
    </w:p>
    <w:p>
      <w:pPr>
        <w:pStyle w:val="8"/>
        <w:adjustRightInd w:val="0"/>
        <w:snapToGrid w:val="0"/>
        <w:spacing w:line="360" w:lineRule="auto"/>
        <w:ind w:right="0" w:firstLine="486" w:firstLineChars="200"/>
        <w:rPr>
          <w:rFonts w:hint="default" w:ascii="仿宋" w:hAnsi="仿宋" w:eastAsia="仿宋" w:cs="仿宋"/>
          <w:b/>
          <w:color w:val="auto"/>
          <w:sz w:val="24"/>
          <w:szCs w:val="24"/>
          <w:highlight w:val="none"/>
          <w:lang w:val="en-US"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在响应供应商见证下、医院监督代表验证文件的密封性，并由工作人员现场宣读响应供应商名称、响应价格等实质内容。</w:t>
      </w:r>
    </w:p>
    <w:p>
      <w:pPr>
        <w:pStyle w:val="8"/>
        <w:adjustRightInd w:val="0"/>
        <w:snapToGrid w:val="0"/>
        <w:spacing w:line="360" w:lineRule="auto"/>
        <w:ind w:right="32" w:firstLine="486"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（二）评审</w:t>
      </w:r>
    </w:p>
    <w:p>
      <w:pPr>
        <w:pStyle w:val="8"/>
        <w:adjustRightInd w:val="0"/>
        <w:snapToGrid w:val="0"/>
        <w:spacing w:line="360" w:lineRule="auto"/>
        <w:ind w:right="32"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评审小组的组成</w:t>
      </w:r>
    </w:p>
    <w:p>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评审小组按医院规定从专家库中随机抽取三名专家组成</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highlight w:val="none"/>
        </w:rPr>
        <w:t>同一任职科室评审专家</w:t>
      </w:r>
      <w:r>
        <w:rPr>
          <w:rFonts w:hint="eastAsia" w:ascii="仿宋" w:hAnsi="仿宋" w:eastAsia="仿宋" w:cs="仿宋"/>
          <w:color w:val="auto"/>
          <w:kern w:val="0"/>
          <w:sz w:val="24"/>
          <w:highlight w:val="none"/>
          <w:lang w:val="en-US" w:eastAsia="zh-CN"/>
        </w:rPr>
        <w:t>不</w:t>
      </w:r>
      <w:r>
        <w:rPr>
          <w:rFonts w:hint="eastAsia" w:ascii="仿宋" w:hAnsi="仿宋" w:eastAsia="仿宋" w:cs="仿宋"/>
          <w:color w:val="auto"/>
          <w:kern w:val="0"/>
          <w:sz w:val="24"/>
          <w:highlight w:val="none"/>
        </w:rPr>
        <w:t>超过二名</w:t>
      </w:r>
      <w:r>
        <w:rPr>
          <w:rFonts w:hint="eastAsia"/>
          <w:color w:val="auto"/>
          <w:highlight w:val="none"/>
          <w:lang w:eastAsia="zh-CN"/>
        </w:rPr>
        <w:t>。</w:t>
      </w:r>
      <w:r>
        <w:rPr>
          <w:rFonts w:hint="eastAsia" w:ascii="仿宋" w:hAnsi="仿宋" w:eastAsia="仿宋" w:cs="仿宋"/>
          <w:color w:val="auto"/>
          <w:sz w:val="24"/>
          <w:szCs w:val="24"/>
          <w:highlight w:val="none"/>
        </w:rPr>
        <w:t>评审小组将本着公平、公正、科学、择优的原则，严格按照医院的</w:t>
      </w:r>
      <w:r>
        <w:rPr>
          <w:rFonts w:hint="eastAsia" w:ascii="仿宋" w:hAnsi="仿宋" w:eastAsia="仿宋" w:cs="仿宋"/>
          <w:color w:val="auto"/>
          <w:sz w:val="24"/>
          <w:szCs w:val="24"/>
          <w:highlight w:val="none"/>
          <w:lang w:val="en-US" w:eastAsia="zh-CN"/>
        </w:rPr>
        <w:t>医院招标</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工作</w:t>
      </w:r>
      <w:r>
        <w:rPr>
          <w:rFonts w:hint="eastAsia" w:ascii="仿宋" w:hAnsi="仿宋" w:eastAsia="仿宋" w:cs="仿宋"/>
          <w:color w:val="auto"/>
          <w:sz w:val="24"/>
          <w:szCs w:val="24"/>
          <w:highlight w:val="none"/>
        </w:rPr>
        <w:t>实施细则和比选文件的要求进行评审及推荐</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w:t>
      </w:r>
    </w:p>
    <w:p>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审小组成员对需要共同认定的事项存在争议的，评审小组组长应当组织评审成员讨论，按照少数服从多数的原则做出结论。持不同意见的评审小组成员应当在评审报告上签署不同意见并说明理由，否则视为同意。</w:t>
      </w:r>
    </w:p>
    <w:p>
      <w:pPr>
        <w:pStyle w:val="8"/>
        <w:adjustRightInd w:val="0"/>
        <w:snapToGrid w:val="0"/>
        <w:spacing w:line="360" w:lineRule="auto"/>
        <w:ind w:firstLine="486" w:firstLineChars="200"/>
        <w:rPr>
          <w:rFonts w:hint="eastAsia" w:ascii="仿宋" w:hAnsi="仿宋" w:eastAsia="仿宋" w:cs="仿宋"/>
          <w:b/>
          <w:color w:val="auto"/>
          <w:kern w:val="0"/>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color w:val="auto"/>
          <w:kern w:val="0"/>
          <w:sz w:val="24"/>
          <w:szCs w:val="24"/>
          <w:highlight w:val="none"/>
        </w:rPr>
        <w:t>评审</w:t>
      </w:r>
      <w:r>
        <w:rPr>
          <w:rFonts w:hint="eastAsia" w:ascii="仿宋" w:hAnsi="仿宋" w:eastAsia="仿宋" w:cs="仿宋"/>
          <w:b/>
          <w:color w:val="auto"/>
          <w:sz w:val="24"/>
          <w:szCs w:val="24"/>
          <w:highlight w:val="none"/>
        </w:rPr>
        <w:t>方法、步骤及标准</w:t>
      </w:r>
    </w:p>
    <w:p>
      <w:pPr>
        <w:pStyle w:val="8"/>
        <w:adjustRightInd w:val="0"/>
        <w:snapToGrid w:val="0"/>
        <w:spacing w:line="360" w:lineRule="auto"/>
        <w:ind w:firstLine="486"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根据比选响应相关法规确定以下评审方法、步骤及标准：</w:t>
      </w:r>
    </w:p>
    <w:p>
      <w:pPr>
        <w:pStyle w:val="8"/>
        <w:adjustRightInd w:val="0"/>
        <w:snapToGrid w:val="0"/>
        <w:spacing w:line="360" w:lineRule="auto"/>
        <w:ind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（一）评审方法</w:t>
      </w:r>
    </w:p>
    <w:p>
      <w:pPr>
        <w:pStyle w:val="8"/>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本次评审采用</w:t>
      </w:r>
      <w:r>
        <w:rPr>
          <w:rFonts w:hint="eastAsia" w:ascii="仿宋" w:hAnsi="仿宋" w:eastAsia="仿宋" w:cs="仿宋"/>
          <w:b/>
          <w:bCs/>
          <w:color w:val="auto"/>
          <w:sz w:val="24"/>
          <w:szCs w:val="24"/>
          <w:highlight w:val="none"/>
        </w:rPr>
        <w:t>综合评分法</w:t>
      </w:r>
      <w:r>
        <w:rPr>
          <w:rFonts w:hint="eastAsia" w:ascii="仿宋" w:hAnsi="仿宋" w:eastAsia="仿宋" w:cs="仿宋"/>
          <w:color w:val="auto"/>
          <w:sz w:val="24"/>
          <w:szCs w:val="24"/>
          <w:highlight w:val="none"/>
        </w:rPr>
        <w:t>。评审小组依据响应证明文件从商务评审、技术评审、价格评审等方面按公正、科学、客观、平等竞争的要求进行综合评审,按评审综合得分由高到低确定成交供应商。</w:t>
      </w:r>
    </w:p>
    <w:p>
      <w:pPr>
        <w:pStyle w:val="8"/>
        <w:adjustRightInd w:val="0"/>
        <w:snapToGrid w:val="0"/>
        <w:spacing w:line="360" w:lineRule="auto"/>
        <w:ind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(二)评审步骤</w:t>
      </w:r>
    </w:p>
    <w:p>
      <w:pPr>
        <w:pStyle w:val="8"/>
        <w:adjustRightInd w:val="0"/>
        <w:snapToGrid w:val="0"/>
        <w:spacing w:line="360" w:lineRule="auto"/>
        <w:ind w:right="32" w:firstLine="465" w:firstLineChars="192"/>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宣读评审纪律</w:t>
      </w:r>
    </w:p>
    <w:p>
      <w:pPr>
        <w:pStyle w:val="8"/>
        <w:adjustRightInd w:val="0"/>
        <w:snapToGrid w:val="0"/>
        <w:spacing w:line="360" w:lineRule="auto"/>
        <w:ind w:firstLine="465" w:firstLineChars="19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评审专家签到，</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在评审开始前宣读评审纪律及比选文件说明。</w:t>
      </w:r>
    </w:p>
    <w:p>
      <w:pPr>
        <w:autoSpaceDE w:val="0"/>
        <w:autoSpaceDN w:val="0"/>
        <w:adjustRightInd w:val="0"/>
        <w:snapToGrid w:val="0"/>
        <w:spacing w:line="360" w:lineRule="auto"/>
        <w:ind w:right="32" w:firstLine="465" w:firstLineChars="192"/>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kern w:val="0"/>
          <w:sz w:val="24"/>
          <w:highlight w:val="none"/>
        </w:rPr>
        <w:t>评审专家有下列情形之一的，受到邀请应主动提出回避，采购当事人也可以要求该评审专家回避：</w:t>
      </w:r>
    </w:p>
    <w:tbl>
      <w:tblPr>
        <w:tblStyle w:val="12"/>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7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top"/>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7847" w:type="dxa"/>
            <w:noWrap w:val="0"/>
            <w:vAlign w:val="top"/>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评审专家回避情形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现在或者在采购活动发生前三年内，与供应商存在雇佣关系；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现在或者在采购活动发生前三年内担任供应商的财务顾问、法律顾问或技术顾问；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现在或者在采购活动发生前三年内是供应商的控股股东或者实际控制人；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评审专家与参加该采购项目供应商发生过法律纠纷的；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与供应商的法定代表人或者负责人有直系血亲、三代以内旁系血亲及姻亲关系；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6</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与供应商之间存在其他影响或可能影响政府采购活动依法进行的利害关系。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7</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法律、法规、规章规定应当回避以及其他可能影响公正评审的。</w:t>
            </w:r>
          </w:p>
        </w:tc>
      </w:tr>
    </w:tbl>
    <w:p>
      <w:pPr>
        <w:autoSpaceDE w:val="0"/>
        <w:autoSpaceDN w:val="0"/>
        <w:adjustRightInd w:val="0"/>
        <w:snapToGrid w:val="0"/>
        <w:spacing w:line="360" w:lineRule="auto"/>
        <w:ind w:right="32"/>
        <w:rPr>
          <w:rFonts w:hint="eastAsia" w:ascii="仿宋" w:hAnsi="仿宋" w:eastAsia="仿宋" w:cs="仿宋"/>
          <w:b/>
          <w:color w:val="auto"/>
          <w:sz w:val="24"/>
          <w:highlight w:val="none"/>
        </w:rPr>
      </w:pPr>
    </w:p>
    <w:p>
      <w:pPr>
        <w:autoSpaceDE w:val="0"/>
        <w:autoSpaceDN w:val="0"/>
        <w:adjustRightInd w:val="0"/>
        <w:snapToGrid w:val="0"/>
        <w:spacing w:line="360" w:lineRule="auto"/>
        <w:ind w:right="32" w:firstLine="486"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3</w:t>
      </w:r>
      <w:r>
        <w:rPr>
          <w:rFonts w:hint="eastAsia" w:ascii="仿宋" w:hAnsi="仿宋" w:eastAsia="仿宋" w:cs="仿宋"/>
          <w:b w:val="0"/>
          <w:bCs/>
          <w:color w:val="auto"/>
          <w:sz w:val="24"/>
          <w:highlight w:val="none"/>
          <w:lang w:val="en-US" w:eastAsia="zh-CN"/>
        </w:rPr>
        <w:t>.</w:t>
      </w:r>
      <w:r>
        <w:rPr>
          <w:rFonts w:hint="eastAsia" w:ascii="仿宋" w:hAnsi="仿宋" w:eastAsia="仿宋" w:cs="仿宋"/>
          <w:b w:val="0"/>
          <w:bCs/>
          <w:color w:val="auto"/>
          <w:sz w:val="24"/>
          <w:highlight w:val="none"/>
        </w:rPr>
        <w:t>推荐评审小组组长</w:t>
      </w:r>
    </w:p>
    <w:p>
      <w:pPr>
        <w:autoSpaceDE w:val="0"/>
        <w:autoSpaceDN w:val="0"/>
        <w:adjustRightInd w:val="0"/>
        <w:snapToGrid w:val="0"/>
        <w:spacing w:line="360" w:lineRule="auto"/>
        <w:ind w:right="32" w:firstLine="463" w:firstLineChars="191"/>
        <w:rPr>
          <w:rFonts w:hint="eastAsia"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lang w:eastAsia="zh-CN"/>
        </w:rPr>
        <w:t>评审小组</w:t>
      </w:r>
      <w:r>
        <w:rPr>
          <w:rFonts w:hint="eastAsia" w:ascii="仿宋" w:hAnsi="仿宋" w:eastAsia="仿宋" w:cs="仿宋"/>
          <w:b w:val="0"/>
          <w:bCs/>
          <w:color w:val="auto"/>
          <w:kern w:val="0"/>
          <w:sz w:val="24"/>
          <w:highlight w:val="none"/>
        </w:rPr>
        <w:t>按照少数服从多数的原则推荐组长。评</w:t>
      </w:r>
      <w:r>
        <w:rPr>
          <w:rFonts w:hint="eastAsia" w:ascii="仿宋" w:hAnsi="仿宋" w:eastAsia="仿宋" w:cs="仿宋"/>
          <w:b w:val="0"/>
          <w:bCs/>
          <w:color w:val="auto"/>
          <w:sz w:val="24"/>
          <w:highlight w:val="none"/>
        </w:rPr>
        <w:t>审</w:t>
      </w:r>
      <w:r>
        <w:rPr>
          <w:rFonts w:hint="eastAsia" w:ascii="仿宋" w:hAnsi="仿宋" w:eastAsia="仿宋" w:cs="仿宋"/>
          <w:b w:val="0"/>
          <w:bCs/>
          <w:color w:val="auto"/>
          <w:kern w:val="0"/>
          <w:sz w:val="24"/>
          <w:highlight w:val="none"/>
        </w:rPr>
        <w:t>小组成员在履行独立评审权利义务的同时，不得发表有失公正和不负责任的言论，不得相互串通和压制他人意见，不得将个人倾向性意见诱导、暗示或强加于他人认同。</w:t>
      </w:r>
    </w:p>
    <w:p>
      <w:pPr>
        <w:pStyle w:val="8"/>
        <w:adjustRightInd w:val="0"/>
        <w:snapToGrid w:val="0"/>
        <w:spacing w:line="360" w:lineRule="auto"/>
        <w:ind w:right="32" w:firstLine="463"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响应文件的资格性、符合性审查</w:t>
      </w:r>
    </w:p>
    <w:p>
      <w:pPr>
        <w:pStyle w:val="8"/>
        <w:adjustRightInd w:val="0"/>
        <w:snapToGrid w:val="0"/>
        <w:spacing w:line="360" w:lineRule="auto"/>
        <w:ind w:right="32" w:firstLine="463"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资格性、符合性审查内容主要为对响应文件的响应函、法定代表人/负责人资格证明书及授权委托书、</w:t>
      </w:r>
      <w:r>
        <w:rPr>
          <w:rFonts w:hint="eastAsia" w:ascii="仿宋" w:hAnsi="仿宋" w:eastAsia="仿宋" w:cs="仿宋"/>
          <w:bCs/>
          <w:color w:val="auto"/>
          <w:sz w:val="24"/>
          <w:szCs w:val="24"/>
          <w:highlight w:val="none"/>
          <w:lang w:val="en-US" w:eastAsia="zh-CN"/>
        </w:rPr>
        <w:t>供应商资格、技术商务实质性响应</w:t>
      </w:r>
      <w:r>
        <w:rPr>
          <w:rFonts w:hint="eastAsia" w:ascii="仿宋" w:hAnsi="仿宋" w:eastAsia="仿宋" w:cs="仿宋"/>
          <w:bCs/>
          <w:color w:val="auto"/>
          <w:sz w:val="24"/>
          <w:szCs w:val="24"/>
          <w:highlight w:val="none"/>
        </w:rPr>
        <w:t>及报价的唯一性等，审查不合格者按响应无效处理。只有资格性符合性全部审查合格才能进入后续评审。</w:t>
      </w:r>
    </w:p>
    <w:p>
      <w:pPr>
        <w:pStyle w:val="8"/>
        <w:adjustRightInd w:val="0"/>
        <w:snapToGrid w:val="0"/>
        <w:spacing w:line="360" w:lineRule="auto"/>
        <w:ind w:right="32" w:firstLine="463"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评审</w:t>
      </w:r>
      <w:r>
        <w:rPr>
          <w:rFonts w:hint="eastAsia" w:ascii="仿宋" w:hAnsi="仿宋" w:eastAsia="仿宋" w:cs="仿宋"/>
          <w:bCs/>
          <w:color w:val="auto"/>
          <w:sz w:val="24"/>
          <w:szCs w:val="24"/>
          <w:highlight w:val="none"/>
          <w:lang w:val="en-US" w:eastAsia="zh-CN"/>
        </w:rPr>
        <w:t>小组</w:t>
      </w:r>
      <w:r>
        <w:rPr>
          <w:rFonts w:hint="eastAsia" w:ascii="仿宋" w:hAnsi="仿宋" w:eastAsia="仿宋" w:cs="仿宋"/>
          <w:bCs/>
          <w:color w:val="auto"/>
          <w:sz w:val="24"/>
          <w:szCs w:val="24"/>
          <w:highlight w:val="none"/>
        </w:rPr>
        <w:t>对大小写金额不一致、单价汇总与总价不一致的，按以下方法更正：响应文件的大写金额和小写金额不一致的，以大写金额为准；总价金额与按单价汇总金额不一致的，以单价金额计算结果为准；单价金额小数点明显错位的，应以总价为准，并修改单价。如果响应不接受对其错误的更正，其响应将被视为响应无效。</w:t>
      </w:r>
    </w:p>
    <w:p>
      <w:pPr>
        <w:pStyle w:val="8"/>
        <w:adjustRightInd w:val="0"/>
        <w:snapToGrid w:val="0"/>
        <w:spacing w:line="360" w:lineRule="auto"/>
        <w:ind w:right="32" w:firstLine="463" w:firstLineChars="191"/>
        <w:rPr>
          <w:rFonts w:hint="eastAsia" w:ascii="仿宋" w:hAnsi="仿宋" w:eastAsia="仿宋" w:cs="仿宋"/>
          <w:bCs/>
          <w:color w:val="auto"/>
          <w:sz w:val="24"/>
          <w:szCs w:val="24"/>
          <w:highlight w:val="none"/>
        </w:rPr>
      </w:pP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不得恶意竞价，对于报价差异巨大的，</w:t>
      </w:r>
      <w:r>
        <w:rPr>
          <w:rFonts w:hint="eastAsia" w:ascii="仿宋" w:hAnsi="仿宋" w:eastAsia="仿宋" w:cs="仿宋"/>
          <w:b/>
          <w:bCs/>
          <w:strike w:val="0"/>
          <w:color w:val="auto"/>
          <w:sz w:val="24"/>
          <w:highlight w:val="none"/>
          <w:lang w:eastAsia="zh-CN"/>
        </w:rPr>
        <w:t>评审小组</w:t>
      </w:r>
      <w:r>
        <w:rPr>
          <w:rFonts w:hint="eastAsia" w:ascii="仿宋" w:hAnsi="仿宋" w:eastAsia="仿宋" w:cs="仿宋"/>
          <w:b/>
          <w:bCs/>
          <w:strike w:val="0"/>
          <w:color w:val="auto"/>
          <w:sz w:val="24"/>
          <w:highlight w:val="none"/>
        </w:rPr>
        <w:t>有权要求</w:t>
      </w: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在规定的时间内提供相关证明材料，在规定时间内不能提供材料或者无法证明的,</w:t>
      </w:r>
      <w:r>
        <w:rPr>
          <w:rFonts w:hint="eastAsia" w:ascii="仿宋" w:hAnsi="仿宋" w:eastAsia="仿宋" w:cs="仿宋"/>
          <w:b/>
          <w:bCs/>
          <w:strike w:val="0"/>
          <w:color w:val="auto"/>
          <w:sz w:val="24"/>
          <w:highlight w:val="none"/>
          <w:lang w:eastAsia="zh-CN"/>
        </w:rPr>
        <w:t>评审小组</w:t>
      </w:r>
      <w:r>
        <w:rPr>
          <w:rFonts w:hint="eastAsia" w:ascii="仿宋" w:hAnsi="仿宋" w:eastAsia="仿宋" w:cs="仿宋"/>
          <w:b/>
          <w:bCs/>
          <w:strike w:val="0"/>
          <w:color w:val="auto"/>
          <w:sz w:val="24"/>
          <w:highlight w:val="none"/>
        </w:rPr>
        <w:t>有权裁定该报价是否为恶意报价。恶意竞价的</w:t>
      </w: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将被取消成交资格，并列入黑名单，在此后五年内不得参与我院任何采买活动。</w:t>
      </w:r>
    </w:p>
    <w:tbl>
      <w:tblPr>
        <w:tblStyle w:val="12"/>
        <w:tblW w:w="8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032"/>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gridSpan w:val="2"/>
            <w:noWrap w:val="0"/>
            <w:vAlign w:val="top"/>
          </w:tcPr>
          <w:p>
            <w:pPr>
              <w:spacing w:line="380" w:lineRule="exact"/>
              <w:jc w:val="center"/>
              <w:rPr>
                <w:rFonts w:hint="eastAsia"/>
                <w:color w:val="auto"/>
                <w:highlight w:val="none"/>
              </w:rPr>
            </w:pPr>
            <w:r>
              <w:rPr>
                <w:rFonts w:hint="eastAsia" w:ascii="仿宋" w:hAnsi="仿宋" w:eastAsia="仿宋" w:cs="仿宋"/>
                <w:b/>
                <w:bCs/>
                <w:color w:val="auto"/>
                <w:szCs w:val="21"/>
                <w:highlight w:val="none"/>
              </w:rPr>
              <w:t>评审内容</w:t>
            </w:r>
          </w:p>
        </w:tc>
        <w:tc>
          <w:tcPr>
            <w:tcW w:w="5760" w:type="dxa"/>
            <w:noWrap w:val="0"/>
            <w:vAlign w:val="center"/>
          </w:tcPr>
          <w:p>
            <w:pPr>
              <w:spacing w:line="380" w:lineRule="exact"/>
              <w:ind w:left="-171"/>
              <w:jc w:val="center"/>
              <w:rPr>
                <w:rFonts w:hint="eastAsia"/>
                <w:color w:val="auto"/>
                <w:highlight w:val="none"/>
              </w:rPr>
            </w:pPr>
            <w:r>
              <w:rPr>
                <w:rFonts w:hint="eastAsia" w:ascii="仿宋" w:hAnsi="仿宋" w:eastAsia="仿宋" w:cs="仿宋"/>
                <w:b/>
                <w:bCs/>
                <w:color w:val="auto"/>
                <w:szCs w:val="21"/>
                <w:highlight w:val="none"/>
              </w:rPr>
              <w:t>比选/采购文件要求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1" w:type="dxa"/>
            <w:vMerge w:val="restart"/>
            <w:noWrap w:val="0"/>
            <w:vAlign w:val="center"/>
          </w:tcPr>
          <w:p>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资格性审查</w:t>
            </w:r>
          </w:p>
        </w:tc>
        <w:tc>
          <w:tcPr>
            <w:tcW w:w="2032"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具有独立承担民事责任能力</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在中华人民共和国境内注册的具有独立承担民事责任能力的法人或其他组织（提供营业执照等证明文件）；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具有良好的商业信誉和健全的财务会计制度</w:t>
            </w:r>
          </w:p>
        </w:tc>
        <w:tc>
          <w:tcPr>
            <w:tcW w:w="5760" w:type="dxa"/>
            <w:noWrap w:val="0"/>
            <w:vAlign w:val="center"/>
          </w:tcPr>
          <w:p>
            <w:pPr>
              <w:spacing w:line="380" w:lineRule="exact"/>
              <w:ind w:left="40" w:leftChars="19"/>
              <w:jc w:val="left"/>
              <w:rPr>
                <w:rFonts w:hint="eastAsia" w:ascii="仿宋" w:hAnsi="仿宋" w:eastAsia="仿宋" w:cs="仿宋"/>
                <w:color w:val="auto"/>
                <w:highlight w:val="none"/>
              </w:rPr>
            </w:pPr>
            <w:r>
              <w:rPr>
                <w:rFonts w:hint="eastAsia" w:ascii="仿宋" w:hAnsi="仿宋" w:eastAsia="仿宋" w:cs="仿宋"/>
                <w:color w:val="auto"/>
                <w:highlight w:val="none"/>
              </w:rPr>
              <w:t>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highlight w:val="none"/>
                <w:lang w:eastAsia="zh-CN"/>
              </w:rPr>
              <w:t>响应供应商</w:t>
            </w:r>
            <w:r>
              <w:rPr>
                <w:rFonts w:hint="eastAsia" w:ascii="仿宋" w:hAnsi="仿宋" w:eastAsia="仿宋" w:cs="仿宋"/>
                <w:color w:val="auto"/>
                <w:highlight w:val="none"/>
              </w:rPr>
              <w:t>人内部的财务报表复印件（新成立公司提供成立至今的月或季度财务报表复印件）；或③截至</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文件递交截止日</w:t>
            </w:r>
            <w:r>
              <w:rPr>
                <w:rFonts w:hint="eastAsia" w:ascii="仿宋" w:hAnsi="仿宋" w:eastAsia="仿宋" w:cs="仿宋"/>
                <w:color w:val="auto"/>
                <w:highlight w:val="none"/>
                <w:lang w:eastAsia="zh-CN"/>
              </w:rPr>
              <w:t>12个月内银行</w:t>
            </w:r>
            <w:r>
              <w:rPr>
                <w:rFonts w:hint="eastAsia" w:ascii="仿宋" w:hAnsi="仿宋" w:eastAsia="仿宋" w:cs="仿宋"/>
                <w:color w:val="auto"/>
                <w:highlight w:val="none"/>
              </w:rPr>
              <w:t>出具的资信证明（复印件）</w:t>
            </w:r>
            <w:r>
              <w:rPr>
                <w:rFonts w:hint="eastAsia" w:ascii="仿宋" w:hAnsi="仿宋" w:eastAsia="仿宋" w:cs="仿宋"/>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3.有</w:t>
            </w:r>
            <w:r>
              <w:rPr>
                <w:rFonts w:hint="eastAsia" w:ascii="仿宋" w:hAnsi="仿宋" w:eastAsia="仿宋" w:cs="仿宋"/>
                <w:color w:val="auto"/>
                <w:highlight w:val="none"/>
              </w:rPr>
              <w:t>依法缴纳税收</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highlight w:val="none"/>
              </w:rPr>
              <w:t>比选截止时间近12个月内任意一个月的依法缴纳税收证明材料（如依法免税，则须提供相应文件证明其依法免税）；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4.有</w:t>
            </w:r>
            <w:r>
              <w:rPr>
                <w:rFonts w:hint="eastAsia" w:ascii="仿宋" w:hAnsi="仿宋" w:eastAsia="仿宋" w:cs="仿宋"/>
                <w:color w:val="auto"/>
                <w:highlight w:val="none"/>
              </w:rPr>
              <w:t>依法缴纳社会保险凭据</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highlight w:val="none"/>
              </w:rPr>
              <w:t>比选截止时间近12个月内任意一个月的依法缴纳社会保险凭据（如依法不需要缴纳社保，则须提供相应文件证明其依法不需</w:t>
            </w:r>
            <w:r>
              <w:rPr>
                <w:rFonts w:hint="eastAsia" w:ascii="仿宋" w:hAnsi="仿宋" w:eastAsia="仿宋" w:cs="仿宋"/>
                <w:color w:val="auto"/>
                <w:szCs w:val="21"/>
                <w:highlight w:val="none"/>
              </w:rPr>
              <w:t>要缴纳）</w:t>
            </w:r>
            <w:r>
              <w:rPr>
                <w:rFonts w:hint="eastAsia" w:ascii="仿宋" w:hAnsi="仿宋" w:eastAsia="仿宋" w:cs="仿宋"/>
                <w:color w:val="auto"/>
                <w:szCs w:val="21"/>
                <w:highlight w:val="none"/>
                <w:lang w:eastAsia="zh-CN"/>
              </w:rPr>
              <w:t>或书面声明。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履行合同所必需的设备和专业技术能力</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履行合同所必需的设备和专业技术能力的证明材料或书面声明；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没有重大违法记录</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7.信用记录</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8.控股关系</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单位负责人为同一人或者存在直接控股、管理关系的不同供应商，不得参加同一包号</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lang w:val="zh-CN"/>
              </w:rPr>
              <w:t>或者未划分包号的同一采购项目。(供应商出具声明函)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9.不得参加本项目情况</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为本采购项目提供整体设计、规范编制或者项目管理、监理、检测等服务的供应商，不得再参加本采购项目的采购活动。(供应商出具声明函)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10.联合体</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本项目不接受联合体参加比选，不允许响应供应商对各比选项目进行分包或转包(供应商出具声明函)</w:t>
            </w:r>
            <w:r>
              <w:rPr>
                <w:rFonts w:hint="eastAsia" w:ascii="仿宋" w:hAnsi="仿宋" w:eastAsia="仿宋" w:cs="仿宋"/>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11.落实政府采购政策需满足的资格要求</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本项目是专门面向中小企业采购的项目，供应商应为中小微企业。（提供《中小企业声明函》,具体格式文件见比选文件P45中小企业声明函，未按要求提供声明函的将导致响应无效）。本项目中小企业划分标准所属行业为：未列明行业</w:t>
            </w:r>
            <w:r>
              <w:rPr>
                <w:rFonts w:hint="eastAsia" w:ascii="仿宋" w:hAnsi="仿宋" w:eastAsia="仿宋" w:cs="仿宋"/>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12.报名</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已在医院办公室报名。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1" w:type="dxa"/>
            <w:vMerge w:val="restart"/>
            <w:noWrap w:val="0"/>
            <w:vAlign w:val="center"/>
          </w:tcPr>
          <w:p>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符合性审查</w:t>
            </w:r>
          </w:p>
        </w:tc>
        <w:tc>
          <w:tcPr>
            <w:tcW w:w="2032" w:type="dxa"/>
            <w:noWrap w:val="0"/>
            <w:vAlign w:val="center"/>
          </w:tcPr>
          <w:p>
            <w:pPr>
              <w:ind w:left="40" w:leftChars="19"/>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文件签署</w:t>
            </w:r>
          </w:p>
        </w:tc>
        <w:tc>
          <w:tcPr>
            <w:tcW w:w="5760" w:type="dxa"/>
            <w:tcBorders>
              <w:bottom w:val="single" w:color="auto" w:sz="4" w:space="0"/>
            </w:tcBorders>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按照比选文件规定要求签署、盖章且响应文件有法定代表人签字或盖个人名章（或签字人有法定代表人有效授权书）的。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响应有效期</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响应函已提交并符合比选文件要求的，且响应有效期不少于比选文件中载明的响应有效期限；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商务要求评审</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实质性（“★”项）商务条款是否全部完全响应；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技术</w:t>
            </w:r>
            <w:r>
              <w:rPr>
                <w:rFonts w:hint="eastAsia" w:ascii="仿宋" w:hAnsi="仿宋" w:eastAsia="仿宋" w:cs="仿宋"/>
                <w:color w:val="auto"/>
                <w:szCs w:val="21"/>
                <w:highlight w:val="none"/>
              </w:rPr>
              <w:t>要求评审</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实质性（“★”项）技术要求条款是否全部完全响应；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报价合理性</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报价方案是唯一确定、报价合理。</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如有分项报价要求，各分项报价不得高于各分项最高预算单价，合计总报价是固定唯一价且无超出采购预算或最高限价；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其他</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按有关法律、法规、规章和比选文件中规定的其他无效响应情形。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61" w:type="dxa"/>
            <w:noWrap w:val="0"/>
            <w:vAlign w:val="center"/>
          </w:tcPr>
          <w:p>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c>
          <w:tcPr>
            <w:tcW w:w="7792" w:type="dxa"/>
            <w:gridSpan w:val="2"/>
            <w:noWrap w:val="0"/>
            <w:vAlign w:val="center"/>
          </w:tcPr>
          <w:p>
            <w:pPr>
              <w:tabs>
                <w:tab w:val="left" w:pos="2880"/>
              </w:tabs>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响应文件一式</w:t>
            </w:r>
            <w:r>
              <w:rPr>
                <w:rFonts w:hint="eastAsia" w:ascii="仿宋" w:hAnsi="仿宋" w:eastAsia="仿宋" w:cs="仿宋"/>
                <w:color w:val="auto"/>
                <w:szCs w:val="21"/>
                <w:highlight w:val="none"/>
                <w:lang w:eastAsia="zh-CN"/>
              </w:rPr>
              <w:t>两</w:t>
            </w:r>
            <w:r>
              <w:rPr>
                <w:rFonts w:hint="eastAsia" w:ascii="仿宋" w:hAnsi="仿宋" w:eastAsia="仿宋" w:cs="仿宋"/>
                <w:color w:val="auto"/>
                <w:szCs w:val="21"/>
                <w:highlight w:val="none"/>
              </w:rPr>
              <w:t>份，其中正本一份和副本</w:t>
            </w:r>
            <w:r>
              <w:rPr>
                <w:rFonts w:hint="eastAsia" w:ascii="仿宋" w:hAnsi="仿宋" w:eastAsia="仿宋" w:cs="仿宋"/>
                <w:color w:val="auto"/>
                <w:szCs w:val="21"/>
                <w:highlight w:val="none"/>
                <w:lang w:eastAsia="zh-CN"/>
              </w:rPr>
              <w:t>一</w:t>
            </w:r>
            <w:r>
              <w:rPr>
                <w:rFonts w:hint="eastAsia" w:ascii="仿宋" w:hAnsi="仿宋" w:eastAsia="仿宋" w:cs="仿宋"/>
                <w:color w:val="auto"/>
                <w:szCs w:val="21"/>
                <w:highlight w:val="none"/>
              </w:rPr>
              <w:t>份</w:t>
            </w:r>
          </w:p>
        </w:tc>
      </w:tr>
    </w:tbl>
    <w:p>
      <w:pPr>
        <w:pStyle w:val="8"/>
        <w:adjustRightInd w:val="0"/>
        <w:snapToGrid w:val="0"/>
        <w:spacing w:line="360" w:lineRule="auto"/>
        <w:ind w:right="32"/>
        <w:rPr>
          <w:rFonts w:hint="eastAsia" w:ascii="仿宋" w:hAnsi="仿宋" w:eastAsia="仿宋" w:cs="仿宋"/>
          <w:b w:val="0"/>
          <w:bCs/>
          <w:color w:val="auto"/>
          <w:sz w:val="24"/>
          <w:szCs w:val="24"/>
          <w:highlight w:val="none"/>
        </w:rPr>
      </w:pPr>
    </w:p>
    <w:p>
      <w:pPr>
        <w:pStyle w:val="8"/>
        <w:adjustRightInd w:val="0"/>
        <w:snapToGrid w:val="0"/>
        <w:spacing w:line="360" w:lineRule="auto"/>
        <w:ind w:right="32" w:firstLine="486" w:firstLineChars="200"/>
        <w:rPr>
          <w:rFonts w:hint="eastAsia" w:ascii="仿宋" w:hAnsi="仿宋" w:eastAsia="仿宋" w:cs="仿宋"/>
          <w:bCs/>
          <w:color w:val="auto"/>
          <w:sz w:val="24"/>
          <w:szCs w:val="24"/>
          <w:highlight w:val="none"/>
        </w:rPr>
      </w:pP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文件澄清</w:t>
      </w:r>
    </w:p>
    <w:p>
      <w:pPr>
        <w:pStyle w:val="8"/>
        <w:adjustRightInd w:val="0"/>
        <w:snapToGrid w:val="0"/>
        <w:spacing w:line="360" w:lineRule="auto"/>
        <w:ind w:right="32" w:firstLine="463"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对于</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文件中含义不明确、同类问题表述不一致或者有明显文字和计算错误的内容，</w:t>
      </w:r>
      <w:r>
        <w:rPr>
          <w:rFonts w:hint="eastAsia" w:ascii="仿宋" w:hAnsi="仿宋" w:eastAsia="仿宋" w:cs="仿宋"/>
          <w:bCs/>
          <w:color w:val="auto"/>
          <w:sz w:val="24"/>
          <w:szCs w:val="24"/>
          <w:highlight w:val="none"/>
          <w:lang w:val="en-US" w:eastAsia="zh-CN"/>
        </w:rPr>
        <w:t>评审小组</w:t>
      </w:r>
      <w:r>
        <w:rPr>
          <w:rFonts w:hint="eastAsia" w:ascii="仿宋" w:hAnsi="仿宋" w:eastAsia="仿宋" w:cs="仿宋"/>
          <w:bCs/>
          <w:color w:val="auto"/>
          <w:sz w:val="24"/>
          <w:szCs w:val="24"/>
          <w:highlight w:val="none"/>
        </w:rPr>
        <w:t>应当在评审过程中发起澄清，要求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针对价格或内容做出必要的澄清、说明或补正。若因</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联系方式错误未接收短信、未接听电话或超时未进行澄清（响应）造成的不利后果由供应商自行承担。</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的澄清、说明或者补正不得超出</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文件的范围或者改变</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文件的实质性内容。</w:t>
      </w:r>
    </w:p>
    <w:p>
      <w:pPr>
        <w:pStyle w:val="8"/>
        <w:adjustRightInd w:val="0"/>
        <w:snapToGrid w:val="0"/>
        <w:spacing w:line="360" w:lineRule="auto"/>
        <w:ind w:right="32" w:firstLine="463"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不接受</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主动提出的澄清、说明或补正。</w:t>
      </w:r>
    </w:p>
    <w:p>
      <w:pPr>
        <w:pStyle w:val="8"/>
        <w:adjustRightInd w:val="0"/>
        <w:snapToGrid w:val="0"/>
        <w:spacing w:line="360" w:lineRule="auto"/>
        <w:ind w:right="32" w:firstLine="463" w:firstLineChars="191"/>
        <w:rPr>
          <w:rFonts w:hint="default" w:ascii="仿宋" w:hAnsi="仿宋" w:eastAsia="仿宋" w:cs="仿宋"/>
          <w:b w:val="0"/>
          <w:bCs/>
          <w:color w:val="auto"/>
          <w:sz w:val="24"/>
          <w:szCs w:val="24"/>
          <w:highlight w:val="none"/>
          <w:lang w:val="en-US"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对</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提交的澄清、说明或补正有疑问的，可以要求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进一步澄清、说明或补正。</w:t>
      </w:r>
    </w:p>
    <w:p>
      <w:pPr>
        <w:pStyle w:val="8"/>
        <w:adjustRightInd w:val="0"/>
        <w:snapToGrid w:val="0"/>
        <w:spacing w:line="360" w:lineRule="auto"/>
        <w:ind w:right="32" w:firstLine="463"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6.</w:t>
      </w:r>
      <w:r>
        <w:rPr>
          <w:rFonts w:hint="eastAsia" w:ascii="仿宋" w:hAnsi="仿宋" w:eastAsia="仿宋" w:cs="仿宋"/>
          <w:b w:val="0"/>
          <w:bCs/>
          <w:color w:val="auto"/>
          <w:sz w:val="24"/>
          <w:szCs w:val="24"/>
          <w:highlight w:val="none"/>
        </w:rPr>
        <w:t>响应文件的比较和评价</w:t>
      </w:r>
    </w:p>
    <w:p>
      <w:pPr>
        <w:autoSpaceDE w:val="0"/>
        <w:autoSpaceDN w:val="0"/>
        <w:adjustRightInd w:val="0"/>
        <w:snapToGrid w:val="0"/>
        <w:spacing w:line="360" w:lineRule="auto"/>
        <w:ind w:right="32" w:firstLine="463"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小组按比选文件中规定的评审方法和标准，对审查合格的响应文件的商务、技术、服务和价格进行评估，最后进行综合比较与评价。</w:t>
      </w:r>
    </w:p>
    <w:p>
      <w:pPr>
        <w:autoSpaceDE w:val="0"/>
        <w:autoSpaceDN w:val="0"/>
        <w:adjustRightInd w:val="0"/>
        <w:snapToGrid w:val="0"/>
        <w:spacing w:line="360" w:lineRule="auto"/>
        <w:ind w:right="32" w:firstLine="463"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评审小组对技术规格偏离表、服务响应偏离表的响应资料等进行评审，并填写相关表格。</w:t>
      </w:r>
    </w:p>
    <w:tbl>
      <w:tblPr>
        <w:tblStyle w:val="12"/>
        <w:tblW w:w="8729" w:type="dxa"/>
        <w:tblInd w:w="0" w:type="dxa"/>
        <w:tblLayout w:type="fixed"/>
        <w:tblCellMar>
          <w:top w:w="0" w:type="dxa"/>
          <w:left w:w="108" w:type="dxa"/>
          <w:bottom w:w="0" w:type="dxa"/>
          <w:right w:w="108" w:type="dxa"/>
        </w:tblCellMar>
      </w:tblPr>
      <w:tblGrid>
        <w:gridCol w:w="750"/>
        <w:gridCol w:w="1224"/>
        <w:gridCol w:w="1284"/>
        <w:gridCol w:w="5471"/>
      </w:tblGrid>
      <w:tr>
        <w:tblPrEx>
          <w:tblCellMar>
            <w:top w:w="0" w:type="dxa"/>
            <w:left w:w="108" w:type="dxa"/>
            <w:bottom w:w="0" w:type="dxa"/>
            <w:right w:w="108" w:type="dxa"/>
          </w:tblCellMar>
        </w:tblPrEx>
        <w:trPr>
          <w:trHeight w:val="434" w:hRule="atLeast"/>
        </w:trPr>
        <w:tc>
          <w:tcPr>
            <w:tcW w:w="872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评审标准（</w:t>
            </w:r>
            <w:r>
              <w:rPr>
                <w:rFonts w:hint="eastAsia" w:ascii="仿宋" w:hAnsi="仿宋" w:eastAsia="仿宋" w:cs="仿宋"/>
                <w:color w:val="auto"/>
                <w:kern w:val="0"/>
                <w:sz w:val="24"/>
                <w:szCs w:val="24"/>
                <w:highlight w:val="none"/>
                <w:lang w:val="en-US" w:eastAsia="zh-CN"/>
              </w:rPr>
              <w:t>100分</w:t>
            </w:r>
            <w:r>
              <w:rPr>
                <w:rFonts w:hint="eastAsia" w:ascii="仿宋" w:hAnsi="仿宋" w:eastAsia="仿宋" w:cs="仿宋"/>
                <w:color w:val="auto"/>
                <w:kern w:val="0"/>
                <w:sz w:val="24"/>
                <w:szCs w:val="24"/>
                <w:highlight w:val="none"/>
                <w:lang w:eastAsia="zh-CN"/>
              </w:rPr>
              <w:t>）</w:t>
            </w:r>
          </w:p>
        </w:tc>
      </w:tr>
      <w:tr>
        <w:tblPrEx>
          <w:tblCellMar>
            <w:top w:w="0" w:type="dxa"/>
            <w:left w:w="108" w:type="dxa"/>
            <w:bottom w:w="0" w:type="dxa"/>
            <w:right w:w="108" w:type="dxa"/>
          </w:tblCellMar>
        </w:tblPrEx>
        <w:trPr>
          <w:trHeight w:val="57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评审内容</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分值</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评分细则</w:t>
            </w:r>
          </w:p>
        </w:tc>
      </w:tr>
      <w:tr>
        <w:tblPrEx>
          <w:tblCellMar>
            <w:top w:w="0" w:type="dxa"/>
            <w:left w:w="108" w:type="dxa"/>
            <w:bottom w:w="0" w:type="dxa"/>
            <w:right w:w="108" w:type="dxa"/>
          </w:tblCellMar>
        </w:tblPrEx>
        <w:trPr>
          <w:trHeight w:val="86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整体服务方案</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12</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根据各响应供应商提供的整体服务方案进行评分：</w:t>
            </w:r>
          </w:p>
          <w:p>
            <w:pPr>
              <w:widowControl/>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eastAsia="zh-CN"/>
              </w:rPr>
              <w:t>整体实施方案全面、完善具体，科学合理，各阶段服务计划非常详尽，可行性强，得 1</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分；</w:t>
            </w:r>
          </w:p>
          <w:p>
            <w:pPr>
              <w:widowControl/>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整体实施方案较为齐全、完整，较合理，各阶段服务计划较详尽，可行性较强，得</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lang w:eastAsia="zh-CN"/>
              </w:rPr>
              <w:t>分；</w:t>
            </w:r>
          </w:p>
          <w:p>
            <w:pPr>
              <w:widowControl/>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eastAsia="zh-CN"/>
              </w:rPr>
              <w:t>整体实施方案相对简单，各阶段服务计划不够详尽，可行性一般，得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分；</w:t>
            </w:r>
          </w:p>
          <w:p>
            <w:pPr>
              <w:widowControl/>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eastAsia="zh-CN"/>
              </w:rPr>
              <w:t>无提供不得分；</w:t>
            </w:r>
          </w:p>
        </w:tc>
      </w:tr>
      <w:tr>
        <w:tblPrEx>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拟投入人员方案</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w:t>
            </w:r>
          </w:p>
        </w:tc>
        <w:tc>
          <w:tcPr>
            <w:tcW w:w="5471"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对各响应供应商提供的拟投入人员方案（包括但不限于人员配备计划、人员项目经验及履约能力）进行评分：</w:t>
            </w:r>
          </w:p>
          <w:p>
            <w:pPr>
              <w:widowControl/>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1.人员配备计划完善、科学合理，资质优秀，经验丰富，履约能力强，有利于项目的实施，得 12分；</w:t>
            </w:r>
            <w:r>
              <w:rPr>
                <w:rFonts w:hint="eastAsia" w:ascii="仿宋" w:hAnsi="仿宋" w:eastAsia="仿宋" w:cs="仿宋"/>
                <w:color w:val="auto"/>
                <w:kern w:val="0"/>
                <w:sz w:val="24"/>
                <w:szCs w:val="24"/>
                <w:highlight w:val="none"/>
                <w:lang w:val="en-US" w:eastAsia="zh-CN"/>
              </w:rPr>
              <w:br w:type="textWrapping"/>
            </w:r>
            <w:r>
              <w:rPr>
                <w:rFonts w:hint="eastAsia" w:ascii="仿宋" w:hAnsi="仿宋" w:eastAsia="仿宋" w:cs="仿宋"/>
                <w:color w:val="auto"/>
                <w:kern w:val="0"/>
                <w:sz w:val="24"/>
                <w:szCs w:val="24"/>
                <w:highlight w:val="none"/>
                <w:lang w:val="en-US" w:eastAsia="zh-CN"/>
              </w:rPr>
              <w:t>2.人员配备计划较完整，资质良好，有一定经验，履约能力较好，较有利于项目的实施，得7分；</w:t>
            </w:r>
            <w:r>
              <w:rPr>
                <w:rFonts w:hint="eastAsia" w:ascii="仿宋" w:hAnsi="仿宋" w:eastAsia="仿宋" w:cs="仿宋"/>
                <w:color w:val="auto"/>
                <w:kern w:val="0"/>
                <w:sz w:val="24"/>
                <w:szCs w:val="24"/>
                <w:highlight w:val="none"/>
                <w:lang w:val="en-US" w:eastAsia="zh-CN"/>
              </w:rPr>
              <w:br w:type="textWrapping"/>
            </w:r>
            <w:r>
              <w:rPr>
                <w:rFonts w:hint="eastAsia" w:ascii="仿宋" w:hAnsi="仿宋" w:eastAsia="仿宋" w:cs="仿宋"/>
                <w:color w:val="auto"/>
                <w:kern w:val="0"/>
                <w:sz w:val="24"/>
                <w:szCs w:val="24"/>
                <w:highlight w:val="none"/>
                <w:lang w:val="en-US" w:eastAsia="zh-CN"/>
              </w:rPr>
              <w:t>3.人员配备计划简略，资质一般，经验一般，履约一般，基本满足项目的实施，得2分；</w:t>
            </w:r>
            <w:r>
              <w:rPr>
                <w:rFonts w:hint="eastAsia" w:ascii="仿宋" w:hAnsi="仿宋" w:eastAsia="仿宋" w:cs="仿宋"/>
                <w:color w:val="auto"/>
                <w:kern w:val="0"/>
                <w:sz w:val="24"/>
                <w:szCs w:val="24"/>
                <w:highlight w:val="none"/>
                <w:lang w:val="en-US" w:eastAsia="zh-CN"/>
              </w:rPr>
              <w:br w:type="textWrapping"/>
            </w:r>
            <w:r>
              <w:rPr>
                <w:rFonts w:hint="eastAsia" w:ascii="仿宋" w:hAnsi="仿宋" w:eastAsia="仿宋" w:cs="仿宋"/>
                <w:color w:val="auto"/>
                <w:kern w:val="0"/>
                <w:sz w:val="24"/>
                <w:szCs w:val="24"/>
                <w:highlight w:val="none"/>
                <w:lang w:val="en-US" w:eastAsia="zh-CN"/>
              </w:rPr>
              <w:t>4.无提供不得分。</w:t>
            </w:r>
          </w:p>
        </w:tc>
      </w:tr>
      <w:tr>
        <w:tblPrEx>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售后服务方案</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9</w:t>
            </w:r>
          </w:p>
        </w:tc>
        <w:tc>
          <w:tcPr>
            <w:tcW w:w="5471"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对各</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kern w:val="0"/>
                <w:sz w:val="24"/>
                <w:szCs w:val="24"/>
                <w:highlight w:val="none"/>
              </w:rPr>
              <w:t>提供的售后服务内容（</w:t>
            </w:r>
            <w:r>
              <w:rPr>
                <w:rFonts w:hint="eastAsia" w:ascii="仿宋" w:hAnsi="仿宋" w:eastAsia="仿宋" w:cs="仿宋"/>
                <w:color w:val="auto"/>
                <w:kern w:val="0"/>
                <w:sz w:val="24"/>
                <w:szCs w:val="24"/>
                <w:highlight w:val="none"/>
                <w:lang w:eastAsia="zh-CN"/>
              </w:rPr>
              <w:t>包含但不限于线上系统课程更新、咨询辅导资料提供及后续咨询指导</w:t>
            </w:r>
            <w:r>
              <w:rPr>
                <w:rFonts w:hint="eastAsia" w:ascii="仿宋" w:hAnsi="仿宋" w:eastAsia="仿宋" w:cs="仿宋"/>
                <w:color w:val="auto"/>
                <w:kern w:val="0"/>
                <w:sz w:val="24"/>
                <w:szCs w:val="24"/>
                <w:highlight w:val="none"/>
              </w:rPr>
              <w:t>）进行评分：</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售后服务方案详细、具体，完全满足</w:t>
            </w:r>
            <w:r>
              <w:rPr>
                <w:rFonts w:hint="eastAsia" w:ascii="仿宋" w:hAnsi="仿宋" w:eastAsia="仿宋" w:cs="仿宋"/>
                <w:color w:val="auto"/>
                <w:kern w:val="0"/>
                <w:sz w:val="24"/>
                <w:szCs w:val="24"/>
                <w:highlight w:val="none"/>
                <w:lang w:eastAsia="zh-CN"/>
              </w:rPr>
              <w:t>且</w:t>
            </w:r>
            <w:r>
              <w:rPr>
                <w:rFonts w:hint="eastAsia" w:ascii="仿宋" w:hAnsi="仿宋" w:eastAsia="仿宋" w:cs="仿宋"/>
                <w:color w:val="auto"/>
                <w:kern w:val="0"/>
                <w:sz w:val="24"/>
                <w:szCs w:val="24"/>
                <w:highlight w:val="none"/>
              </w:rPr>
              <w:t>优于</w:t>
            </w:r>
            <w:r>
              <w:rPr>
                <w:rFonts w:hint="eastAsia" w:ascii="仿宋" w:hAnsi="仿宋" w:eastAsia="仿宋" w:cs="仿宋"/>
                <w:color w:val="auto"/>
                <w:kern w:val="0"/>
                <w:sz w:val="24"/>
                <w:szCs w:val="24"/>
                <w:highlight w:val="none"/>
                <w:lang w:eastAsia="zh-CN"/>
              </w:rPr>
              <w:t>比选文件</w:t>
            </w:r>
            <w:r>
              <w:rPr>
                <w:rFonts w:hint="eastAsia" w:ascii="仿宋" w:hAnsi="仿宋" w:eastAsia="仿宋" w:cs="仿宋"/>
                <w:color w:val="auto"/>
                <w:kern w:val="0"/>
                <w:sz w:val="24"/>
                <w:szCs w:val="24"/>
                <w:highlight w:val="none"/>
              </w:rPr>
              <w:t>要求</w:t>
            </w:r>
            <w:r>
              <w:rPr>
                <w:rFonts w:hint="eastAsia" w:ascii="仿宋" w:hAnsi="仿宋" w:eastAsia="仿宋" w:cs="仿宋"/>
                <w:color w:val="auto"/>
                <w:kern w:val="0"/>
                <w:sz w:val="24"/>
                <w:szCs w:val="24"/>
                <w:highlight w:val="none"/>
                <w:lang w:eastAsia="zh-CN"/>
              </w:rPr>
              <w:t>，执行性高</w:t>
            </w:r>
            <w:r>
              <w:rPr>
                <w:rFonts w:hint="eastAsia" w:ascii="仿宋" w:hAnsi="仿宋" w:eastAsia="仿宋" w:cs="仿宋"/>
                <w:color w:val="auto"/>
                <w:kern w:val="0"/>
                <w:sz w:val="24"/>
                <w:szCs w:val="24"/>
                <w:highlight w:val="none"/>
              </w:rPr>
              <w:t>，得</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 xml:space="preserve">分； </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售后服务方案</w:t>
            </w:r>
            <w:r>
              <w:rPr>
                <w:rFonts w:hint="eastAsia" w:ascii="仿宋" w:hAnsi="仿宋" w:eastAsia="仿宋" w:cs="仿宋"/>
                <w:color w:val="auto"/>
                <w:kern w:val="0"/>
                <w:sz w:val="24"/>
                <w:szCs w:val="24"/>
                <w:highlight w:val="none"/>
                <w:lang w:eastAsia="zh-CN"/>
              </w:rPr>
              <w:t>较</w:t>
            </w:r>
            <w:r>
              <w:rPr>
                <w:rFonts w:hint="eastAsia" w:ascii="仿宋" w:hAnsi="仿宋" w:eastAsia="仿宋" w:cs="仿宋"/>
                <w:color w:val="auto"/>
                <w:kern w:val="0"/>
                <w:sz w:val="24"/>
                <w:szCs w:val="24"/>
                <w:highlight w:val="none"/>
              </w:rPr>
              <w:t>详细、具体，满足</w:t>
            </w:r>
            <w:r>
              <w:rPr>
                <w:rFonts w:hint="eastAsia" w:ascii="仿宋" w:hAnsi="仿宋" w:eastAsia="仿宋" w:cs="仿宋"/>
                <w:color w:val="auto"/>
                <w:kern w:val="0"/>
                <w:sz w:val="24"/>
                <w:szCs w:val="24"/>
                <w:highlight w:val="none"/>
                <w:lang w:eastAsia="zh-CN"/>
              </w:rPr>
              <w:t>比选文件</w:t>
            </w:r>
            <w:r>
              <w:rPr>
                <w:rFonts w:hint="eastAsia" w:ascii="仿宋" w:hAnsi="仿宋" w:eastAsia="仿宋" w:cs="仿宋"/>
                <w:color w:val="auto"/>
                <w:kern w:val="0"/>
                <w:sz w:val="24"/>
                <w:szCs w:val="24"/>
                <w:highlight w:val="none"/>
              </w:rPr>
              <w:t>要求</w:t>
            </w:r>
            <w:r>
              <w:rPr>
                <w:rFonts w:hint="eastAsia" w:ascii="仿宋" w:hAnsi="仿宋" w:eastAsia="仿宋" w:cs="仿宋"/>
                <w:color w:val="auto"/>
                <w:kern w:val="0"/>
                <w:sz w:val="24"/>
                <w:szCs w:val="24"/>
                <w:highlight w:val="none"/>
                <w:lang w:eastAsia="zh-CN"/>
              </w:rPr>
              <w:t>，有一定执行性</w:t>
            </w:r>
            <w:r>
              <w:rPr>
                <w:rFonts w:hint="eastAsia" w:ascii="仿宋" w:hAnsi="仿宋" w:eastAsia="仿宋" w:cs="仿宋"/>
                <w:color w:val="auto"/>
                <w:kern w:val="0"/>
                <w:sz w:val="24"/>
                <w:szCs w:val="24"/>
                <w:highlight w:val="none"/>
              </w:rPr>
              <w:t>，得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售后服务方案不详细、具体</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基本满足</w:t>
            </w:r>
            <w:r>
              <w:rPr>
                <w:rFonts w:hint="eastAsia" w:ascii="仿宋" w:hAnsi="仿宋" w:eastAsia="仿宋" w:cs="仿宋"/>
                <w:color w:val="auto"/>
                <w:kern w:val="0"/>
                <w:sz w:val="24"/>
                <w:szCs w:val="24"/>
                <w:highlight w:val="none"/>
                <w:lang w:eastAsia="zh-CN"/>
              </w:rPr>
              <w:t>比选文件</w:t>
            </w:r>
            <w:r>
              <w:rPr>
                <w:rFonts w:hint="eastAsia" w:ascii="仿宋" w:hAnsi="仿宋" w:eastAsia="仿宋" w:cs="仿宋"/>
                <w:color w:val="auto"/>
                <w:kern w:val="0"/>
                <w:sz w:val="24"/>
                <w:szCs w:val="24"/>
                <w:highlight w:val="none"/>
              </w:rPr>
              <w:t>要求</w:t>
            </w:r>
            <w:r>
              <w:rPr>
                <w:rFonts w:hint="eastAsia" w:ascii="仿宋" w:hAnsi="仿宋" w:eastAsia="仿宋" w:cs="仿宋"/>
                <w:color w:val="auto"/>
                <w:kern w:val="0"/>
                <w:sz w:val="24"/>
                <w:szCs w:val="24"/>
                <w:highlight w:val="none"/>
                <w:lang w:eastAsia="zh-CN"/>
              </w:rPr>
              <w:t>，执行性不高</w:t>
            </w:r>
            <w:r>
              <w:rPr>
                <w:rFonts w:hint="eastAsia" w:ascii="仿宋" w:hAnsi="仿宋" w:eastAsia="仿宋" w:cs="仿宋"/>
                <w:color w:val="auto"/>
                <w:kern w:val="0"/>
                <w:sz w:val="24"/>
                <w:szCs w:val="24"/>
                <w:highlight w:val="none"/>
              </w:rPr>
              <w:t>，得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p>
          <w:p>
            <w:pPr>
              <w:widowControl/>
              <w:jc w:val="left"/>
              <w:rPr>
                <w:rFonts w:hint="eastAsia" w:ascii="仿宋" w:hAnsi="仿宋" w:eastAsia="仿宋" w:cs="仿宋"/>
                <w:color w:val="auto"/>
                <w:kern w:val="0"/>
                <w:sz w:val="24"/>
                <w:szCs w:val="24"/>
                <w:highlight w:val="none"/>
                <w:lang w:val="en-GB" w:eastAsia="zh-CN" w:bidi="ar-SA"/>
              </w:rPr>
            </w:pPr>
            <w:r>
              <w:rPr>
                <w:rFonts w:hint="eastAsia" w:ascii="仿宋" w:hAnsi="仿宋" w:eastAsia="仿宋" w:cs="仿宋"/>
                <w:color w:val="auto"/>
                <w:kern w:val="0"/>
                <w:sz w:val="24"/>
                <w:szCs w:val="24"/>
                <w:highlight w:val="none"/>
              </w:rPr>
              <w:t>4.无提供不得分。</w:t>
            </w:r>
          </w:p>
        </w:tc>
      </w:tr>
      <w:tr>
        <w:tblPrEx>
          <w:tblCellMar>
            <w:top w:w="0" w:type="dxa"/>
            <w:left w:w="108" w:type="dxa"/>
            <w:bottom w:w="0" w:type="dxa"/>
            <w:right w:w="108" w:type="dxa"/>
          </w:tblCellMar>
        </w:tblPrEx>
        <w:trPr>
          <w:trHeight w:val="98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Hans" w:bidi="ar-SA"/>
              </w:rPr>
            </w:pPr>
            <w:r>
              <w:rPr>
                <w:rFonts w:hint="eastAsia" w:ascii="仿宋" w:hAnsi="仿宋" w:eastAsia="仿宋" w:cs="仿宋"/>
                <w:color w:val="auto"/>
                <w:kern w:val="0"/>
                <w:sz w:val="24"/>
                <w:szCs w:val="24"/>
                <w:highlight w:val="none"/>
                <w:lang w:val="en-US" w:eastAsia="zh-CN" w:bidi="ar-SA"/>
              </w:rPr>
              <w:t>服务考核方案</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w:t>
            </w:r>
          </w:p>
        </w:tc>
        <w:tc>
          <w:tcPr>
            <w:tcW w:w="5471"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hint="eastAsia" w:ascii="仿宋" w:hAnsi="仿宋" w:eastAsia="仿宋" w:cs="仿宋"/>
                <w:color w:val="auto"/>
                <w:kern w:val="0"/>
                <w:sz w:val="24"/>
                <w:szCs w:val="24"/>
                <w:highlight w:val="none"/>
                <w:lang w:val="en-GB" w:eastAsia="zh-CN"/>
              </w:rPr>
            </w:pPr>
            <w:r>
              <w:rPr>
                <w:rFonts w:hint="eastAsia" w:ascii="仿宋" w:hAnsi="仿宋" w:eastAsia="仿宋" w:cs="仿宋"/>
                <w:color w:val="auto"/>
                <w:kern w:val="0"/>
                <w:sz w:val="24"/>
                <w:szCs w:val="24"/>
                <w:highlight w:val="none"/>
                <w:lang w:val="en-GB" w:eastAsia="zh-CN"/>
              </w:rPr>
              <w:t>对各供应商提供的服务考核方案（包含但不限于服务质量目标、质量管理制度、服务考核措施）进行评分：</w:t>
            </w:r>
          </w:p>
          <w:p>
            <w:pPr>
              <w:widowControl/>
              <w:jc w:val="left"/>
              <w:rPr>
                <w:rFonts w:hint="eastAsia" w:ascii="仿宋" w:hAnsi="仿宋" w:eastAsia="仿宋" w:cs="仿宋"/>
                <w:color w:val="auto"/>
                <w:kern w:val="0"/>
                <w:sz w:val="24"/>
                <w:szCs w:val="24"/>
                <w:highlight w:val="none"/>
                <w:lang w:val="en-GB" w:eastAsia="zh-CN"/>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GB" w:eastAsia="zh-CN"/>
              </w:rPr>
              <w:t>.质量目标、质量管理制度内容详细完整，服务考核措施及相关承诺和合理化建议科学合理，可行性高，得1</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val="en-GB" w:eastAsia="zh-CN"/>
              </w:rPr>
              <w:t xml:space="preserve">分； </w:t>
            </w:r>
          </w:p>
          <w:p>
            <w:pPr>
              <w:widowControl/>
              <w:jc w:val="left"/>
              <w:rPr>
                <w:rFonts w:hint="eastAsia" w:ascii="仿宋" w:hAnsi="仿宋" w:eastAsia="仿宋" w:cs="仿宋"/>
                <w:color w:val="auto"/>
                <w:kern w:val="0"/>
                <w:sz w:val="24"/>
                <w:szCs w:val="24"/>
                <w:highlight w:val="none"/>
                <w:lang w:val="en-GB" w:eastAsia="zh-CN"/>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val="en-GB" w:eastAsia="zh-CN"/>
              </w:rPr>
              <w:t xml:space="preserve">.质量目标、质量管理制度内容较详细完整，服务考核措施及相关承诺和合理化建议较科学合理，可行性较高，得7分； </w:t>
            </w:r>
          </w:p>
          <w:p>
            <w:pPr>
              <w:widowControl/>
              <w:jc w:val="left"/>
              <w:rPr>
                <w:rFonts w:hint="eastAsia" w:ascii="仿宋" w:hAnsi="仿宋" w:eastAsia="仿宋" w:cs="仿宋"/>
                <w:color w:val="auto"/>
                <w:kern w:val="0"/>
                <w:sz w:val="24"/>
                <w:szCs w:val="24"/>
                <w:highlight w:val="none"/>
                <w:lang w:val="en-GB" w:eastAsia="zh-CN"/>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GB" w:eastAsia="zh-CN"/>
              </w:rPr>
              <w:t>.质量目标、质量管理制度内容基本完整，服务考核措施及相关承诺和合理化建议基本科学合理，可行性一般，得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val="en-GB" w:eastAsia="zh-CN"/>
              </w:rPr>
              <w:t>分；</w:t>
            </w:r>
          </w:p>
          <w:p>
            <w:pPr>
              <w:widowControl/>
              <w:jc w:val="left"/>
              <w:rPr>
                <w:rFonts w:hint="eastAsia" w:ascii="仿宋" w:hAnsi="仿宋" w:eastAsia="仿宋" w:cs="仿宋"/>
                <w:color w:val="auto"/>
                <w:kern w:val="0"/>
                <w:sz w:val="24"/>
                <w:szCs w:val="24"/>
                <w:highlight w:val="none"/>
                <w:lang w:val="en-GB" w:eastAsia="zh-CN" w:bidi="ar-SA"/>
              </w:rPr>
            </w:pPr>
            <w:r>
              <w:rPr>
                <w:rFonts w:hint="eastAsia" w:ascii="仿宋" w:hAnsi="仿宋" w:eastAsia="仿宋" w:cs="仿宋"/>
                <w:color w:val="auto"/>
                <w:kern w:val="0"/>
                <w:sz w:val="24"/>
                <w:szCs w:val="24"/>
                <w:highlight w:val="none"/>
                <w:lang w:val="en-US" w:eastAsia="zh-CN"/>
              </w:rPr>
              <w:t>4.无提供不得分</w:t>
            </w:r>
          </w:p>
        </w:tc>
      </w:tr>
      <w:tr>
        <w:tblPrEx>
          <w:tblCellMar>
            <w:top w:w="0" w:type="dxa"/>
            <w:left w:w="108" w:type="dxa"/>
            <w:bottom w:w="0" w:type="dxa"/>
            <w:right w:w="108" w:type="dxa"/>
          </w:tblCellMar>
        </w:tblPrEx>
        <w:trPr>
          <w:trHeight w:val="37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同类业绩</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13</w:t>
            </w:r>
          </w:p>
        </w:tc>
        <w:tc>
          <w:tcPr>
            <w:tcW w:w="5471"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eastAsia="zh-CN"/>
              </w:rPr>
              <w:t>自2021年1月1日至今，各响应供应商每提供一份同类业绩（同类是指培训班课程服务），得</w:t>
            </w:r>
            <w:r>
              <w:rPr>
                <w:rFonts w:hint="eastAsia" w:ascii="仿宋" w:hAnsi="仿宋" w:eastAsia="仿宋" w:cs="仿宋"/>
                <w:color w:val="auto"/>
                <w:kern w:val="0"/>
                <w:sz w:val="24"/>
                <w:szCs w:val="24"/>
                <w:highlight w:val="none"/>
                <w:lang w:val="en-US" w:eastAsia="zh-CN"/>
              </w:rPr>
              <w:t xml:space="preserve"> 3</w:t>
            </w:r>
            <w:r>
              <w:rPr>
                <w:rFonts w:hint="eastAsia" w:ascii="仿宋" w:hAnsi="仿宋" w:eastAsia="仿宋" w:cs="仿宋"/>
                <w:color w:val="auto"/>
                <w:kern w:val="0"/>
                <w:sz w:val="24"/>
                <w:szCs w:val="24"/>
                <w:highlight w:val="none"/>
                <w:lang w:eastAsia="zh-CN"/>
              </w:rPr>
              <w:t>分，最多得</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lang w:eastAsia="zh-CN"/>
              </w:rPr>
              <w:t xml:space="preserve">分。 </w:t>
            </w:r>
          </w:p>
          <w:p>
            <w:pPr>
              <w:widowControl/>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自2021年1月1日至今，各响应供应商每提供一份网络自学视频服务经验业绩，得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分，最多得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eastAsia="zh-CN"/>
              </w:rPr>
              <w:t>分。</w:t>
            </w:r>
          </w:p>
          <w:p>
            <w:pPr>
              <w:widowControl/>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注：同类业绩证明文件是中标/成交通知书或合同关键页的复印件或扫描件（合同关键页是指包括：①签订合同双方的单位名称；②合同项目名称；③签订合同双方的签章、盖章及签订日期）</w:t>
            </w:r>
            <w:r>
              <w:rPr>
                <w:rFonts w:hint="eastAsia" w:ascii="仿宋" w:hAnsi="仿宋" w:eastAsia="仿宋" w:cs="仿宋"/>
                <w:color w:val="auto"/>
                <w:kern w:val="0"/>
                <w:sz w:val="24"/>
                <w:szCs w:val="24"/>
                <w:highlight w:val="none"/>
                <w:lang w:val="en-US" w:eastAsia="zh-CN"/>
              </w:rPr>
              <w:t>。</w:t>
            </w:r>
          </w:p>
          <w:p>
            <w:pPr>
              <w:widowControl/>
              <w:jc w:val="left"/>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无提供不得分。</w:t>
            </w:r>
          </w:p>
        </w:tc>
      </w:tr>
      <w:tr>
        <w:tblPrEx>
          <w:tblCellMar>
            <w:top w:w="0" w:type="dxa"/>
            <w:left w:w="108" w:type="dxa"/>
            <w:bottom w:w="0" w:type="dxa"/>
            <w:right w:w="108" w:type="dxa"/>
          </w:tblCellMar>
        </w:tblPrEx>
        <w:trPr>
          <w:trHeight w:val="692"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GB" w:eastAsia="zh-CN" w:bidi="ar-SA"/>
              </w:rPr>
            </w:pPr>
            <w:r>
              <w:rPr>
                <w:rFonts w:hint="eastAsia" w:ascii="仿宋" w:hAnsi="仿宋" w:eastAsia="仿宋" w:cs="仿宋"/>
                <w:color w:val="auto"/>
                <w:kern w:val="0"/>
                <w:sz w:val="24"/>
                <w:szCs w:val="24"/>
                <w:highlight w:val="none"/>
              </w:rPr>
              <w:t>用户评价</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6</w:t>
            </w:r>
          </w:p>
        </w:tc>
        <w:tc>
          <w:tcPr>
            <w:tcW w:w="5471"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各响应供应商提供自2021年1月1日至今，同类项目经验的用户单位出具的满意度评价，评价情况至少须为“满意”、“优秀”、“90分”或类似好评的方可计分。</w:t>
            </w:r>
          </w:p>
          <w:p>
            <w:pPr>
              <w:widowControl/>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每提供一项得2分，本项最高6分。</w:t>
            </w:r>
          </w:p>
          <w:p>
            <w:pPr>
              <w:widowControl/>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1.同一</w:t>
            </w:r>
            <w:r>
              <w:rPr>
                <w:rFonts w:hint="eastAsia" w:ascii="仿宋" w:hAnsi="仿宋" w:eastAsia="仿宋" w:cs="仿宋"/>
                <w:color w:val="auto"/>
                <w:kern w:val="0"/>
                <w:sz w:val="24"/>
                <w:szCs w:val="24"/>
                <w:highlight w:val="none"/>
              </w:rPr>
              <w:t>用户</w:t>
            </w:r>
            <w:r>
              <w:rPr>
                <w:rFonts w:hint="eastAsia" w:ascii="仿宋" w:hAnsi="仿宋" w:eastAsia="仿宋" w:cs="仿宋"/>
                <w:color w:val="auto"/>
                <w:kern w:val="0"/>
                <w:sz w:val="24"/>
                <w:szCs w:val="24"/>
                <w:highlight w:val="none"/>
                <w:lang w:val="en-US" w:eastAsia="zh-CN"/>
              </w:rPr>
              <w:t>或同一项目提供多项用户满意度评价的，按一项计算；</w:t>
            </w:r>
          </w:p>
          <w:p>
            <w:pPr>
              <w:widowControl/>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2.应与响应供应商上述“同类业绩”提供的2021年1月1日至今的</w:t>
            </w:r>
            <w:r>
              <w:rPr>
                <w:rFonts w:hint="eastAsia" w:ascii="仿宋" w:hAnsi="仿宋" w:eastAsia="仿宋" w:cs="仿宋"/>
                <w:strike w:val="0"/>
                <w:dstrike w:val="0"/>
                <w:color w:val="auto"/>
                <w:kern w:val="0"/>
                <w:sz w:val="24"/>
                <w:szCs w:val="24"/>
                <w:highlight w:val="none"/>
                <w:lang w:val="en-US" w:eastAsia="zh-CN"/>
              </w:rPr>
              <w:t>同类项目经验的业绩</w:t>
            </w:r>
            <w:r>
              <w:rPr>
                <w:rFonts w:hint="eastAsia" w:ascii="仿宋" w:hAnsi="仿宋" w:eastAsia="仿宋" w:cs="仿宋"/>
                <w:color w:val="auto"/>
                <w:kern w:val="0"/>
                <w:sz w:val="24"/>
                <w:szCs w:val="24"/>
                <w:highlight w:val="none"/>
                <w:lang w:val="en-US" w:eastAsia="zh-CN"/>
              </w:rPr>
              <w:t>对应一致；</w:t>
            </w:r>
          </w:p>
          <w:p>
            <w:pPr>
              <w:widowControl/>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3.用户满意度评价须经用户单位盖章，评价情况至少须为满意或类似好评的方可计分。</w:t>
            </w:r>
          </w:p>
          <w:p>
            <w:pPr>
              <w:widowControl/>
              <w:jc w:val="left"/>
              <w:rPr>
                <w:rFonts w:hint="eastAsia" w:ascii="仿宋" w:hAnsi="仿宋" w:eastAsia="仿宋" w:cs="仿宋"/>
                <w:color w:val="auto"/>
                <w:kern w:val="0"/>
                <w:sz w:val="24"/>
                <w:szCs w:val="24"/>
                <w:highlight w:val="none"/>
                <w:lang w:val="en-GB" w:eastAsia="zh-Hans" w:bidi="ar-SA"/>
              </w:rPr>
            </w:pPr>
            <w:r>
              <w:rPr>
                <w:rFonts w:hint="eastAsia" w:ascii="仿宋" w:hAnsi="仿宋" w:eastAsia="仿宋" w:cs="仿宋"/>
                <w:color w:val="auto"/>
                <w:kern w:val="0"/>
                <w:sz w:val="24"/>
                <w:szCs w:val="24"/>
                <w:highlight w:val="none"/>
                <w:lang w:val="en-US" w:eastAsia="zh-CN"/>
              </w:rPr>
              <w:t>4.无提供不得分</w:t>
            </w:r>
          </w:p>
        </w:tc>
      </w:tr>
      <w:tr>
        <w:tblPrEx>
          <w:tblCellMar>
            <w:top w:w="0" w:type="dxa"/>
            <w:left w:w="108" w:type="dxa"/>
            <w:bottom w:w="0" w:type="dxa"/>
            <w:right w:w="108" w:type="dxa"/>
          </w:tblCellMar>
        </w:tblPrEx>
        <w:trPr>
          <w:trHeight w:val="2048"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通过相关认证情况</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6</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各供应商应具备：</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1.质量管理体系认证证书；</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2.环境管理体系标准认证证书；</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3.职业健康安全管理体系认证证书；</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以上</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每提供一项得2分，最高得6分。</w:t>
            </w:r>
          </w:p>
          <w:p>
            <w:pPr>
              <w:widowControl/>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（提供有效的认证证书复印件或提供全国认证认可信息公共服务平台（认e云）网站（http://cx.cnca.cn/）的相关证书认证信息截图并加盖公司公章。</w:t>
            </w:r>
          </w:p>
          <w:p>
            <w:pPr>
              <w:widowControl/>
              <w:jc w:val="left"/>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无提供不得分。）</w:t>
            </w:r>
          </w:p>
        </w:tc>
      </w:tr>
      <w:tr>
        <w:tblPrEx>
          <w:tblCellMar>
            <w:top w:w="0" w:type="dxa"/>
            <w:left w:w="108" w:type="dxa"/>
            <w:bottom w:w="0" w:type="dxa"/>
            <w:right w:w="108" w:type="dxa"/>
          </w:tblCellMar>
        </w:tblPrEx>
        <w:trPr>
          <w:trHeight w:val="67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拟投入本项目</w:t>
            </w:r>
            <w:r>
              <w:rPr>
                <w:rFonts w:hint="eastAsia" w:ascii="仿宋" w:hAnsi="仿宋" w:eastAsia="仿宋" w:cs="仿宋"/>
                <w:color w:val="auto"/>
                <w:kern w:val="0"/>
                <w:sz w:val="24"/>
                <w:szCs w:val="24"/>
                <w:highlight w:val="none"/>
                <w:lang w:eastAsia="zh-CN"/>
              </w:rPr>
              <w:t>的项目负责人</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10</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4"/>
                <w:szCs w:val="24"/>
                <w:highlight w:val="none"/>
                <w:lang w:val="en-GB"/>
              </w:rPr>
            </w:pP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kern w:val="0"/>
                <w:sz w:val="24"/>
                <w:szCs w:val="24"/>
                <w:highlight w:val="none"/>
                <w:lang w:val="en-GB"/>
              </w:rPr>
              <w:t>需提供1名项目负责人，</w:t>
            </w:r>
            <w:r>
              <w:rPr>
                <w:rFonts w:hint="eastAsia" w:ascii="仿宋" w:hAnsi="仿宋" w:eastAsia="仿宋" w:cs="仿宋"/>
                <w:color w:val="auto"/>
                <w:kern w:val="0"/>
                <w:sz w:val="24"/>
                <w:szCs w:val="24"/>
                <w:highlight w:val="none"/>
                <w:lang w:val="en-GB" w:eastAsia="zh-CN"/>
              </w:rPr>
              <w:t>且应为供应商</w:t>
            </w:r>
            <w:r>
              <w:rPr>
                <w:rFonts w:hint="eastAsia" w:ascii="仿宋" w:hAnsi="仿宋" w:eastAsia="仿宋" w:cs="仿宋"/>
                <w:color w:val="auto"/>
                <w:kern w:val="0"/>
                <w:sz w:val="24"/>
                <w:szCs w:val="24"/>
                <w:highlight w:val="none"/>
                <w:lang w:val="en-US" w:eastAsia="zh-CN"/>
              </w:rPr>
              <w:t>法定代表人或正式聘任员工。</w:t>
            </w:r>
          </w:p>
          <w:p>
            <w:pPr>
              <w:widowControl/>
              <w:jc w:val="left"/>
              <w:rPr>
                <w:rFonts w:hint="eastAsia" w:ascii="仿宋" w:hAnsi="仿宋" w:eastAsia="仿宋" w:cs="仿宋"/>
                <w:color w:val="auto"/>
                <w:kern w:val="0"/>
                <w:sz w:val="24"/>
                <w:szCs w:val="24"/>
                <w:highlight w:val="none"/>
                <w:lang w:val="en-GB" w:eastAsia="zh-CN"/>
              </w:rPr>
            </w:pPr>
            <w:r>
              <w:rPr>
                <w:rFonts w:hint="eastAsia" w:ascii="仿宋" w:hAnsi="仿宋" w:eastAsia="仿宋" w:cs="仿宋"/>
                <w:color w:val="auto"/>
                <w:kern w:val="0"/>
                <w:sz w:val="24"/>
                <w:szCs w:val="24"/>
                <w:highlight w:val="none"/>
                <w:lang w:val="en-GB" w:eastAsia="zh-CN"/>
              </w:rPr>
              <w:t>该项目负责人应具备：</w:t>
            </w:r>
          </w:p>
          <w:p>
            <w:pPr>
              <w:pStyle w:val="15"/>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1.与临床医学相关专业的本科及以上学历，得2分；</w:t>
            </w:r>
          </w:p>
          <w:p>
            <w:pPr>
              <w:widowControl/>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2.发表过与医学相关领域的教学研究成果（教学论文或教材）经验的，每提供1份，得2分，最高得8分。</w:t>
            </w:r>
          </w:p>
          <w:p>
            <w:pPr>
              <w:widowControl/>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以上2项累计得分，最高得10分。</w:t>
            </w:r>
          </w:p>
          <w:p>
            <w:pPr>
              <w:widowControl/>
              <w:numPr>
                <w:ilvl w:val="0"/>
                <w:numId w:val="0"/>
              </w:numPr>
              <w:jc w:val="left"/>
              <w:rPr>
                <w:rFonts w:hint="eastAsia" w:ascii="仿宋" w:hAnsi="仿宋" w:eastAsia="仿宋" w:cs="仿宋"/>
                <w:color w:val="auto"/>
                <w:kern w:val="0"/>
                <w:sz w:val="24"/>
                <w:szCs w:val="24"/>
                <w:highlight w:val="none"/>
                <w:lang w:val="en-GB"/>
              </w:rPr>
            </w:pPr>
            <w:r>
              <w:rPr>
                <w:rFonts w:hint="eastAsia" w:ascii="仿宋" w:hAnsi="仿宋" w:eastAsia="仿宋" w:cs="仿宋"/>
                <w:color w:val="auto"/>
                <w:kern w:val="0"/>
                <w:sz w:val="24"/>
                <w:szCs w:val="24"/>
                <w:highlight w:val="none"/>
                <w:lang w:val="en-GB" w:eastAsia="zh-CN"/>
              </w:rPr>
              <w:t>（①</w:t>
            </w:r>
            <w:r>
              <w:rPr>
                <w:rFonts w:hint="eastAsia" w:ascii="仿宋" w:hAnsi="仿宋" w:eastAsia="仿宋" w:cs="仿宋"/>
                <w:color w:val="auto"/>
                <w:kern w:val="0"/>
                <w:sz w:val="24"/>
                <w:szCs w:val="24"/>
                <w:highlight w:val="none"/>
                <w:lang w:val="en-GB"/>
              </w:rPr>
              <w:t>提供项目负责人聘用合同关键页或</w:t>
            </w:r>
            <w:r>
              <w:rPr>
                <w:rFonts w:hint="eastAsia" w:ascii="仿宋" w:hAnsi="仿宋" w:eastAsia="仿宋" w:cs="仿宋"/>
                <w:color w:val="auto"/>
                <w:kern w:val="0"/>
                <w:sz w:val="24"/>
                <w:szCs w:val="24"/>
                <w:highlight w:val="none"/>
                <w:lang w:val="en-GB" w:eastAsia="zh-CN"/>
              </w:rPr>
              <w:t>响应供应商</w:t>
            </w:r>
            <w:r>
              <w:rPr>
                <w:rFonts w:hint="eastAsia" w:ascii="仿宋" w:hAnsi="仿宋" w:eastAsia="仿宋" w:cs="仿宋"/>
                <w:color w:val="auto"/>
                <w:kern w:val="0"/>
                <w:sz w:val="24"/>
                <w:szCs w:val="24"/>
                <w:highlight w:val="none"/>
                <w:lang w:val="en-GB"/>
              </w:rPr>
              <w:t>购买的该人员近一个月的社保证明（社保证明资料应当至少包含医疗保险，证明资料可为社保收缴部门盖章证明资料、社保窗口打印资料或社保官网截图。由于社保部门原因最近一个月的社保证明无法提供的可往前顺延一个月，如供应商为新成立企业且成立时间不足一个月可提供情况说明或者证明材料亦视为符合）。若项目负责人为</w:t>
            </w:r>
            <w:r>
              <w:rPr>
                <w:rFonts w:hint="eastAsia" w:ascii="仿宋" w:hAnsi="仿宋" w:eastAsia="仿宋" w:cs="仿宋"/>
                <w:color w:val="auto"/>
                <w:kern w:val="0"/>
                <w:sz w:val="24"/>
                <w:szCs w:val="24"/>
                <w:highlight w:val="none"/>
                <w:lang w:val="en-GB" w:eastAsia="zh-CN"/>
              </w:rPr>
              <w:t>供应商</w:t>
            </w:r>
            <w:r>
              <w:rPr>
                <w:rFonts w:hint="eastAsia" w:ascii="仿宋" w:hAnsi="仿宋" w:eastAsia="仿宋" w:cs="仿宋"/>
                <w:color w:val="auto"/>
                <w:kern w:val="0"/>
                <w:sz w:val="24"/>
                <w:szCs w:val="24"/>
                <w:highlight w:val="none"/>
                <w:lang w:val="en-GB"/>
              </w:rPr>
              <w:t>的法定代表人则无需提供社保证明。</w:t>
            </w:r>
          </w:p>
          <w:p>
            <w:pPr>
              <w:widowControl/>
              <w:numPr>
                <w:ilvl w:val="0"/>
                <w:numId w:val="0"/>
              </w:numPr>
              <w:jc w:val="left"/>
              <w:rPr>
                <w:rFonts w:hint="eastAsia" w:ascii="仿宋" w:hAnsi="仿宋" w:eastAsia="仿宋" w:cs="仿宋"/>
                <w:color w:val="auto"/>
                <w:kern w:val="0"/>
                <w:sz w:val="24"/>
                <w:szCs w:val="24"/>
                <w:highlight w:val="none"/>
                <w:lang w:val="en-GB"/>
              </w:rPr>
            </w:pPr>
            <w:r>
              <w:rPr>
                <w:rFonts w:hint="eastAsia" w:ascii="仿宋" w:hAnsi="仿宋" w:eastAsia="仿宋" w:cs="仿宋"/>
                <w:color w:val="auto"/>
                <w:kern w:val="0"/>
                <w:sz w:val="24"/>
                <w:szCs w:val="24"/>
                <w:highlight w:val="none"/>
                <w:lang w:val="en-US" w:eastAsia="zh-CN"/>
              </w:rPr>
              <w:t>②</w:t>
            </w:r>
            <w:r>
              <w:rPr>
                <w:rFonts w:hint="eastAsia" w:ascii="仿宋" w:hAnsi="仿宋" w:eastAsia="仿宋" w:cs="仿宋"/>
                <w:color w:val="auto"/>
                <w:kern w:val="0"/>
                <w:sz w:val="24"/>
                <w:szCs w:val="24"/>
                <w:highlight w:val="none"/>
                <w:lang w:val="en-GB"/>
              </w:rPr>
              <w:t>提供上述评审标准相关的</w:t>
            </w:r>
            <w:r>
              <w:rPr>
                <w:rFonts w:hint="eastAsia" w:ascii="仿宋" w:hAnsi="仿宋" w:eastAsia="仿宋" w:cs="仿宋"/>
                <w:color w:val="auto"/>
                <w:kern w:val="0"/>
                <w:sz w:val="24"/>
                <w:szCs w:val="24"/>
                <w:highlight w:val="none"/>
                <w:lang w:val="en-GB" w:eastAsia="zh-CN"/>
              </w:rPr>
              <w:t>学历</w:t>
            </w:r>
            <w:r>
              <w:rPr>
                <w:rFonts w:hint="eastAsia" w:ascii="仿宋" w:hAnsi="仿宋" w:eastAsia="仿宋" w:cs="仿宋"/>
                <w:color w:val="auto"/>
                <w:kern w:val="0"/>
                <w:sz w:val="24"/>
                <w:szCs w:val="24"/>
                <w:highlight w:val="none"/>
                <w:lang w:val="en-GB"/>
              </w:rPr>
              <w:t>证书</w:t>
            </w:r>
            <w:r>
              <w:rPr>
                <w:rFonts w:hint="eastAsia" w:ascii="仿宋" w:hAnsi="仿宋" w:eastAsia="仿宋" w:cs="仿宋"/>
                <w:color w:val="auto"/>
                <w:kern w:val="0"/>
                <w:sz w:val="24"/>
                <w:szCs w:val="24"/>
                <w:highlight w:val="none"/>
                <w:lang w:val="en-GB" w:eastAsia="zh-CN"/>
              </w:rPr>
              <w:t>复印</w:t>
            </w:r>
            <w:r>
              <w:rPr>
                <w:rFonts w:hint="eastAsia" w:ascii="仿宋" w:hAnsi="仿宋" w:eastAsia="仿宋" w:cs="仿宋"/>
                <w:color w:val="auto"/>
                <w:kern w:val="0"/>
                <w:sz w:val="24"/>
                <w:szCs w:val="24"/>
                <w:highlight w:val="none"/>
                <w:lang w:val="en-GB"/>
              </w:rPr>
              <w:t>件</w:t>
            </w:r>
            <w:r>
              <w:rPr>
                <w:rFonts w:hint="eastAsia" w:ascii="仿宋" w:hAnsi="仿宋" w:eastAsia="仿宋" w:cs="仿宋"/>
                <w:color w:val="auto"/>
                <w:kern w:val="0"/>
                <w:sz w:val="24"/>
                <w:szCs w:val="24"/>
                <w:highlight w:val="none"/>
                <w:lang w:val="en-GB" w:eastAsia="zh-CN"/>
              </w:rPr>
              <w:t>并加盖公章</w:t>
            </w:r>
            <w:r>
              <w:rPr>
                <w:rFonts w:hint="eastAsia" w:ascii="仿宋" w:hAnsi="仿宋" w:eastAsia="仿宋" w:cs="仿宋"/>
                <w:color w:val="auto"/>
                <w:kern w:val="0"/>
                <w:sz w:val="24"/>
                <w:szCs w:val="24"/>
                <w:highlight w:val="none"/>
                <w:lang w:val="en-GB"/>
              </w:rPr>
              <w:t>。</w:t>
            </w:r>
          </w:p>
          <w:p>
            <w:pPr>
              <w:widowControl/>
              <w:numPr>
                <w:ilvl w:val="0"/>
                <w:numId w:val="0"/>
              </w:numPr>
              <w:jc w:val="left"/>
              <w:rPr>
                <w:rFonts w:hint="eastAsia" w:ascii="仿宋" w:hAnsi="仿宋" w:eastAsia="仿宋" w:cs="仿宋"/>
                <w:color w:val="auto"/>
                <w:kern w:val="0"/>
                <w:sz w:val="24"/>
                <w:szCs w:val="24"/>
                <w:highlight w:val="none"/>
                <w:lang w:val="en-GB"/>
              </w:rPr>
            </w:pPr>
            <w:r>
              <w:rPr>
                <w:rFonts w:hint="eastAsia" w:ascii="仿宋" w:hAnsi="仿宋" w:eastAsia="仿宋" w:cs="仿宋"/>
                <w:color w:val="auto"/>
                <w:kern w:val="0"/>
                <w:sz w:val="24"/>
                <w:szCs w:val="24"/>
                <w:highlight w:val="none"/>
                <w:lang w:val="en-US" w:eastAsia="zh-CN"/>
              </w:rPr>
              <w:t>③</w:t>
            </w:r>
            <w:r>
              <w:rPr>
                <w:rFonts w:hint="eastAsia" w:ascii="仿宋" w:hAnsi="仿宋" w:eastAsia="仿宋" w:cs="仿宋"/>
                <w:color w:val="auto"/>
                <w:kern w:val="0"/>
                <w:sz w:val="24"/>
                <w:szCs w:val="24"/>
                <w:highlight w:val="none"/>
                <w:lang w:val="en-GB"/>
              </w:rPr>
              <w:t>提供教学论文或教材等证明材料</w:t>
            </w:r>
            <w:r>
              <w:rPr>
                <w:rFonts w:hint="eastAsia" w:ascii="仿宋" w:hAnsi="仿宋" w:eastAsia="仿宋" w:cs="仿宋"/>
                <w:color w:val="auto"/>
                <w:kern w:val="0"/>
                <w:sz w:val="24"/>
                <w:szCs w:val="24"/>
                <w:highlight w:val="none"/>
                <w:lang w:val="en-GB" w:eastAsia="zh-CN"/>
              </w:rPr>
              <w:t>并加盖公章</w:t>
            </w:r>
            <w:r>
              <w:rPr>
                <w:rFonts w:hint="eastAsia" w:ascii="仿宋" w:hAnsi="仿宋" w:eastAsia="仿宋" w:cs="仿宋"/>
                <w:color w:val="auto"/>
                <w:kern w:val="0"/>
                <w:sz w:val="24"/>
                <w:szCs w:val="24"/>
                <w:highlight w:val="none"/>
                <w:lang w:val="en-GB"/>
              </w:rPr>
              <w:t>，证明文件需体现项目负责人名称。</w:t>
            </w:r>
          </w:p>
          <w:p>
            <w:pPr>
              <w:widowControl/>
              <w:numPr>
                <w:ilvl w:val="0"/>
                <w:numId w:val="0"/>
              </w:numPr>
              <w:ind w:left="0" w:leftChars="0" w:firstLine="0" w:firstLine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④</w:t>
            </w:r>
            <w:r>
              <w:rPr>
                <w:rFonts w:hint="eastAsia" w:ascii="仿宋" w:hAnsi="仿宋" w:eastAsia="仿宋" w:cs="仿宋"/>
                <w:color w:val="auto"/>
                <w:kern w:val="0"/>
                <w:sz w:val="24"/>
                <w:szCs w:val="24"/>
                <w:highlight w:val="none"/>
                <w:lang w:val="en-GB" w:eastAsia="zh-CN"/>
              </w:rPr>
              <w:t>无提供不得分。）</w:t>
            </w:r>
          </w:p>
        </w:tc>
      </w:tr>
      <w:tr>
        <w:tblPrEx>
          <w:tblCellMar>
            <w:top w:w="0" w:type="dxa"/>
            <w:left w:w="108" w:type="dxa"/>
            <w:bottom w:w="0" w:type="dxa"/>
            <w:right w:w="108" w:type="dxa"/>
          </w:tblCellMar>
        </w:tblPrEx>
        <w:trPr>
          <w:trHeight w:val="67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报价得分</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20</w:t>
            </w:r>
          </w:p>
        </w:tc>
        <w:tc>
          <w:tcPr>
            <w:tcW w:w="5471"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报价得分＝（</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报价）×价格分值</w:t>
            </w:r>
          </w:p>
          <w:p>
            <w:pPr>
              <w:widowControl/>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【注：满足</w:t>
            </w:r>
            <w:r>
              <w:rPr>
                <w:rFonts w:hint="eastAsia" w:ascii="仿宋" w:hAnsi="仿宋" w:eastAsia="仿宋" w:cs="仿宋"/>
                <w:color w:val="auto"/>
                <w:kern w:val="0"/>
                <w:sz w:val="24"/>
                <w:szCs w:val="24"/>
                <w:highlight w:val="none"/>
                <w:lang w:eastAsia="zh-CN"/>
              </w:rPr>
              <w:t>比选</w:t>
            </w:r>
            <w:r>
              <w:rPr>
                <w:rFonts w:hint="eastAsia" w:ascii="仿宋" w:hAnsi="仿宋" w:eastAsia="仿宋" w:cs="仿宋"/>
                <w:color w:val="auto"/>
                <w:kern w:val="0"/>
                <w:sz w:val="24"/>
                <w:szCs w:val="24"/>
                <w:highlight w:val="none"/>
              </w:rPr>
              <w:t>文件要求且</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价格最低的</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报价为</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基准价。】最低报价不是</w:t>
            </w:r>
            <w:r>
              <w:rPr>
                <w:rFonts w:hint="eastAsia" w:ascii="仿宋" w:hAnsi="仿宋" w:eastAsia="仿宋" w:cs="仿宋"/>
                <w:color w:val="auto"/>
                <w:kern w:val="0"/>
                <w:sz w:val="24"/>
                <w:szCs w:val="24"/>
                <w:highlight w:val="none"/>
                <w:lang w:eastAsia="zh-CN"/>
              </w:rPr>
              <w:t>成交</w:t>
            </w:r>
            <w:r>
              <w:rPr>
                <w:rFonts w:hint="eastAsia" w:ascii="仿宋" w:hAnsi="仿宋" w:eastAsia="仿宋" w:cs="仿宋"/>
                <w:color w:val="auto"/>
                <w:kern w:val="0"/>
                <w:sz w:val="24"/>
                <w:szCs w:val="24"/>
                <w:highlight w:val="none"/>
              </w:rPr>
              <w:t>的唯一依据。因落实政府采购政策进行价格调整的，以调整后的价格计算</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基准价和</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w:t>
            </w:r>
          </w:p>
        </w:tc>
      </w:tr>
    </w:tbl>
    <w:p>
      <w:pPr>
        <w:widowControl/>
        <w:jc w:val="center"/>
        <w:rPr>
          <w:rFonts w:hint="eastAsia" w:ascii="仿宋" w:hAnsi="仿宋" w:eastAsia="仿宋" w:cs="仿宋"/>
          <w:color w:val="auto"/>
          <w:kern w:val="0"/>
          <w:sz w:val="24"/>
          <w:szCs w:val="24"/>
          <w:highlight w:val="none"/>
        </w:rPr>
      </w:pPr>
    </w:p>
    <w:p>
      <w:pPr>
        <w:pStyle w:val="8"/>
        <w:adjustRightInd w:val="0"/>
        <w:snapToGrid w:val="0"/>
        <w:spacing w:line="360" w:lineRule="auto"/>
        <w:ind w:right="32" w:firstLine="463"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7.</w:t>
      </w:r>
      <w:r>
        <w:rPr>
          <w:rFonts w:hint="eastAsia" w:ascii="仿宋" w:hAnsi="仿宋" w:eastAsia="仿宋" w:cs="仿宋"/>
          <w:b w:val="0"/>
          <w:bCs/>
          <w:color w:val="auto"/>
          <w:sz w:val="24"/>
          <w:szCs w:val="24"/>
          <w:highlight w:val="none"/>
        </w:rPr>
        <w:t>确定成交候选供应商</w:t>
      </w:r>
    </w:p>
    <w:p>
      <w:pPr>
        <w:autoSpaceDE w:val="0"/>
        <w:autoSpaceDN w:val="0"/>
        <w:adjustRightInd w:val="0"/>
        <w:snapToGrid w:val="0"/>
        <w:spacing w:line="360" w:lineRule="auto"/>
        <w:ind w:right="32" w:firstLine="463" w:firstLineChars="191"/>
        <w:rPr>
          <w:rFonts w:ascii="仿宋" w:hAnsi="仿宋" w:eastAsia="仿宋" w:cs="仿宋"/>
          <w:b w:val="0"/>
          <w:bCs w:val="0"/>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小组出具书面的评审报告，按照响应供应商的综合得分由高到低的顺序对响应供应商进行排名，并确定成交候选供应商。综合得分相同的，按响应报价由低到高顺序推荐成交候选供应商，得分</w:t>
      </w:r>
      <w:r>
        <w:rPr>
          <w:rFonts w:hint="eastAsia" w:ascii="仿宋" w:hAnsi="仿宋" w:eastAsia="仿宋" w:cs="仿宋"/>
          <w:b w:val="0"/>
          <w:bCs w:val="0"/>
          <w:color w:val="auto"/>
          <w:kern w:val="0"/>
          <w:sz w:val="24"/>
          <w:highlight w:val="none"/>
        </w:rPr>
        <w:t>且</w:t>
      </w:r>
      <w:r>
        <w:rPr>
          <w:rFonts w:hint="eastAsia" w:ascii="仿宋" w:hAnsi="仿宋" w:eastAsia="仿宋" w:cs="仿宋"/>
          <w:b w:val="0"/>
          <w:bCs w:val="0"/>
          <w:color w:val="auto"/>
          <w:kern w:val="0"/>
          <w:sz w:val="24"/>
          <w:highlight w:val="none"/>
          <w:lang w:eastAsia="zh-CN"/>
        </w:rPr>
        <w:t>响应</w:t>
      </w:r>
      <w:r>
        <w:rPr>
          <w:rFonts w:hint="eastAsia" w:ascii="仿宋" w:hAnsi="仿宋" w:eastAsia="仿宋" w:cs="仿宋"/>
          <w:b w:val="0"/>
          <w:bCs w:val="0"/>
          <w:color w:val="auto"/>
          <w:kern w:val="0"/>
          <w:sz w:val="24"/>
          <w:highlight w:val="none"/>
        </w:rPr>
        <w:t>报价相同的，由</w:t>
      </w:r>
      <w:r>
        <w:rPr>
          <w:rFonts w:hint="eastAsia" w:ascii="仿宋" w:hAnsi="仿宋" w:eastAsia="仿宋" w:cs="仿宋"/>
          <w:b w:val="0"/>
          <w:bCs w:val="0"/>
          <w:color w:val="auto"/>
          <w:kern w:val="0"/>
          <w:sz w:val="24"/>
          <w:highlight w:val="none"/>
          <w:lang w:eastAsia="zh-CN"/>
        </w:rPr>
        <w:t>评审小组</w:t>
      </w:r>
      <w:r>
        <w:rPr>
          <w:rFonts w:hint="eastAsia" w:ascii="仿宋" w:hAnsi="仿宋" w:eastAsia="仿宋" w:cs="仿宋"/>
          <w:b w:val="0"/>
          <w:bCs w:val="0"/>
          <w:color w:val="auto"/>
          <w:kern w:val="0"/>
          <w:sz w:val="24"/>
          <w:highlight w:val="none"/>
        </w:rPr>
        <w:t>采取随机抽取的方式确定。</w:t>
      </w:r>
    </w:p>
    <w:p>
      <w:pPr>
        <w:pStyle w:val="8"/>
        <w:adjustRightInd w:val="0"/>
        <w:snapToGrid w:val="0"/>
        <w:spacing w:line="360" w:lineRule="auto"/>
        <w:ind w:firstLine="486"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8.</w:t>
      </w:r>
      <w:r>
        <w:rPr>
          <w:rFonts w:hint="eastAsia" w:ascii="仿宋" w:hAnsi="仿宋" w:eastAsia="仿宋" w:cs="仿宋"/>
          <w:b w:val="0"/>
          <w:bCs w:val="0"/>
          <w:color w:val="auto"/>
          <w:sz w:val="24"/>
          <w:szCs w:val="24"/>
          <w:highlight w:val="none"/>
        </w:rPr>
        <w:t>公示</w:t>
      </w:r>
    </w:p>
    <w:p>
      <w:pPr>
        <w:autoSpaceDE w:val="0"/>
        <w:autoSpaceDN w:val="0"/>
        <w:adjustRightInd w:val="0"/>
        <w:snapToGrid w:val="0"/>
        <w:spacing w:line="360" w:lineRule="auto"/>
        <w:ind w:right="32"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评审完成确定成交候选供应商后，</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发布成交公告，并向</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发出《成交通知书》。</w:t>
      </w:r>
    </w:p>
    <w:p>
      <w:pPr>
        <w:autoSpaceDE w:val="0"/>
        <w:autoSpaceDN w:val="0"/>
        <w:adjustRightInd w:val="0"/>
        <w:snapToGrid w:val="0"/>
        <w:spacing w:line="360" w:lineRule="auto"/>
        <w:ind w:right="32" w:firstLine="486"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询问、</w:t>
      </w:r>
      <w:r>
        <w:rPr>
          <w:rFonts w:hint="eastAsia" w:ascii="仿宋" w:hAnsi="仿宋" w:eastAsia="仿宋" w:cs="仿宋"/>
          <w:b/>
          <w:color w:val="auto"/>
          <w:sz w:val="24"/>
          <w:highlight w:val="none"/>
        </w:rPr>
        <w:t>质疑和投诉</w:t>
      </w:r>
    </w:p>
    <w:p>
      <w:pPr>
        <w:pStyle w:val="8"/>
        <w:adjustRightInd w:val="0"/>
        <w:snapToGrid w:val="0"/>
        <w:spacing w:line="360" w:lineRule="auto"/>
        <w:ind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（一）询问</w:t>
      </w:r>
    </w:p>
    <w:p>
      <w:pPr>
        <w:pStyle w:val="8"/>
        <w:adjustRightInd w:val="0"/>
        <w:snapToGrid w:val="0"/>
        <w:spacing w:line="360" w:lineRule="auto"/>
        <w:ind w:firstLine="486"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对政府采购活动事项（</w:t>
      </w:r>
      <w:r>
        <w:rPr>
          <w:rFonts w:hint="eastAsia" w:ascii="仿宋" w:hAnsi="仿宋" w:eastAsia="仿宋" w:cs="仿宋"/>
          <w:color w:val="auto"/>
          <w:sz w:val="24"/>
          <w:highlight w:val="none"/>
          <w:lang w:eastAsia="zh-CN"/>
        </w:rPr>
        <w:t>比选文件</w:t>
      </w:r>
      <w:r>
        <w:rPr>
          <w:rFonts w:hint="eastAsia" w:ascii="仿宋" w:hAnsi="仿宋" w:eastAsia="仿宋" w:cs="仿宋"/>
          <w:color w:val="auto"/>
          <w:sz w:val="24"/>
          <w:highlight w:val="none"/>
        </w:rPr>
        <w:t>、采购过程和</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结果）有疑问的，可以向采购人提出询问，采购人将及时作出答复，但答复的内容不涉及商业秘密。询问可以口头方式提出，也可以书面方式提出，书面方式包括但不限于传真、信函、电子邮件。联系方式见《</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邀请函》中“采购人的名称、地址和联系方式”。</w:t>
      </w:r>
    </w:p>
    <w:p>
      <w:pPr>
        <w:pStyle w:val="8"/>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对比选文件的质疑和处理</w:t>
      </w:r>
    </w:p>
    <w:p>
      <w:pPr>
        <w:pStyle w:val="8"/>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供应商对比选公告或文件有异议的，应在比选公告的有效期内书面向</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提出合理的质疑。公告期限内未收到书面质疑，视为潜在供应商认同比选文件的全部内容，</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不再受理供应商对比选公告或文件的质疑。</w:t>
      </w:r>
    </w:p>
    <w:p>
      <w:pPr>
        <w:pStyle w:val="8"/>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应当在接收到质疑函后起七个工作日内进行答复，并以书面形式通知质疑供应商和其他有关供应商。</w:t>
      </w:r>
    </w:p>
    <w:p>
      <w:pPr>
        <w:pStyle w:val="8"/>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对比选文件提出的质疑成立后，由</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通过澄清或者修改，并以书面形式告知潜在的供应商后可以继续开展采购活动的，澄清或者修改比选文件后继续开展采购活动；否则应当修改比选文件后重新开展采购活动。</w:t>
      </w:r>
    </w:p>
    <w:p>
      <w:pPr>
        <w:pStyle w:val="8"/>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（二）对采购过程、成交结果的质疑和处理</w:t>
      </w:r>
    </w:p>
    <w:p>
      <w:pPr>
        <w:pStyle w:val="8"/>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供应商认为评审过程、成交结果使自己的权益受到损害的，可以在知道或者应知其权益受到损害之日起7个工作日内，以书面形式向</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提出质疑。</w:t>
      </w:r>
    </w:p>
    <w:p>
      <w:pPr>
        <w:pStyle w:val="8"/>
        <w:adjustRightInd w:val="0"/>
        <w:snapToGrid w:val="0"/>
        <w:spacing w:line="360" w:lineRule="auto"/>
        <w:ind w:firstLine="486"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应于收到质疑函后起7个工作日内组织原评审小组协助答复质疑，并以书面形式通知质疑供应商和其他有关供应商。</w:t>
      </w:r>
    </w:p>
    <w:p>
      <w:pPr>
        <w:pStyle w:val="8"/>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认为供应商质疑不成立，或者成立但未对成交结果构成影响的，继续开展采购活动；认为供应商质疑成立且影响或者可能影响成交结果的，合格供应商符合法定数量时，可以从合格的成交候选人中另行确定成交供应商的，应当依法另行确定成交供应商；否则应当重新开展采购活动。</w:t>
      </w:r>
    </w:p>
    <w:p>
      <w:pPr>
        <w:pStyle w:val="8"/>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（三）供应商提出质疑应当提交质疑函和必要的证明材料(包括证明材料清单、证明文件及获取途径说明)。质疑函应当包括下列内容：</w:t>
      </w:r>
    </w:p>
    <w:p>
      <w:pPr>
        <w:pStyle w:val="8"/>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（1）供应商的姓名或者名称、地址、邮编、联系人及联系电话；</w:t>
      </w:r>
    </w:p>
    <w:p>
      <w:pPr>
        <w:pStyle w:val="8"/>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（2）质疑项目的名称、编号；</w:t>
      </w:r>
    </w:p>
    <w:p>
      <w:pPr>
        <w:pStyle w:val="8"/>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（3）具体、明确的质疑事项和与质疑事项相关的请求；</w:t>
      </w:r>
    </w:p>
    <w:p>
      <w:pPr>
        <w:pStyle w:val="8"/>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（4）事实依据；</w:t>
      </w:r>
    </w:p>
    <w:p>
      <w:pPr>
        <w:pStyle w:val="8"/>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（5）必要的法律依据；</w:t>
      </w:r>
    </w:p>
    <w:p>
      <w:pPr>
        <w:pStyle w:val="8"/>
        <w:adjustRightInd w:val="0"/>
        <w:snapToGrid w:val="0"/>
        <w:spacing w:line="360" w:lineRule="auto"/>
        <w:ind w:firstLine="486"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（6）提出质疑的日期。</w:t>
      </w:r>
    </w:p>
    <w:p>
      <w:pPr>
        <w:pStyle w:val="8"/>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w:t>
      </w:r>
    </w:p>
    <w:p>
      <w:pPr>
        <w:pStyle w:val="8"/>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供应商对</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的质疑答复不满意或在规定时间内未得到答复的，可以在答复期满后15个工作日内，按如下联系方式向</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highlight w:val="none"/>
        </w:rPr>
        <w:t>提出书面投诉。</w:t>
      </w:r>
    </w:p>
    <w:p>
      <w:pPr>
        <w:pStyle w:val="8"/>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（五）质疑供应商未按以上规定进行质疑的，</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将不予接收。</w:t>
      </w:r>
    </w:p>
    <w:p>
      <w:pPr>
        <w:pStyle w:val="8"/>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（六）供应商捏造事实、提供虚假材料或者以非法手段取得证明材料进行质疑或投诉的，予以驳回，并列入黑名单。</w:t>
      </w:r>
    </w:p>
    <w:p>
      <w:pPr>
        <w:pStyle w:val="8"/>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受理质疑后，质疑人书面申请撤回质疑的，应当终止质疑处理程序。</w:t>
      </w:r>
    </w:p>
    <w:p>
      <w:pPr>
        <w:pStyle w:val="8"/>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（八）同一供应商不能对同一事项重复质疑。</w:t>
      </w:r>
    </w:p>
    <w:p>
      <w:pPr>
        <w:pStyle w:val="8"/>
        <w:adjustRightInd w:val="0"/>
        <w:snapToGrid w:val="0"/>
        <w:spacing w:line="360" w:lineRule="auto"/>
        <w:ind w:firstLine="486"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七</w:t>
      </w:r>
      <w:r>
        <w:rPr>
          <w:rFonts w:hint="eastAsia" w:ascii="仿宋" w:hAnsi="仿宋" w:eastAsia="仿宋" w:cs="仿宋"/>
          <w:b/>
          <w:color w:val="auto"/>
          <w:kern w:val="0"/>
          <w:sz w:val="24"/>
          <w:szCs w:val="24"/>
          <w:highlight w:val="none"/>
        </w:rPr>
        <w:t>、合同的订立和履行</w:t>
      </w:r>
    </w:p>
    <w:p>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合同的订立</w:t>
      </w:r>
    </w:p>
    <w:p>
      <w:pPr>
        <w:autoSpaceDE w:val="0"/>
        <w:autoSpaceDN w:val="0"/>
        <w:adjustRightInd w:val="0"/>
        <w:snapToGrid w:val="0"/>
        <w:spacing w:line="360" w:lineRule="auto"/>
        <w:ind w:right="32" w:firstLine="486" w:firstLineChars="200"/>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采购人与成交供应商自成交通知书发出之日起三十日内，按比选文件要求和</w:t>
      </w:r>
      <w:r>
        <w:rPr>
          <w:rFonts w:hint="eastAsia" w:ascii="仿宋" w:hAnsi="仿宋" w:eastAsia="仿宋" w:cs="仿宋"/>
          <w:color w:val="auto"/>
          <w:kern w:val="0"/>
          <w:sz w:val="24"/>
          <w:highlight w:val="none"/>
          <w:lang w:eastAsia="zh-CN"/>
        </w:rPr>
        <w:t>成交供应商</w:t>
      </w:r>
      <w:r>
        <w:rPr>
          <w:rFonts w:hint="eastAsia" w:ascii="仿宋" w:hAnsi="仿宋" w:eastAsia="仿宋" w:cs="仿宋"/>
          <w:color w:val="auto"/>
          <w:kern w:val="0"/>
          <w:sz w:val="24"/>
          <w:highlight w:val="none"/>
        </w:rPr>
        <w:t>响应文件承诺签订采购合同。未按规定时间签订合同的，视为主动放弃成交资格。但不得超出比选文件和成交供应商响应文件的范围、也不得再行订立背离合同实质性内容的其他协议。如果第一成交候选供应商放弃成交资格或者没有按照规定签订合同，采购人将取消其成交资格。在此情况下，采购人可确定第二成交候选供应商为成交供应商，或重新采购。</w:t>
      </w:r>
    </w:p>
    <w:p>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合同的履行</w:t>
      </w:r>
    </w:p>
    <w:p>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（1）采购合同订立后，合同各方不得擅自变更、中止或者终止合同。合同确需要变更的，应以书面形式报</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审批。</w:t>
      </w:r>
    </w:p>
    <w:p>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（2）采购合同履行中，采购人需追加与合同标的相同的货物、工程或者服务的，在不改变合同实质条款的前提下，可以与成交供应商签订补充合同，但所补充合同的采购金额不得超过原采购金额的百分之十。</w:t>
      </w:r>
    </w:p>
    <w:p>
      <w:pPr>
        <w:adjustRightInd w:val="0"/>
        <w:snapToGrid w:val="0"/>
        <w:spacing w:line="360" w:lineRule="auto"/>
        <w:ind w:firstLine="486"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、适用法律及规定</w:t>
      </w:r>
    </w:p>
    <w:p>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采购人</w:t>
      </w:r>
      <w:r>
        <w:rPr>
          <w:rFonts w:hint="eastAsia" w:ascii="仿宋" w:hAnsi="仿宋" w:eastAsia="仿宋" w:cs="仿宋"/>
          <w:color w:val="auto"/>
          <w:kern w:val="0"/>
          <w:sz w:val="24"/>
          <w:highlight w:val="none"/>
        </w:rPr>
        <w:t>及供应商的一切采购活动均参考《中华人民共和国政府采购法》及医院的采购制度。</w:t>
      </w:r>
    </w:p>
    <w:p>
      <w:pPr>
        <w:pStyle w:val="8"/>
        <w:adjustRightInd w:val="0"/>
        <w:snapToGrid w:val="0"/>
        <w:spacing w:line="360" w:lineRule="auto"/>
        <w:ind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（2）单位负责人为同一人或者存在直接控股、管理关系的不同供应商，不得参加同一合同项下的采购活动。</w:t>
      </w:r>
      <w:r>
        <w:rPr>
          <w:rFonts w:hint="eastAsia" w:ascii="仿宋" w:hAnsi="仿宋" w:eastAsia="仿宋" w:cs="仿宋"/>
          <w:color w:val="auto"/>
          <w:kern w:val="0"/>
          <w:sz w:val="24"/>
          <w:highlight w:val="none"/>
          <w:lang w:eastAsia="zh-CN"/>
        </w:rPr>
        <w:t>为本采购项目提供整体设计、规范编制或者项目管理、监理、检测等服务的供应商，不得再参加本采购项目的采购活动。</w:t>
      </w:r>
      <w:r>
        <w:rPr>
          <w:rFonts w:hint="eastAsia" w:ascii="仿宋" w:hAnsi="仿宋" w:eastAsia="仿宋" w:cs="仿宋"/>
          <w:color w:val="auto"/>
          <w:kern w:val="0"/>
          <w:sz w:val="24"/>
          <w:highlight w:val="none"/>
        </w:rPr>
        <w:t>存在以上情形的供应商应主动予以回避，否则自行承担相应的法律责任及后果。</w:t>
      </w:r>
    </w:p>
    <w:p>
      <w:pPr>
        <w:autoSpaceDE/>
        <w:autoSpaceDN/>
        <w:adjustRightInd/>
        <w:snapToGrid/>
        <w:spacing w:line="240" w:lineRule="auto"/>
        <w:ind w:right="0" w:firstLine="0" w:firstLineChars="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autoSpaceDE w:val="0"/>
        <w:autoSpaceDN w:val="0"/>
        <w:adjustRightInd w:val="0"/>
        <w:snapToGrid w:val="0"/>
        <w:spacing w:line="360" w:lineRule="auto"/>
        <w:ind w:right="32" w:firstLine="566" w:firstLineChars="200"/>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第四部分  合同书范本格式</w:t>
      </w:r>
    </w:p>
    <w:p>
      <w:pPr>
        <w:jc w:val="right"/>
        <w:rPr>
          <w:rFonts w:hint="eastAsia" w:ascii="仿宋" w:hAnsi="仿宋" w:eastAsia="仿宋" w:cs="仿宋"/>
          <w:color w:val="auto"/>
          <w:sz w:val="52"/>
          <w:highlight w:val="none"/>
        </w:rPr>
      </w:pPr>
      <w:r>
        <w:rPr>
          <w:rFonts w:hint="eastAsia" w:ascii="仿宋" w:hAnsi="仿宋" w:eastAsia="仿宋" w:cs="仿宋"/>
          <w:b/>
          <w:bCs/>
          <w:color w:val="auto"/>
          <w:sz w:val="24"/>
          <w:highlight w:val="none"/>
        </w:rPr>
        <w:t>合同编号：</w:t>
      </w: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autoSpaceDE w:val="0"/>
        <w:autoSpaceDN w:val="0"/>
        <w:adjustRightInd w:val="0"/>
        <w:spacing w:before="100" w:beforeAutospacing="1" w:after="100" w:afterAutospacing="1"/>
        <w:ind w:left="2438" w:leftChars="1145"/>
        <w:rPr>
          <w:rFonts w:ascii="仿宋_GB2312" w:hAnsi="仿宋" w:eastAsia="仿宋_GB2312"/>
          <w:b/>
          <w:color w:val="auto"/>
          <w:sz w:val="28"/>
          <w:highlight w:val="none"/>
        </w:rPr>
      </w:pPr>
      <w:r>
        <w:rPr>
          <w:rFonts w:hint="eastAsia" w:ascii="仿宋" w:hAnsi="仿宋" w:eastAsia="仿宋" w:cs="FangSong_GB2312-Identity-H"/>
          <w:b/>
          <w:bCs/>
          <w:color w:val="auto"/>
          <w:spacing w:val="60"/>
          <w:kern w:val="0"/>
          <w:sz w:val="84"/>
          <w:szCs w:val="84"/>
          <w:highlight w:val="none"/>
        </w:rPr>
        <w:t>合同书</w:t>
      </w:r>
    </w:p>
    <w:p>
      <w:pPr>
        <w:snapToGrid w:val="0"/>
        <w:spacing w:line="500" w:lineRule="exact"/>
        <w:jc w:val="both"/>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tbl>
      <w:tblPr>
        <w:tblStyle w:val="12"/>
        <w:tblpPr w:leftFromText="180" w:rightFromText="180" w:vertAnchor="text" w:horzAnchor="page" w:tblpX="2876" w:tblpY="387"/>
        <w:tblOverlap w:val="never"/>
        <w:tblW w:w="6629" w:type="dxa"/>
        <w:tblInd w:w="0" w:type="dxa"/>
        <w:tblLayout w:type="fixed"/>
        <w:tblCellMar>
          <w:top w:w="0" w:type="dxa"/>
          <w:left w:w="108" w:type="dxa"/>
          <w:bottom w:w="0" w:type="dxa"/>
          <w:right w:w="108" w:type="dxa"/>
        </w:tblCellMar>
      </w:tblPr>
      <w:tblGrid>
        <w:gridCol w:w="6629"/>
      </w:tblGrid>
      <w:tr>
        <w:tblPrEx>
          <w:tblCellMar>
            <w:top w:w="0" w:type="dxa"/>
            <w:left w:w="108" w:type="dxa"/>
            <w:bottom w:w="0" w:type="dxa"/>
            <w:right w:w="108" w:type="dxa"/>
          </w:tblCellMar>
        </w:tblPrEx>
        <w:trPr>
          <w:trHeight w:val="446" w:hRule="atLeast"/>
        </w:trPr>
        <w:tc>
          <w:tcPr>
            <w:tcW w:w="6629" w:type="dxa"/>
            <w:noWrap w:val="0"/>
            <w:vAlign w:val="top"/>
          </w:tcPr>
          <w:p>
            <w:pPr>
              <w:pStyle w:val="8"/>
              <w:spacing w:line="800" w:lineRule="exact"/>
              <w:jc w:val="left"/>
              <w:rPr>
                <w:rFonts w:hint="eastAsia" w:ascii="宋体" w:hAnsi="宋体" w:eastAsia="宋体"/>
                <w:b/>
                <w:color w:val="auto"/>
                <w:sz w:val="30"/>
                <w:szCs w:val="30"/>
                <w:highlight w:val="none"/>
                <w:lang w:eastAsia="zh-CN"/>
              </w:rPr>
            </w:pPr>
          </w:p>
          <w:p>
            <w:pPr>
              <w:pStyle w:val="8"/>
              <w:spacing w:line="800" w:lineRule="exact"/>
              <w:jc w:val="left"/>
              <w:rPr>
                <w:rFonts w:hint="eastAsia" w:ascii="宋体" w:hAnsi="宋体" w:eastAsia="宋体"/>
                <w:b/>
                <w:color w:val="auto"/>
                <w:sz w:val="30"/>
                <w:szCs w:val="30"/>
                <w:highlight w:val="none"/>
                <w:lang w:eastAsia="zh-CN"/>
              </w:rPr>
            </w:pPr>
            <w:r>
              <w:rPr>
                <w:rFonts w:hint="eastAsia" w:ascii="宋体" w:hAnsi="宋体" w:eastAsia="宋体"/>
                <w:b/>
                <w:color w:val="auto"/>
                <w:sz w:val="30"/>
                <w:szCs w:val="30"/>
                <w:highlight w:val="none"/>
                <w:lang w:eastAsia="zh-CN"/>
              </w:rPr>
              <w:t>采购编号：</w:t>
            </w:r>
          </w:p>
          <w:p>
            <w:pPr>
              <w:pStyle w:val="8"/>
              <w:spacing w:line="800" w:lineRule="exact"/>
              <w:jc w:val="left"/>
              <w:rPr>
                <w:rFonts w:hint="eastAsia" w:hAnsi="宋体"/>
                <w:b/>
                <w:color w:val="auto"/>
                <w:sz w:val="30"/>
                <w:szCs w:val="30"/>
                <w:highlight w:val="none"/>
              </w:rPr>
            </w:pPr>
            <w:r>
              <w:rPr>
                <w:rFonts w:hint="eastAsia" w:hAnsi="宋体"/>
                <w:b/>
                <w:color w:val="auto"/>
                <w:sz w:val="30"/>
                <w:szCs w:val="30"/>
                <w:highlight w:val="none"/>
              </w:rPr>
              <w:t>项目名称：</w:t>
            </w:r>
          </w:p>
          <w:p>
            <w:pPr>
              <w:pStyle w:val="8"/>
              <w:spacing w:line="800" w:lineRule="exact"/>
              <w:jc w:val="left"/>
              <w:rPr>
                <w:rFonts w:hint="eastAsia" w:hAnsi="宋体" w:cs="Times New Roman"/>
                <w:b/>
                <w:bCs/>
                <w:color w:val="auto"/>
                <w:sz w:val="30"/>
                <w:szCs w:val="30"/>
                <w:highlight w:val="none"/>
              </w:rPr>
            </w:pPr>
            <w:r>
              <w:rPr>
                <w:rFonts w:hint="eastAsia" w:hAnsi="宋体" w:cs="Times New Roman"/>
                <w:b/>
                <w:bCs/>
                <w:color w:val="auto"/>
                <w:sz w:val="30"/>
                <w:szCs w:val="30"/>
                <w:highlight w:val="none"/>
              </w:rPr>
              <w:t>甲</w:t>
            </w:r>
            <w:r>
              <w:rPr>
                <w:rFonts w:hint="eastAsia" w:hAnsi="宋体" w:cs="Times New Roman"/>
                <w:b/>
                <w:bCs/>
                <w:color w:val="auto"/>
                <w:sz w:val="30"/>
                <w:szCs w:val="30"/>
                <w:highlight w:val="none"/>
                <w:lang w:val="en-US" w:eastAsia="zh-CN"/>
              </w:rPr>
              <w:t xml:space="preserve">    </w:t>
            </w:r>
            <w:r>
              <w:rPr>
                <w:rFonts w:hint="eastAsia" w:hAnsi="宋体" w:cs="Times New Roman"/>
                <w:b/>
                <w:bCs/>
                <w:color w:val="auto"/>
                <w:sz w:val="30"/>
                <w:szCs w:val="30"/>
                <w:highlight w:val="none"/>
              </w:rPr>
              <w:t>方：</w:t>
            </w:r>
          </w:p>
          <w:p>
            <w:pPr>
              <w:pStyle w:val="8"/>
              <w:spacing w:line="800" w:lineRule="exact"/>
              <w:jc w:val="left"/>
              <w:rPr>
                <w:rFonts w:hint="eastAsia" w:hAnsi="宋体" w:cs="Times New Roman"/>
                <w:b/>
                <w:bCs/>
                <w:color w:val="auto"/>
                <w:sz w:val="30"/>
                <w:szCs w:val="30"/>
                <w:highlight w:val="none"/>
              </w:rPr>
            </w:pPr>
            <w:r>
              <w:rPr>
                <w:rFonts w:hint="eastAsia" w:hAnsi="宋体" w:cs="Times New Roman"/>
                <w:b/>
                <w:bCs/>
                <w:color w:val="auto"/>
                <w:sz w:val="30"/>
                <w:szCs w:val="30"/>
                <w:highlight w:val="none"/>
              </w:rPr>
              <w:t>乙</w:t>
            </w:r>
            <w:r>
              <w:rPr>
                <w:rFonts w:hint="eastAsia" w:hAnsi="宋体" w:cs="Times New Roman"/>
                <w:b/>
                <w:bCs/>
                <w:color w:val="auto"/>
                <w:sz w:val="30"/>
                <w:szCs w:val="30"/>
                <w:highlight w:val="none"/>
                <w:lang w:val="en-US" w:eastAsia="zh-CN"/>
              </w:rPr>
              <w:t xml:space="preserve">    </w:t>
            </w:r>
            <w:r>
              <w:rPr>
                <w:rFonts w:hint="eastAsia" w:hAnsi="宋体" w:cs="Times New Roman"/>
                <w:b/>
                <w:bCs/>
                <w:color w:val="auto"/>
                <w:sz w:val="30"/>
                <w:szCs w:val="30"/>
                <w:highlight w:val="none"/>
              </w:rPr>
              <w:t>方：</w:t>
            </w:r>
          </w:p>
          <w:p>
            <w:pPr>
              <w:pStyle w:val="8"/>
              <w:spacing w:line="800" w:lineRule="exact"/>
              <w:jc w:val="left"/>
              <w:rPr>
                <w:rFonts w:hint="eastAsia" w:hAnsi="宋体" w:cs="Times New Roman"/>
                <w:b/>
                <w:bCs/>
                <w:color w:val="auto"/>
                <w:sz w:val="30"/>
                <w:szCs w:val="30"/>
                <w:highlight w:val="none"/>
                <w:lang w:eastAsia="zh-CN"/>
              </w:rPr>
            </w:pPr>
          </w:p>
          <w:p>
            <w:pPr>
              <w:tabs>
                <w:tab w:val="left" w:pos="720"/>
              </w:tabs>
              <w:spacing w:line="360" w:lineRule="auto"/>
              <w:rPr>
                <w:rFonts w:ascii="宋体"/>
                <w:b/>
                <w:color w:val="auto"/>
                <w:sz w:val="30"/>
                <w:szCs w:val="30"/>
                <w:highlight w:val="none"/>
              </w:rPr>
            </w:pPr>
          </w:p>
        </w:tc>
      </w:tr>
    </w:tbl>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autoSpaceDE w:val="0"/>
        <w:autoSpaceDN w:val="0"/>
        <w:adjustRightInd w:val="0"/>
        <w:snapToGrid w:val="0"/>
        <w:spacing w:line="440" w:lineRule="exact"/>
        <w:ind w:right="34" w:hanging="238"/>
        <w:jc w:val="center"/>
        <w:rPr>
          <w:rFonts w:hint="eastAsia" w:ascii="仿宋" w:hAnsi="仿宋" w:eastAsia="仿宋" w:cs="仿宋"/>
          <w:b/>
          <w:color w:val="auto"/>
          <w:sz w:val="28"/>
          <w:szCs w:val="28"/>
          <w:highlight w:val="none"/>
        </w:rPr>
      </w:pPr>
      <w:r>
        <w:rPr>
          <w:rFonts w:hint="eastAsia" w:ascii="仿宋" w:hAnsi="仿宋" w:eastAsia="仿宋"/>
          <w:b/>
          <w:color w:val="auto"/>
          <w:sz w:val="24"/>
          <w:highlight w:val="none"/>
        </w:rPr>
        <w:t>注：本合同仅为合同的参考文本，合同签订双方可根据项目的具体要求进行修订。</w:t>
      </w:r>
    </w:p>
    <w:p>
      <w:pPr>
        <w:snapToGrid w:val="0"/>
        <w:spacing w:line="500" w:lineRule="exact"/>
        <w:jc w:val="center"/>
        <w:rPr>
          <w:rFonts w:hint="eastAsia" w:ascii="仿宋" w:hAnsi="仿宋" w:eastAsia="仿宋" w:cs="仿宋"/>
          <w:b/>
          <w:bCs/>
          <w:color w:val="auto"/>
          <w:sz w:val="48"/>
          <w:szCs w:val="48"/>
          <w:highlight w:val="none"/>
        </w:rPr>
      </w:pPr>
    </w:p>
    <w:p>
      <w:pPr>
        <w:spacing w:line="360" w:lineRule="auto"/>
        <w:jc w:val="center"/>
        <w:rPr>
          <w:rFonts w:hint="eastAsia" w:ascii="宋体" w:hAnsi="宋体"/>
          <w:b/>
          <w:color w:val="auto"/>
          <w:sz w:val="44"/>
          <w:szCs w:val="44"/>
          <w:highlight w:val="none"/>
        </w:rPr>
      </w:pPr>
    </w:p>
    <w:p>
      <w:pPr>
        <w:keepNext w:val="0"/>
        <w:keepLines w:val="0"/>
        <w:pageBreakBefore w:val="0"/>
        <w:widowControl w:val="0"/>
        <w:kinsoku/>
        <w:overflowPunct/>
        <w:topLinePunct w:val="0"/>
        <w:bidi w:val="0"/>
        <w:spacing w:line="360" w:lineRule="auto"/>
        <w:ind w:firstLine="3267" w:firstLineChars="900"/>
        <w:jc w:val="both"/>
        <w:textAlignment w:val="auto"/>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lang w:eastAsia="zh-CN"/>
        </w:rPr>
        <w:t>合</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lang w:eastAsia="zh-CN"/>
        </w:rPr>
        <w:t>同</w:t>
      </w:r>
    </w:p>
    <w:p>
      <w:pPr>
        <w:keepNext w:val="0"/>
        <w:keepLines w:val="0"/>
        <w:pageBreakBefore w:val="0"/>
        <w:widowControl w:val="0"/>
        <w:kinsoku/>
        <w:overflowPunct/>
        <w:topLinePunct w:val="0"/>
        <w:bidi w:val="0"/>
        <w:spacing w:line="360" w:lineRule="auto"/>
        <w:textAlignment w:val="auto"/>
        <w:rPr>
          <w:rFonts w:hint="eastAsia" w:ascii="宋体" w:hAnsi="宋体" w:eastAsia="宋体" w:cs="宋体"/>
          <w:color w:val="auto"/>
          <w:sz w:val="24"/>
          <w:szCs w:val="24"/>
          <w:highlight w:val="none"/>
        </w:rPr>
      </w:pPr>
    </w:p>
    <w:p>
      <w:pPr>
        <w:keepNext w:val="0"/>
        <w:keepLines w:val="0"/>
        <w:pageBreakBefore w:val="0"/>
        <w:widowControl w:val="0"/>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甲方：惠州市第一妇幼保健院</w:t>
      </w:r>
    </w:p>
    <w:p>
      <w:pPr>
        <w:keepNext w:val="0"/>
        <w:keepLines w:val="0"/>
        <w:pageBreakBefore w:val="0"/>
        <w:widowControl w:val="0"/>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p>
    <w:p>
      <w:pPr>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根据惠州市第一妇幼保健院采购模拟教学思维与方法师资培训课程服务项目（项目编号：</w:t>
      </w:r>
      <w:r>
        <w:rPr>
          <w:rFonts w:hint="eastAsia" w:ascii="宋体" w:hAnsi="宋体" w:eastAsia="宋体" w:cs="宋体"/>
          <w:color w:val="auto"/>
          <w:sz w:val="24"/>
          <w:szCs w:val="24"/>
          <w:highlight w:val="none"/>
          <w:lang w:val="en-US" w:eastAsia="zh-CN"/>
        </w:rPr>
        <w:t>ZCB-YN-202</w:t>
      </w:r>
      <w:r>
        <w:rPr>
          <w:rFonts w:hint="eastAsia" w:ascii="宋体" w:hAnsi="宋体" w:cs="宋体"/>
          <w:color w:val="auto"/>
          <w:sz w:val="24"/>
          <w:szCs w:val="24"/>
          <w:highlight w:val="none"/>
          <w:lang w:val="en-US" w:eastAsia="zh-CN"/>
        </w:rPr>
        <w:t>5009</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结果，按照《中华人民共和国政府采购法》《中华人民共和国民法典》的规定，经双方协商， 本着平等互利和诚实信用的原则，一致同意签订本合同如下。</w:t>
      </w:r>
    </w:p>
    <w:p>
      <w:pPr>
        <w:keepNext w:val="0"/>
        <w:keepLines w:val="0"/>
        <w:pageBreakBefore w:val="0"/>
        <w:widowControl w:val="0"/>
        <w:numPr>
          <w:ilvl w:val="0"/>
          <w:numId w:val="2"/>
        </w:numPr>
        <w:kinsoku/>
        <w:overflowPunct/>
        <w:topLinePunct w:val="0"/>
        <w:bidi w:val="0"/>
        <w:spacing w:line="360" w:lineRule="auto"/>
        <w:ind w:firstLine="243" w:firstLineChars="1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合同标的</w:t>
      </w:r>
    </w:p>
    <w:p>
      <w:pPr>
        <w:pStyle w:val="15"/>
        <w:numPr>
          <w:ilvl w:val="0"/>
          <w:numId w:val="0"/>
        </w:numPr>
        <w:rPr>
          <w:rFonts w:hint="eastAsia"/>
          <w:color w:val="auto"/>
          <w:highlight w:val="none"/>
          <w:lang w:val="en-US" w:eastAsia="zh-CN"/>
        </w:rPr>
      </w:pPr>
    </w:p>
    <w:p>
      <w:pPr>
        <w:keepNext w:val="0"/>
        <w:keepLines w:val="0"/>
        <w:pageBreakBefore w:val="0"/>
        <w:widowControl w:val="0"/>
        <w:numPr>
          <w:ilvl w:val="0"/>
          <w:numId w:val="2"/>
        </w:numPr>
        <w:kinsoku/>
        <w:overflowPunct/>
        <w:topLinePunct w:val="0"/>
        <w:bidi w:val="0"/>
        <w:spacing w:line="360" w:lineRule="auto"/>
        <w:ind w:left="0" w:leftChars="0" w:firstLine="243" w:firstLineChars="1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合同金额</w:t>
      </w:r>
    </w:p>
    <w:p>
      <w:pPr>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hint="eastAsia" w:hAnsi="宋体" w:cs="宋体"/>
          <w:color w:val="auto"/>
          <w:kern w:val="0"/>
          <w:sz w:val="24"/>
          <w:szCs w:val="24"/>
          <w:highlight w:val="none"/>
          <w:lang w:eastAsia="zh-CN"/>
        </w:rPr>
      </w:pPr>
      <w:r>
        <w:rPr>
          <w:rFonts w:hint="eastAsia" w:hAnsi="宋体"/>
          <w:color w:val="auto"/>
          <w:sz w:val="24"/>
          <w:szCs w:val="24"/>
          <w:highlight w:val="none"/>
        </w:rPr>
        <w:t>合同金额为：（大写）</w:t>
      </w:r>
      <w:r>
        <w:rPr>
          <w:rFonts w:hint="eastAsia" w:ascii="宋体" w:hAnsi="宋体" w:cs="宋体"/>
          <w:i w:val="0"/>
          <w:color w:val="auto"/>
          <w:kern w:val="0"/>
          <w:sz w:val="24"/>
          <w:szCs w:val="24"/>
          <w:highlight w:val="none"/>
          <w:u w:val="none"/>
          <w:lang w:val="en-US" w:eastAsia="zh-CN" w:bidi="ar"/>
        </w:rPr>
        <w:t>人民币</w:t>
      </w:r>
      <w:r>
        <w:rPr>
          <w:rFonts w:hint="eastAsia" w:ascii="宋体" w:hAnsi="宋体" w:cs="宋体"/>
          <w:i w:val="0"/>
          <w:color w:val="auto"/>
          <w:kern w:val="0"/>
          <w:sz w:val="24"/>
          <w:szCs w:val="24"/>
          <w:highlight w:val="none"/>
          <w:u w:val="single"/>
          <w:lang w:val="en-US" w:eastAsia="zh-CN" w:bidi="ar"/>
        </w:rPr>
        <w:t xml:space="preserve">                 整 </w:t>
      </w:r>
      <w:r>
        <w:rPr>
          <w:rFonts w:hint="eastAsia" w:ascii="宋体" w:hAnsi="宋体" w:cs="宋体"/>
          <w:i w:val="0"/>
          <w:color w:val="auto"/>
          <w:kern w:val="0"/>
          <w:sz w:val="24"/>
          <w:szCs w:val="24"/>
          <w:highlight w:val="none"/>
          <w:u w:val="none"/>
          <w:lang w:val="en-US" w:eastAsia="zh-CN" w:bidi="ar"/>
        </w:rPr>
        <w:t>，¥</w:t>
      </w:r>
      <w:r>
        <w:rPr>
          <w:rFonts w:hint="eastAsia" w:ascii="宋体" w:hAnsi="宋体" w:cs="宋体"/>
          <w:i w:val="0"/>
          <w:color w:val="auto"/>
          <w:kern w:val="0"/>
          <w:sz w:val="24"/>
          <w:szCs w:val="24"/>
          <w:highlight w:val="none"/>
          <w:u w:val="single"/>
          <w:lang w:val="en-US" w:eastAsia="zh-CN" w:bidi="ar"/>
        </w:rPr>
        <w:t xml:space="preserve"> </w:t>
      </w:r>
      <w:r>
        <w:rPr>
          <w:rFonts w:hint="eastAsia" w:ascii="宋体" w:hAnsi="宋体" w:cs="宋体"/>
          <w:color w:val="auto"/>
          <w:kern w:val="0"/>
          <w:sz w:val="24"/>
          <w:szCs w:val="24"/>
          <w:highlight w:val="none"/>
          <w:u w:val="single"/>
          <w:lang w:val="en-US" w:eastAsia="zh-CN" w:bidi="zh-CN"/>
        </w:rPr>
        <w:t>.00</w:t>
      </w:r>
      <w:r>
        <w:rPr>
          <w:rFonts w:hint="eastAsia" w:ascii="宋体" w:hAnsi="宋体" w:cs="宋体"/>
          <w:color w:val="auto"/>
          <w:kern w:val="0"/>
          <w:sz w:val="24"/>
          <w:szCs w:val="24"/>
          <w:highlight w:val="none"/>
        </w:rPr>
        <w:t>元</w:t>
      </w:r>
      <w:r>
        <w:rPr>
          <w:rFonts w:hint="eastAsia" w:hAnsi="宋体" w:cs="宋体"/>
          <w:color w:val="auto"/>
          <w:kern w:val="0"/>
          <w:sz w:val="24"/>
          <w:szCs w:val="24"/>
          <w:highlight w:val="none"/>
          <w:lang w:eastAsia="zh-CN"/>
        </w:rPr>
        <w:t>。</w:t>
      </w:r>
    </w:p>
    <w:p>
      <w:pPr>
        <w:pStyle w:val="15"/>
        <w:numPr>
          <w:ilvl w:val="0"/>
          <w:numId w:val="0"/>
        </w:numPr>
        <w:ind w:leftChars="100"/>
        <w:rPr>
          <w:rFonts w:hint="eastAsia"/>
          <w:color w:val="auto"/>
          <w:highlight w:val="none"/>
          <w:lang w:val="en-US" w:eastAsia="zh-CN"/>
        </w:rPr>
      </w:pPr>
    </w:p>
    <w:p>
      <w:pPr>
        <w:keepNext w:val="0"/>
        <w:keepLines w:val="0"/>
        <w:pageBreakBefore w:val="0"/>
        <w:widowControl w:val="0"/>
        <w:kinsoku/>
        <w:overflowPunct/>
        <w:topLinePunct w:val="0"/>
        <w:bidi w:val="0"/>
        <w:spacing w:line="360" w:lineRule="auto"/>
        <w:ind w:firstLine="243" w:firstLineChars="1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三、付款方式</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6"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1.分期付款</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6"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（1）甲方在合同签订后15个工作日内完成预付款支付，预付款比例为合同金额的30%，乙方开具相应金额发票。</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6"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（2）项目整体完成并验收合格后15个工作日内支付合同金额的70%。乙方开具相应金额发票。</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6"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2.支付方式采用银行转账支付，乙方必须向甲方出具合法有效完整的完税发票及凭证进行支付结算。</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6"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3.该合同款项（部分）由财政拨付，如非因甲方原因，而是因财政资金没有及时拨付到位而导致延期支付的，乙方对此予以谅解，不予追究甲方任何违约责任。</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6"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乙</w:t>
      </w:r>
      <w:r>
        <w:rPr>
          <w:rFonts w:hint="eastAsia" w:ascii="宋体" w:hAnsi="宋体" w:eastAsia="宋体" w:cs="宋体"/>
          <w:color w:val="auto"/>
          <w:sz w:val="24"/>
          <w:szCs w:val="24"/>
          <w:highlight w:val="none"/>
          <w:lang w:val="en-US" w:eastAsia="zh-CN"/>
        </w:rPr>
        <w:t>方账户信息如下：</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6"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开户行：</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6"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账户名称：                            </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6"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银行账户：</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6"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税号：  </w:t>
      </w:r>
    </w:p>
    <w:p>
      <w:pPr>
        <w:pStyle w:val="15"/>
        <w:numPr>
          <w:ilvl w:val="0"/>
          <w:numId w:val="0"/>
        </w:numPr>
        <w:ind w:leftChars="1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四、服务</w:t>
      </w:r>
      <w:r>
        <w:rPr>
          <w:rFonts w:hint="eastAsia" w:ascii="宋体" w:hAnsi="宋体" w:cs="宋体"/>
          <w:b/>
          <w:bCs/>
          <w:color w:val="auto"/>
          <w:sz w:val="24"/>
          <w:szCs w:val="24"/>
          <w:highlight w:val="none"/>
          <w:lang w:val="en-US" w:eastAsia="zh-CN"/>
        </w:rPr>
        <w:t>期限</w:t>
      </w:r>
      <w:r>
        <w:rPr>
          <w:rFonts w:hint="eastAsia" w:ascii="宋体" w:hAnsi="宋体" w:eastAsia="宋体" w:cs="宋体"/>
          <w:b/>
          <w:bCs/>
          <w:color w:val="auto"/>
          <w:sz w:val="24"/>
          <w:szCs w:val="24"/>
          <w:highlight w:val="none"/>
          <w:lang w:val="en-US" w:eastAsia="zh-CN"/>
        </w:rPr>
        <w:t>与地点</w:t>
      </w:r>
    </w:p>
    <w:p>
      <w:pPr>
        <w:pStyle w:val="15"/>
        <w:keepNext w:val="0"/>
        <w:keepLines w:val="0"/>
        <w:pageBreakBefore w:val="0"/>
        <w:widowControl/>
        <w:numPr>
          <w:ilvl w:val="0"/>
          <w:numId w:val="0"/>
        </w:numPr>
        <w:kinsoku/>
        <w:wordWrap/>
        <w:overflowPunct/>
        <w:topLinePunct w:val="0"/>
        <w:autoSpaceDE/>
        <w:autoSpaceDN/>
        <w:bidi w:val="0"/>
        <w:adjustRightInd/>
        <w:snapToGrid/>
        <w:spacing w:line="360" w:lineRule="auto"/>
        <w:ind w:leftChars="100" w:firstLine="243" w:firstLineChars="10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p>
      <w:pPr>
        <w:pStyle w:val="15"/>
        <w:numPr>
          <w:ilvl w:val="0"/>
          <w:numId w:val="0"/>
        </w:numPr>
        <w:ind w:leftChars="1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五、服务要求</w:t>
      </w:r>
    </w:p>
    <w:p>
      <w:pPr>
        <w:pStyle w:val="15"/>
        <w:keepNext w:val="0"/>
        <w:keepLines w:val="0"/>
        <w:pageBreakBefore w:val="0"/>
        <w:widowControl/>
        <w:numPr>
          <w:ilvl w:val="0"/>
          <w:numId w:val="0"/>
        </w:numPr>
        <w:kinsoku/>
        <w:wordWrap/>
        <w:overflowPunct/>
        <w:topLinePunct w:val="0"/>
        <w:autoSpaceDE/>
        <w:autoSpaceDN/>
        <w:bidi w:val="0"/>
        <w:adjustRightInd/>
        <w:snapToGrid/>
        <w:spacing w:line="360" w:lineRule="auto"/>
        <w:ind w:leftChars="100" w:firstLine="243" w:firstLineChars="1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p>
      <w:pPr>
        <w:keepNext w:val="0"/>
        <w:keepLines w:val="0"/>
        <w:pageBreakBefore w:val="0"/>
        <w:widowControl w:val="0"/>
        <w:numPr>
          <w:ilvl w:val="0"/>
          <w:numId w:val="0"/>
        </w:numPr>
        <w:kinsoku/>
        <w:overflowPunct/>
        <w:topLinePunct w:val="0"/>
        <w:bidi w:val="0"/>
        <w:spacing w:line="360" w:lineRule="auto"/>
        <w:ind w:firstLine="243" w:firstLineChars="10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六、验收</w:t>
      </w:r>
    </w:p>
    <w:p>
      <w:pPr>
        <w:pStyle w:val="15"/>
        <w:keepNext w:val="0"/>
        <w:keepLines w:val="0"/>
        <w:pageBreakBefore w:val="0"/>
        <w:widowControl/>
        <w:numPr>
          <w:ilvl w:val="0"/>
          <w:numId w:val="0"/>
        </w:numPr>
        <w:kinsoku/>
        <w:wordWrap/>
        <w:overflowPunct/>
        <w:topLinePunct w:val="0"/>
        <w:autoSpaceDE/>
        <w:autoSpaceDN/>
        <w:bidi w:val="0"/>
        <w:adjustRightInd/>
        <w:snapToGrid/>
        <w:spacing w:line="360" w:lineRule="auto"/>
        <w:ind w:leftChars="100" w:firstLine="243" w:firstLineChars="100"/>
        <w:textAlignment w:val="auto"/>
        <w:rPr>
          <w:rFonts w:hint="eastAsia"/>
          <w:color w:val="auto"/>
          <w:highlight w:val="none"/>
          <w:lang w:val="en-US" w:eastAsia="zh-CN"/>
        </w:rPr>
      </w:pPr>
      <w:r>
        <w:rPr>
          <w:rFonts w:hint="eastAsia" w:ascii="宋体" w:hAnsi="宋体" w:cs="宋体"/>
          <w:color w:val="auto"/>
          <w:sz w:val="24"/>
          <w:szCs w:val="24"/>
          <w:highlight w:val="none"/>
          <w:lang w:val="en-US" w:eastAsia="zh-CN"/>
        </w:rPr>
        <w:t>......</w:t>
      </w:r>
    </w:p>
    <w:p>
      <w:pPr>
        <w:keepNext w:val="0"/>
        <w:keepLines w:val="0"/>
        <w:pageBreakBefore w:val="0"/>
        <w:widowControl w:val="0"/>
        <w:numPr>
          <w:ilvl w:val="0"/>
          <w:numId w:val="0"/>
        </w:numPr>
        <w:kinsoku/>
        <w:overflowPunct/>
        <w:topLinePunct w:val="0"/>
        <w:bidi w:val="0"/>
        <w:spacing w:line="360" w:lineRule="auto"/>
        <w:ind w:firstLine="243" w:firstLineChars="10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七、售后服务</w:t>
      </w:r>
    </w:p>
    <w:p>
      <w:pPr>
        <w:pStyle w:val="15"/>
        <w:keepNext w:val="0"/>
        <w:keepLines w:val="0"/>
        <w:pageBreakBefore w:val="0"/>
        <w:widowControl/>
        <w:numPr>
          <w:ilvl w:val="0"/>
          <w:numId w:val="0"/>
        </w:numPr>
        <w:kinsoku/>
        <w:wordWrap/>
        <w:overflowPunct/>
        <w:topLinePunct w:val="0"/>
        <w:autoSpaceDE/>
        <w:autoSpaceDN/>
        <w:bidi w:val="0"/>
        <w:adjustRightInd/>
        <w:snapToGrid/>
        <w:spacing w:line="360" w:lineRule="auto"/>
        <w:ind w:leftChars="100" w:firstLine="243" w:firstLineChars="1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w:t>
      </w:r>
    </w:p>
    <w:p>
      <w:pPr>
        <w:keepNext w:val="0"/>
        <w:keepLines w:val="0"/>
        <w:pageBreakBefore w:val="0"/>
        <w:widowControl w:val="0"/>
        <w:numPr>
          <w:ilvl w:val="0"/>
          <w:numId w:val="0"/>
        </w:numPr>
        <w:kinsoku/>
        <w:overflowPunct/>
        <w:topLinePunct w:val="0"/>
        <w:bidi w:val="0"/>
        <w:spacing w:line="360" w:lineRule="auto"/>
        <w:ind w:firstLine="243" w:firstLineChars="100"/>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lang w:val="en-US" w:eastAsia="zh-CN"/>
        </w:rPr>
        <w:t>违约责任</w:t>
      </w:r>
    </w:p>
    <w:p>
      <w:pPr>
        <w:keepNext w:val="0"/>
        <w:keepLines w:val="0"/>
        <w:pageBreakBefore w:val="0"/>
        <w:widowControl w:val="0"/>
        <w:kinsoku/>
        <w:overflowPunct/>
        <w:topLinePunct w:val="0"/>
        <w:bidi w:val="0"/>
        <w:spacing w:line="360" w:lineRule="auto"/>
        <w:ind w:firstLine="486"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.乙方提供的服务不符合采购文件、报价文件或本合同规定的，甲方有权拒收，并且乙方须向甲方支付应付款的5%的违约金。</w:t>
      </w:r>
    </w:p>
    <w:p>
      <w:pPr>
        <w:keepNext w:val="0"/>
        <w:keepLines w:val="0"/>
        <w:pageBreakBefore w:val="0"/>
        <w:widowControl w:val="0"/>
        <w:kinsoku/>
        <w:overflowPunct/>
        <w:topLinePunct w:val="0"/>
        <w:bidi w:val="0"/>
        <w:spacing w:line="360" w:lineRule="auto"/>
        <w:ind w:firstLine="486"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.乙方未能按本合同规定时间提供服务的，从逾期之日起每日按应付款的万分之五的数额向甲方支付违约金；逾期半个月以上的，甲方有权终止合同，由此造成的甲方经济损失由乙方承担。</w:t>
      </w:r>
    </w:p>
    <w:p>
      <w:pPr>
        <w:keepNext w:val="0"/>
        <w:keepLines w:val="0"/>
        <w:pageBreakBefore w:val="0"/>
        <w:widowControl w:val="0"/>
        <w:kinsoku/>
        <w:overflowPunct/>
        <w:topLinePunct w:val="0"/>
        <w:bidi w:val="0"/>
        <w:spacing w:line="360" w:lineRule="auto"/>
        <w:ind w:firstLine="486"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.甲方无正当理由拒绝接受服务，到期拒付服务款项的，甲方向乙方支付拒付款项5%的违约金。甲方逾期付款，则每日按应付款项的万分之五向乙方支付违约金。</w:t>
      </w:r>
    </w:p>
    <w:p>
      <w:pPr>
        <w:keepNext w:val="0"/>
        <w:keepLines w:val="0"/>
        <w:pageBreakBefore w:val="0"/>
        <w:widowControl w:val="0"/>
        <w:kinsoku/>
        <w:overflowPunct/>
        <w:topLinePunct w:val="0"/>
        <w:bidi w:val="0"/>
        <w:spacing w:line="360" w:lineRule="auto"/>
        <w:ind w:firstLine="486"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.其它违约责任按《中华人民共和国民法典》处理。</w:t>
      </w:r>
    </w:p>
    <w:p>
      <w:pPr>
        <w:keepNext w:val="0"/>
        <w:keepLines w:val="0"/>
        <w:pageBreakBefore w:val="0"/>
        <w:widowControl w:val="0"/>
        <w:kinsoku/>
        <w:overflowPunct/>
        <w:topLinePunct w:val="0"/>
        <w:bidi w:val="0"/>
        <w:spacing w:line="360" w:lineRule="auto"/>
        <w:ind w:firstLine="243" w:firstLineChars="100"/>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lang w:val="en-US" w:eastAsia="zh-CN"/>
        </w:rPr>
        <w:t>、争议的解决</w:t>
      </w:r>
    </w:p>
    <w:p>
      <w:pPr>
        <w:keepNext w:val="0"/>
        <w:keepLines w:val="0"/>
        <w:pageBreakBefore w:val="0"/>
        <w:widowControl w:val="0"/>
        <w:kinsoku/>
        <w:overflowPunct/>
        <w:topLinePunct w:val="0"/>
        <w:bidi w:val="0"/>
        <w:spacing w:line="360" w:lineRule="auto"/>
        <w:ind w:firstLine="486"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因履行本合同引起的或者与本合同有关的争议，甲乙双方应当通过友好协商方式解决； 如协商不能解决的，双方均可向惠州市惠城区人民法院提起诉讼。 </w:t>
      </w:r>
    </w:p>
    <w:p>
      <w:pPr>
        <w:keepNext w:val="0"/>
        <w:keepLines w:val="0"/>
        <w:pageBreakBefore w:val="0"/>
        <w:widowControl w:val="0"/>
        <w:numPr>
          <w:ilvl w:val="0"/>
          <w:numId w:val="0"/>
        </w:numPr>
        <w:kinsoku/>
        <w:overflowPunct/>
        <w:topLinePunct w:val="0"/>
        <w:bidi w:val="0"/>
        <w:spacing w:line="360" w:lineRule="auto"/>
        <w:ind w:left="240" w:leftChars="0"/>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十、</w:t>
      </w:r>
      <w:r>
        <w:rPr>
          <w:rFonts w:hint="eastAsia" w:ascii="宋体" w:hAnsi="宋体" w:eastAsia="宋体" w:cs="宋体"/>
          <w:b/>
          <w:bCs/>
          <w:color w:val="auto"/>
          <w:sz w:val="24"/>
          <w:szCs w:val="24"/>
          <w:highlight w:val="none"/>
          <w:lang w:val="en-US" w:eastAsia="zh-CN"/>
        </w:rPr>
        <w:t>不可抗力</w:t>
      </w:r>
    </w:p>
    <w:p>
      <w:pPr>
        <w:keepNext w:val="0"/>
        <w:keepLines w:val="0"/>
        <w:pageBreakBefore w:val="0"/>
        <w:widowControl w:val="0"/>
        <w:numPr>
          <w:ilvl w:val="0"/>
          <w:numId w:val="0"/>
        </w:numPr>
        <w:kinsoku/>
        <w:overflowPunct/>
        <w:topLinePunct w:val="0"/>
        <w:bidi w:val="0"/>
        <w:spacing w:line="360" w:lineRule="auto"/>
        <w:ind w:firstLine="243" w:firstLineChars="1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任何一方由于不可抗力原因不能履行合同时，应在不可抗力事件结束后 1 日内向对方通 报，以减轻可能给对方造成的损失，在取得有关机构的不可抗力证明或双方谅解确认后，允许延期履行或修订合同，并根据情况可部分或全部免于承担违约责任。 </w:t>
      </w:r>
    </w:p>
    <w:p>
      <w:pPr>
        <w:keepNext w:val="0"/>
        <w:keepLines w:val="0"/>
        <w:pageBreakBefore w:val="0"/>
        <w:widowControl w:val="0"/>
        <w:numPr>
          <w:ilvl w:val="0"/>
          <w:numId w:val="0"/>
        </w:numPr>
        <w:kinsoku/>
        <w:overflowPunct/>
        <w:topLinePunct w:val="0"/>
        <w:bidi w:val="0"/>
        <w:spacing w:line="360" w:lineRule="auto"/>
        <w:ind w:firstLine="243" w:firstLineChars="1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w:t>
      </w:r>
      <w:r>
        <w:rPr>
          <w:rFonts w:hint="eastAsia" w:ascii="宋体" w:hAnsi="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val="en-US" w:eastAsia="zh-CN"/>
        </w:rPr>
        <w:t>、税费</w:t>
      </w:r>
      <w:r>
        <w:rPr>
          <w:rFonts w:hint="eastAsia" w:ascii="宋体" w:hAnsi="宋体" w:eastAsia="宋体" w:cs="宋体"/>
          <w:b w:val="0"/>
          <w:bCs w:val="0"/>
          <w:color w:val="auto"/>
          <w:sz w:val="24"/>
          <w:szCs w:val="24"/>
          <w:highlight w:val="none"/>
          <w:lang w:val="en-US" w:eastAsia="zh-CN"/>
        </w:rPr>
        <w:t xml:space="preserve"> 在中国境内、外发生的与本合同执行有关的一切税费均由乙方负担。</w:t>
      </w:r>
      <w:r>
        <w:rPr>
          <w:rFonts w:hint="eastAsia" w:ascii="宋体" w:hAnsi="宋体" w:eastAsia="宋体" w:cs="宋体"/>
          <w:b/>
          <w:bCs/>
          <w:color w:val="auto"/>
          <w:sz w:val="24"/>
          <w:szCs w:val="24"/>
          <w:highlight w:val="none"/>
          <w:lang w:val="en-US" w:eastAsia="zh-CN"/>
        </w:rPr>
        <w:t xml:space="preserve"> </w:t>
      </w:r>
    </w:p>
    <w:p>
      <w:pPr>
        <w:keepNext w:val="0"/>
        <w:keepLines w:val="0"/>
        <w:pageBreakBefore w:val="0"/>
        <w:widowControl w:val="0"/>
        <w:numPr>
          <w:ilvl w:val="0"/>
          <w:numId w:val="0"/>
        </w:numPr>
        <w:kinsoku/>
        <w:overflowPunct/>
        <w:topLinePunct w:val="0"/>
        <w:bidi w:val="0"/>
        <w:spacing w:line="360" w:lineRule="auto"/>
        <w:ind w:firstLine="243" w:firstLineChars="1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w:t>
      </w: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val="en-US" w:eastAsia="zh-CN"/>
        </w:rPr>
        <w:t>、其它</w:t>
      </w:r>
    </w:p>
    <w:p>
      <w:pPr>
        <w:keepNext w:val="0"/>
        <w:keepLines w:val="0"/>
        <w:pageBreakBefore w:val="0"/>
        <w:widowControl w:val="0"/>
        <w:kinsoku/>
        <w:overflowPunct/>
        <w:topLinePunct w:val="0"/>
        <w:bidi w:val="0"/>
        <w:spacing w:line="360" w:lineRule="auto"/>
        <w:ind w:firstLine="486"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1.本合同所有附件、采购文件、响应文件、</w:t>
      </w:r>
      <w:r>
        <w:rPr>
          <w:rFonts w:hint="eastAsia" w:ascii="宋体" w:hAnsi="宋体" w:cs="宋体"/>
          <w:b w:val="0"/>
          <w:bCs w:val="0"/>
          <w:color w:val="auto"/>
          <w:sz w:val="24"/>
          <w:szCs w:val="24"/>
          <w:highlight w:val="none"/>
          <w:lang w:val="en-US" w:eastAsia="zh-CN"/>
        </w:rPr>
        <w:t>成交</w:t>
      </w:r>
      <w:r>
        <w:rPr>
          <w:rFonts w:hint="eastAsia" w:ascii="宋体" w:hAnsi="宋体" w:eastAsia="宋体" w:cs="宋体"/>
          <w:b w:val="0"/>
          <w:bCs w:val="0"/>
          <w:color w:val="auto"/>
          <w:sz w:val="24"/>
          <w:szCs w:val="24"/>
          <w:highlight w:val="none"/>
          <w:lang w:val="en-US" w:eastAsia="zh-CN"/>
        </w:rPr>
        <w:t xml:space="preserve">通知书均为合同的有效组成部分，与本合同具有同等法律效力。 </w:t>
      </w:r>
    </w:p>
    <w:p>
      <w:pPr>
        <w:keepNext w:val="0"/>
        <w:keepLines w:val="0"/>
        <w:pageBreakBefore w:val="0"/>
        <w:widowControl w:val="0"/>
        <w:kinsoku/>
        <w:overflowPunct/>
        <w:topLinePunct w:val="0"/>
        <w:bidi w:val="0"/>
        <w:spacing w:line="360" w:lineRule="auto"/>
        <w:ind w:firstLine="486"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2.在执行本合同的过程中，所有经双方签署确认的文件（包括会议纪要、补充协议、往来信函）即成为本合同的有效组成部分。 </w:t>
      </w:r>
    </w:p>
    <w:p>
      <w:pPr>
        <w:keepNext w:val="0"/>
        <w:keepLines w:val="0"/>
        <w:pageBreakBefore w:val="0"/>
        <w:widowControl w:val="0"/>
        <w:kinsoku/>
        <w:overflowPunct/>
        <w:topLinePunct w:val="0"/>
        <w:bidi w:val="0"/>
        <w:spacing w:line="360" w:lineRule="auto"/>
        <w:ind w:firstLine="486"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3.如一方地址、电话、传真号码有变更，应在变更当日内书面通知对方，否则，应承担相应责任。 </w:t>
      </w:r>
    </w:p>
    <w:p>
      <w:pPr>
        <w:keepNext w:val="0"/>
        <w:keepLines w:val="0"/>
        <w:pageBreakBefore w:val="0"/>
        <w:widowControl w:val="0"/>
        <w:kinsoku/>
        <w:overflowPunct/>
        <w:topLinePunct w:val="0"/>
        <w:bidi w:val="0"/>
        <w:spacing w:line="360" w:lineRule="auto"/>
        <w:ind w:firstLine="486"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4.除甲方事先书面同意外，乙方不得部分或全部转让其应履行的合同项下的义务。</w:t>
      </w:r>
    </w:p>
    <w:p>
      <w:pPr>
        <w:keepNext w:val="0"/>
        <w:keepLines w:val="0"/>
        <w:pageBreakBefore w:val="0"/>
        <w:widowControl w:val="0"/>
        <w:kinsoku/>
        <w:overflowPunct/>
        <w:topLinePunct w:val="0"/>
        <w:bidi w:val="0"/>
        <w:spacing w:line="360" w:lineRule="auto"/>
        <w:ind w:firstLine="486"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5.本合同所称日期月、日，如无特指，均指自然月、自然日。</w:t>
      </w:r>
    </w:p>
    <w:p>
      <w:pPr>
        <w:keepNext w:val="0"/>
        <w:keepLines w:val="0"/>
        <w:pageBreakBefore w:val="0"/>
        <w:widowControl w:val="0"/>
        <w:kinsoku/>
        <w:overflowPunct/>
        <w:topLinePunct w:val="0"/>
        <w:bidi w:val="0"/>
        <w:spacing w:line="360" w:lineRule="auto"/>
        <w:ind w:firstLine="243" w:firstLineChars="1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 十</w:t>
      </w: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en-US" w:eastAsia="zh-CN"/>
        </w:rPr>
        <w:t>、合同生效</w:t>
      </w:r>
      <w:r>
        <w:rPr>
          <w:rFonts w:hint="eastAsia" w:ascii="宋体" w:hAnsi="宋体" w:eastAsia="宋体" w:cs="宋体"/>
          <w:b w:val="0"/>
          <w:bCs w:val="0"/>
          <w:color w:val="auto"/>
          <w:sz w:val="24"/>
          <w:szCs w:val="24"/>
          <w:highlight w:val="none"/>
          <w:lang w:val="en-US" w:eastAsia="zh-CN"/>
        </w:rPr>
        <w:t xml:space="preserve"> </w:t>
      </w:r>
    </w:p>
    <w:p>
      <w:pPr>
        <w:keepNext w:val="0"/>
        <w:keepLines w:val="0"/>
        <w:pageBreakBefore w:val="0"/>
        <w:widowControl w:val="0"/>
        <w:kinsoku/>
        <w:overflowPunct/>
        <w:topLinePunct w:val="0"/>
        <w:bidi w:val="0"/>
        <w:spacing w:line="360" w:lineRule="auto"/>
        <w:ind w:firstLine="486"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1.本合同在甲乙双方法人代表或其授权代表签字并盖章后生效。 </w:t>
      </w:r>
    </w:p>
    <w:p>
      <w:pPr>
        <w:keepNext w:val="0"/>
        <w:keepLines w:val="0"/>
        <w:pageBreakBefore w:val="0"/>
        <w:widowControl w:val="0"/>
        <w:kinsoku/>
        <w:overflowPunct/>
        <w:topLinePunct w:val="0"/>
        <w:bidi w:val="0"/>
        <w:spacing w:line="360" w:lineRule="auto"/>
        <w:ind w:firstLine="486"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2.一式伍份，甲方持肆份，乙方持壹份。</w:t>
      </w:r>
    </w:p>
    <w:p>
      <w:pPr>
        <w:pStyle w:val="8"/>
        <w:adjustRightInd w:val="0"/>
        <w:snapToGrid w:val="0"/>
        <w:spacing w:line="440" w:lineRule="exact"/>
        <w:jc w:val="both"/>
        <w:rPr>
          <w:rFonts w:hint="eastAsia" w:ascii="仿宋" w:hAnsi="仿宋" w:eastAsia="仿宋" w:cs="仿宋"/>
          <w:b/>
          <w:color w:val="auto"/>
          <w:kern w:val="0"/>
          <w:sz w:val="28"/>
          <w:szCs w:val="28"/>
          <w:highlight w:val="none"/>
        </w:rPr>
      </w:pPr>
    </w:p>
    <w:p>
      <w:pPr>
        <w:keepNext w:val="0"/>
        <w:keepLines w:val="0"/>
        <w:pageBreakBefore w:val="0"/>
        <w:widowControl w:val="0"/>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甲方：惠州市</w:t>
      </w:r>
      <w:r>
        <w:rPr>
          <w:rFonts w:hint="eastAsia" w:ascii="宋体" w:hAnsi="宋体" w:eastAsia="宋体" w:cs="宋体"/>
          <w:color w:val="auto"/>
          <w:sz w:val="24"/>
          <w:szCs w:val="24"/>
          <w:highlight w:val="none"/>
          <w:lang w:eastAsia="zh-CN"/>
        </w:rPr>
        <w:t>第一妇幼保健院</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乙方：</w:t>
      </w:r>
    </w:p>
    <w:p>
      <w:pPr>
        <w:keepNext w:val="0"/>
        <w:keepLines w:val="0"/>
        <w:pageBreakBefore w:val="0"/>
        <w:widowControl w:val="0"/>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授权</w:t>
      </w:r>
      <w:r>
        <w:rPr>
          <w:rFonts w:hint="eastAsia" w:ascii="宋体" w:hAnsi="宋体" w:eastAsia="宋体" w:cs="宋体"/>
          <w:color w:val="auto"/>
          <w:sz w:val="24"/>
          <w:szCs w:val="24"/>
          <w:highlight w:val="none"/>
        </w:rPr>
        <w:t xml:space="preserve">代表：                             </w:t>
      </w:r>
      <w:r>
        <w:rPr>
          <w:rFonts w:hint="eastAsia" w:ascii="宋体" w:hAnsi="宋体" w:eastAsia="宋体" w:cs="宋体"/>
          <w:color w:val="auto"/>
          <w:sz w:val="24"/>
          <w:szCs w:val="24"/>
          <w:highlight w:val="none"/>
          <w:lang w:val="en-US" w:eastAsia="zh-CN"/>
        </w:rPr>
        <w:t>授权</w:t>
      </w:r>
      <w:r>
        <w:rPr>
          <w:rFonts w:hint="eastAsia" w:ascii="宋体" w:hAnsi="宋体" w:eastAsia="宋体" w:cs="宋体"/>
          <w:color w:val="auto"/>
          <w:sz w:val="24"/>
          <w:szCs w:val="24"/>
          <w:highlight w:val="none"/>
        </w:rPr>
        <w:t>代表：</w:t>
      </w:r>
    </w:p>
    <w:p>
      <w:pPr>
        <w:spacing w:line="360" w:lineRule="auto"/>
        <w:ind w:left="5520" w:hanging="5589" w:hangingChars="2300"/>
        <w:jc w:val="both"/>
        <w:rPr>
          <w:rFonts w:hint="eastAsia" w:ascii="宋体" w:hAnsi="宋体" w:eastAsia="宋体" w:cs="宋体"/>
          <w:color w:val="auto"/>
          <w:sz w:val="24"/>
          <w:szCs w:val="24"/>
          <w:highlight w:val="none"/>
        </w:rPr>
      </w:pPr>
    </w:p>
    <w:p>
      <w:pPr>
        <w:spacing w:line="360" w:lineRule="auto"/>
        <w:ind w:left="5520" w:hanging="5589" w:hangingChars="23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广东省惠州市演达四路</w:t>
      </w:r>
      <w:r>
        <w:rPr>
          <w:rFonts w:hint="eastAsia" w:ascii="宋体" w:hAnsi="宋体" w:eastAsia="宋体" w:cs="宋体"/>
          <w:color w:val="auto"/>
          <w:sz w:val="24"/>
          <w:szCs w:val="24"/>
          <w:highlight w:val="none"/>
          <w:lang w:val="en-US" w:eastAsia="zh-CN"/>
        </w:rPr>
        <w:t>5号</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地址：</w:t>
      </w:r>
    </w:p>
    <w:p>
      <w:pPr>
        <w:keepNext w:val="0"/>
        <w:keepLines w:val="0"/>
        <w:pageBreakBefore w:val="0"/>
        <w:widowControl w:val="0"/>
        <w:kinsoku/>
        <w:overflowPunct/>
        <w:topLinePunct w:val="0"/>
        <w:bidi w:val="0"/>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电话：           </w:t>
      </w:r>
      <w:r>
        <w:rPr>
          <w:rFonts w:hint="eastAsia" w:ascii="宋体" w:hAnsi="宋体" w:eastAsia="宋体" w:cs="宋体"/>
          <w:color w:val="auto"/>
          <w:sz w:val="24"/>
          <w:szCs w:val="24"/>
          <w:highlight w:val="none"/>
          <w:lang w:eastAsia="zh-CN"/>
        </w:rPr>
        <w:t>　</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电话：</w:t>
      </w:r>
    </w:p>
    <w:p>
      <w:pPr>
        <w:keepNext w:val="0"/>
        <w:keepLines w:val="0"/>
        <w:pageBreakBefore w:val="0"/>
        <w:widowControl w:val="0"/>
        <w:kinsoku/>
        <w:overflowPunct/>
        <w:topLinePunct w:val="0"/>
        <w:bidi w:val="0"/>
        <w:spacing w:line="360" w:lineRule="auto"/>
        <w:textAlignment w:val="auto"/>
        <w:rPr>
          <w:rFonts w:hint="eastAsia" w:ascii="宋体" w:hAnsi="宋体" w:eastAsia="宋体" w:cs="宋体"/>
          <w:color w:val="auto"/>
          <w:sz w:val="24"/>
          <w:szCs w:val="24"/>
          <w:highlight w:val="none"/>
        </w:rPr>
      </w:pPr>
    </w:p>
    <w:p>
      <w:pPr>
        <w:pStyle w:val="8"/>
        <w:adjustRightInd w:val="0"/>
        <w:snapToGrid w:val="0"/>
        <w:spacing w:line="440" w:lineRule="exact"/>
        <w:jc w:val="center"/>
        <w:rPr>
          <w:rFonts w:hint="eastAsia" w:ascii="仿宋" w:hAnsi="仿宋" w:eastAsia="仿宋" w:cs="仿宋"/>
          <w:b/>
          <w:color w:val="auto"/>
          <w:kern w:val="0"/>
          <w:sz w:val="28"/>
          <w:szCs w:val="28"/>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                 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    日</w:t>
      </w:r>
      <w:r>
        <w:rPr>
          <w:rFonts w:hint="eastAsia" w:ascii="仿宋" w:hAnsi="仿宋" w:eastAsia="仿宋" w:cs="仿宋"/>
          <w:b/>
          <w:color w:val="auto"/>
          <w:kern w:val="0"/>
          <w:sz w:val="28"/>
          <w:szCs w:val="28"/>
          <w:highlight w:val="none"/>
        </w:rPr>
        <w:br w:type="page"/>
      </w:r>
      <w:r>
        <w:rPr>
          <w:rFonts w:hint="eastAsia" w:ascii="仿宋" w:hAnsi="仿宋" w:eastAsia="仿宋" w:cs="仿宋"/>
          <w:b/>
          <w:color w:val="auto"/>
          <w:kern w:val="0"/>
          <w:sz w:val="28"/>
          <w:szCs w:val="28"/>
          <w:highlight w:val="none"/>
        </w:rPr>
        <w:t>第五部分  响应文件格式</w:t>
      </w:r>
    </w:p>
    <w:p>
      <w:pPr>
        <w:pStyle w:val="8"/>
        <w:adjustRightInd w:val="0"/>
        <w:snapToGrid w:val="0"/>
        <w:spacing w:line="440" w:lineRule="exact"/>
        <w:jc w:val="center"/>
        <w:rPr>
          <w:rFonts w:hint="eastAsia" w:ascii="仿宋" w:hAnsi="仿宋" w:eastAsia="仿宋" w:cs="仿宋"/>
          <w:b/>
          <w:color w:val="auto"/>
          <w:kern w:val="0"/>
          <w:sz w:val="28"/>
          <w:szCs w:val="28"/>
          <w:highlight w:val="none"/>
        </w:rPr>
      </w:pPr>
    </w:p>
    <w:p>
      <w:pPr>
        <w:spacing w:line="360" w:lineRule="auto"/>
        <w:ind w:left="-930"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一、供应商应提供有效的公司资质或厂家资质、业务代表授权书、质量保证承诺书等。</w:t>
      </w:r>
    </w:p>
    <w:p>
      <w:pPr>
        <w:spacing w:line="360" w:lineRule="auto"/>
        <w:ind w:left="-930" w:firstLine="480"/>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lang w:val="zh-CN"/>
        </w:rPr>
        <w:t>二、</w:t>
      </w:r>
      <w:r>
        <w:rPr>
          <w:rFonts w:hint="eastAsia" w:ascii="仿宋" w:hAnsi="仿宋" w:eastAsia="仿宋" w:cs="仿宋"/>
          <w:color w:val="auto"/>
          <w:sz w:val="24"/>
          <w:highlight w:val="none"/>
          <w:u w:val="single"/>
          <w:lang w:val="zh-CN"/>
        </w:rPr>
        <w:t>响应文件每页均应认真填写并加盖公章，包括附件，未盖章视为响应无效文件。所有页面必须清晰可分辨阅读，凡是有页面（含复印件）不清晰经专家讨论认为无法分辨的视为响应无效文件。</w:t>
      </w:r>
    </w:p>
    <w:p>
      <w:pPr>
        <w:spacing w:line="360" w:lineRule="auto"/>
        <w:ind w:left="-930" w:firstLine="480"/>
        <w:rPr>
          <w:rFonts w:hint="eastAsia" w:ascii="仿宋" w:hAnsi="仿宋" w:eastAsia="仿宋" w:cs="仿宋"/>
          <w:b/>
          <w:color w:val="auto"/>
          <w:sz w:val="24"/>
          <w:highlight w:val="none"/>
          <w:u w:val="single"/>
        </w:rPr>
      </w:pPr>
      <w:r>
        <w:rPr>
          <w:rFonts w:hint="eastAsia" w:ascii="仿宋" w:hAnsi="仿宋" w:eastAsia="仿宋" w:cs="仿宋"/>
          <w:color w:val="auto"/>
          <w:sz w:val="24"/>
          <w:highlight w:val="none"/>
        </w:rPr>
        <w:t>三、</w:t>
      </w:r>
      <w:r>
        <w:rPr>
          <w:rFonts w:hint="eastAsia" w:ascii="仿宋" w:hAnsi="仿宋" w:eastAsia="仿宋" w:cs="仿宋"/>
          <w:color w:val="auto"/>
          <w:sz w:val="24"/>
          <w:highlight w:val="none"/>
          <w:u w:val="single"/>
        </w:rPr>
        <w:t>响应供应商必须按照以下顺序进行响应书</w:t>
      </w:r>
      <w:r>
        <w:rPr>
          <w:rFonts w:hint="eastAsia" w:ascii="仿宋" w:hAnsi="仿宋" w:eastAsia="仿宋" w:cs="仿宋"/>
          <w:b/>
          <w:bCs/>
          <w:color w:val="auto"/>
          <w:sz w:val="24"/>
          <w:highlight w:val="none"/>
          <w:u w:val="single"/>
        </w:rPr>
        <w:t>编排装订（至少要简单装订成册，不得随意用回形针之类的别住）及盖章密封标记</w:t>
      </w:r>
      <w:r>
        <w:rPr>
          <w:rFonts w:hint="eastAsia" w:ascii="仿宋" w:hAnsi="仿宋" w:eastAsia="仿宋" w:cs="仿宋"/>
          <w:color w:val="auto"/>
          <w:sz w:val="24"/>
          <w:highlight w:val="none"/>
          <w:u w:val="single"/>
        </w:rPr>
        <w:t>，文件袋必须贴封条密封盖章，注明</w:t>
      </w:r>
      <w:r>
        <w:rPr>
          <w:rFonts w:hint="eastAsia" w:ascii="仿宋" w:hAnsi="仿宋" w:eastAsia="仿宋" w:cs="仿宋"/>
          <w:color w:val="auto"/>
          <w:sz w:val="24"/>
          <w:highlight w:val="none"/>
          <w:u w:val="single"/>
          <w:lang w:val="en-US" w:eastAsia="zh-CN"/>
        </w:rPr>
        <w:t>项目名称</w:t>
      </w:r>
      <w:r>
        <w:rPr>
          <w:rFonts w:hint="eastAsia" w:ascii="仿宋" w:hAnsi="仿宋" w:eastAsia="仿宋" w:cs="仿宋"/>
          <w:color w:val="auto"/>
          <w:sz w:val="24"/>
          <w:highlight w:val="none"/>
          <w:u w:val="single"/>
        </w:rPr>
        <w:t>，</w:t>
      </w:r>
      <w:r>
        <w:rPr>
          <w:rFonts w:hint="eastAsia" w:ascii="仿宋" w:hAnsi="仿宋" w:eastAsia="仿宋" w:cs="仿宋"/>
          <w:b/>
          <w:color w:val="auto"/>
          <w:sz w:val="24"/>
          <w:highlight w:val="none"/>
          <w:u w:val="single"/>
        </w:rPr>
        <w:t>一式</w:t>
      </w:r>
      <w:r>
        <w:rPr>
          <w:rFonts w:hint="eastAsia" w:ascii="仿宋" w:hAnsi="仿宋" w:eastAsia="仿宋" w:cs="仿宋"/>
          <w:b/>
          <w:color w:val="auto"/>
          <w:sz w:val="24"/>
          <w:highlight w:val="none"/>
          <w:u w:val="single"/>
          <w:lang w:eastAsia="zh-CN"/>
        </w:rPr>
        <w:t>两</w:t>
      </w:r>
      <w:r>
        <w:rPr>
          <w:rFonts w:hint="eastAsia" w:ascii="仿宋" w:hAnsi="仿宋" w:eastAsia="仿宋" w:cs="仿宋"/>
          <w:b/>
          <w:color w:val="auto"/>
          <w:sz w:val="24"/>
          <w:highlight w:val="none"/>
          <w:u w:val="single"/>
        </w:rPr>
        <w:t>份。</w:t>
      </w:r>
    </w:p>
    <w:p>
      <w:pPr>
        <w:spacing w:line="360" w:lineRule="auto"/>
        <w:ind w:left="-930"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四、响应文件散乱未装订者不予评审，按响应无效处理；响应供应商因响应文件未装订而造成评审中资料遗失影响评审结果的，后果自负。</w:t>
      </w:r>
    </w:p>
    <w:p>
      <w:pPr>
        <w:spacing w:line="360" w:lineRule="auto"/>
        <w:ind w:left="-930" w:firstLine="480"/>
        <w:rPr>
          <w:rFonts w:ascii="仿宋" w:hAnsi="仿宋" w:eastAsia="仿宋" w:cs="仿宋"/>
          <w:b/>
          <w:bCs/>
          <w:color w:val="auto"/>
          <w:sz w:val="24"/>
          <w:highlight w:val="none"/>
          <w:u w:val="single"/>
        </w:rPr>
      </w:pPr>
    </w:p>
    <w:p>
      <w:pPr>
        <w:spacing w:line="360" w:lineRule="auto"/>
        <w:ind w:left="-930" w:firstLine="480"/>
        <w:rPr>
          <w:rFonts w:ascii="仿宋" w:hAnsi="仿宋" w:eastAsia="仿宋" w:cs="仿宋"/>
          <w:b/>
          <w:bCs/>
          <w:color w:val="auto"/>
          <w:sz w:val="24"/>
          <w:highlight w:val="none"/>
          <w:u w:val="single"/>
        </w:rPr>
      </w:pPr>
    </w:p>
    <w:p>
      <w:pPr>
        <w:spacing w:line="360" w:lineRule="auto"/>
        <w:ind w:left="-930" w:firstLine="48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响应文件格式如下：</w:t>
      </w:r>
    </w:p>
    <w:p>
      <w:pPr>
        <w:pStyle w:val="8"/>
        <w:adjustRightInd w:val="0"/>
        <w:snapToGrid w:val="0"/>
        <w:spacing w:line="360" w:lineRule="auto"/>
        <w:jc w:val="center"/>
        <w:rPr>
          <w:rFonts w:hint="eastAsia" w:ascii="仿宋" w:hAnsi="仿宋" w:eastAsia="仿宋" w:cs="仿宋"/>
          <w:b/>
          <w:color w:val="auto"/>
          <w:kern w:val="0"/>
          <w:sz w:val="72"/>
          <w:szCs w:val="72"/>
          <w:highlight w:val="none"/>
        </w:rPr>
      </w:pPr>
    </w:p>
    <w:p>
      <w:pPr>
        <w:pStyle w:val="8"/>
        <w:adjustRightInd w:val="0"/>
        <w:snapToGrid w:val="0"/>
        <w:spacing w:line="360" w:lineRule="auto"/>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br w:type="page"/>
      </w:r>
    </w:p>
    <w:p>
      <w:pPr>
        <w:pStyle w:val="8"/>
        <w:adjustRightInd w:val="0"/>
        <w:snapToGrid w:val="0"/>
        <w:spacing w:line="360" w:lineRule="auto"/>
        <w:jc w:val="center"/>
        <w:rPr>
          <w:rFonts w:hint="eastAsia" w:ascii="仿宋" w:hAnsi="仿宋" w:eastAsia="仿宋" w:cs="仿宋"/>
          <w:b/>
          <w:color w:val="auto"/>
          <w:kern w:val="0"/>
          <w:sz w:val="84"/>
          <w:szCs w:val="84"/>
          <w:highlight w:val="none"/>
        </w:rPr>
      </w:pPr>
      <w:r>
        <w:rPr>
          <w:rFonts w:hint="eastAsia" w:ascii="仿宋" w:hAnsi="仿宋" w:eastAsia="仿宋" w:cs="仿宋"/>
          <w:b/>
          <w:color w:val="auto"/>
          <w:kern w:val="0"/>
          <w:sz w:val="72"/>
          <w:szCs w:val="72"/>
          <w:highlight w:val="none"/>
        </w:rPr>
        <w:t>响 应 文 件</w:t>
      </w:r>
    </w:p>
    <w:p>
      <w:pPr>
        <w:pStyle w:val="8"/>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（正本/副本）</w:t>
      </w:r>
    </w:p>
    <w:p>
      <w:pPr>
        <w:pStyle w:val="8"/>
        <w:adjustRightInd w:val="0"/>
        <w:snapToGrid w:val="0"/>
        <w:spacing w:line="360" w:lineRule="auto"/>
        <w:rPr>
          <w:rFonts w:hint="eastAsia" w:ascii="仿宋" w:hAnsi="仿宋" w:eastAsia="仿宋" w:cs="仿宋"/>
          <w:b/>
          <w:color w:val="auto"/>
          <w:kern w:val="0"/>
          <w:sz w:val="24"/>
          <w:szCs w:val="24"/>
          <w:highlight w:val="none"/>
        </w:rPr>
      </w:pPr>
    </w:p>
    <w:p>
      <w:pPr>
        <w:pStyle w:val="8"/>
        <w:adjustRightInd w:val="0"/>
        <w:snapToGrid w:val="0"/>
        <w:spacing w:line="440" w:lineRule="exact"/>
        <w:rPr>
          <w:rFonts w:hint="eastAsia" w:ascii="仿宋" w:hAnsi="仿宋" w:eastAsia="仿宋" w:cs="仿宋"/>
          <w:b/>
          <w:color w:val="auto"/>
          <w:kern w:val="0"/>
          <w:sz w:val="24"/>
          <w:szCs w:val="24"/>
          <w:highlight w:val="none"/>
        </w:rPr>
      </w:pPr>
    </w:p>
    <w:p>
      <w:pPr>
        <w:pStyle w:val="8"/>
        <w:adjustRightInd w:val="0"/>
        <w:snapToGrid w:val="0"/>
        <w:spacing w:line="44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惠州市第一妇幼保健院</w:t>
      </w:r>
      <w:r>
        <w:rPr>
          <w:rFonts w:hint="eastAsia" w:ascii="仿宋" w:hAnsi="仿宋" w:eastAsia="仿宋" w:cs="仿宋"/>
          <w:b/>
          <w:color w:val="auto"/>
          <w:sz w:val="28"/>
          <w:szCs w:val="28"/>
          <w:highlight w:val="none"/>
        </w:rPr>
        <w:t>院内比选）</w:t>
      </w:r>
    </w:p>
    <w:p>
      <w:pPr>
        <w:pStyle w:val="8"/>
        <w:spacing w:line="360" w:lineRule="auto"/>
        <w:rPr>
          <w:rFonts w:hint="eastAsia" w:ascii="仿宋" w:hAnsi="仿宋" w:eastAsia="仿宋" w:cs="仿宋"/>
          <w:b/>
          <w:color w:val="auto"/>
          <w:sz w:val="28"/>
          <w:szCs w:val="28"/>
          <w:highlight w:val="none"/>
        </w:rPr>
      </w:pPr>
    </w:p>
    <w:p>
      <w:pPr>
        <w:pStyle w:val="8"/>
        <w:spacing w:line="360" w:lineRule="auto"/>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 xml:space="preserve">    项目编号：</w:t>
      </w:r>
    </w:p>
    <w:p>
      <w:pPr>
        <w:pStyle w:val="8"/>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w:t>
      </w:r>
    </w:p>
    <w:p>
      <w:pPr>
        <w:pStyle w:val="8"/>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项目名称： </w:t>
      </w:r>
    </w:p>
    <w:p>
      <w:pPr>
        <w:pStyle w:val="8"/>
        <w:adjustRightInd w:val="0"/>
        <w:snapToGrid w:val="0"/>
        <w:spacing w:line="440" w:lineRule="exact"/>
        <w:rPr>
          <w:rFonts w:hint="eastAsia" w:ascii="仿宋" w:hAnsi="仿宋" w:eastAsia="仿宋" w:cs="仿宋"/>
          <w:b/>
          <w:color w:val="auto"/>
          <w:kern w:val="0"/>
          <w:sz w:val="24"/>
          <w:szCs w:val="24"/>
          <w:highlight w:val="none"/>
        </w:rPr>
      </w:pPr>
    </w:p>
    <w:p>
      <w:pPr>
        <w:pStyle w:val="8"/>
        <w:adjustRightInd w:val="0"/>
        <w:snapToGrid w:val="0"/>
        <w:spacing w:line="440" w:lineRule="exact"/>
        <w:rPr>
          <w:rFonts w:hint="eastAsia" w:ascii="仿宋" w:hAnsi="仿宋" w:eastAsia="仿宋" w:cs="仿宋"/>
          <w:b/>
          <w:color w:val="auto"/>
          <w:kern w:val="0"/>
          <w:sz w:val="24"/>
          <w:szCs w:val="24"/>
          <w:highlight w:val="none"/>
        </w:rPr>
      </w:pPr>
    </w:p>
    <w:p>
      <w:pPr>
        <w:pStyle w:val="8"/>
        <w:adjustRightInd w:val="0"/>
        <w:snapToGrid w:val="0"/>
        <w:spacing w:line="440" w:lineRule="exact"/>
        <w:rPr>
          <w:rFonts w:hint="eastAsia" w:ascii="仿宋" w:hAnsi="仿宋" w:eastAsia="仿宋" w:cs="仿宋"/>
          <w:b/>
          <w:color w:val="auto"/>
          <w:kern w:val="0"/>
          <w:sz w:val="24"/>
          <w:szCs w:val="24"/>
          <w:highlight w:val="none"/>
        </w:rPr>
      </w:pPr>
    </w:p>
    <w:p>
      <w:pPr>
        <w:pStyle w:val="8"/>
        <w:adjustRightInd w:val="0"/>
        <w:snapToGrid w:val="0"/>
        <w:spacing w:line="440" w:lineRule="exact"/>
        <w:rPr>
          <w:rFonts w:hint="eastAsia" w:ascii="仿宋" w:hAnsi="仿宋" w:eastAsia="仿宋" w:cs="仿宋"/>
          <w:b/>
          <w:color w:val="auto"/>
          <w:kern w:val="0"/>
          <w:sz w:val="24"/>
          <w:szCs w:val="24"/>
          <w:highlight w:val="none"/>
        </w:rPr>
      </w:pPr>
    </w:p>
    <w:p>
      <w:pPr>
        <w:pStyle w:val="8"/>
        <w:adjustRightInd w:val="0"/>
        <w:snapToGrid w:val="0"/>
        <w:spacing w:line="440" w:lineRule="exact"/>
        <w:rPr>
          <w:rFonts w:hint="eastAsia" w:ascii="仿宋" w:hAnsi="仿宋" w:eastAsia="仿宋" w:cs="仿宋"/>
          <w:b/>
          <w:color w:val="auto"/>
          <w:kern w:val="0"/>
          <w:sz w:val="24"/>
          <w:szCs w:val="24"/>
          <w:highlight w:val="none"/>
        </w:rPr>
      </w:pPr>
    </w:p>
    <w:p>
      <w:pPr>
        <w:pStyle w:val="8"/>
        <w:adjustRightInd w:val="0"/>
        <w:snapToGrid w:val="0"/>
        <w:spacing w:line="440" w:lineRule="exact"/>
        <w:rPr>
          <w:rFonts w:hint="eastAsia" w:ascii="仿宋" w:hAnsi="仿宋" w:eastAsia="仿宋" w:cs="仿宋"/>
          <w:b/>
          <w:color w:val="auto"/>
          <w:kern w:val="0"/>
          <w:sz w:val="24"/>
          <w:szCs w:val="24"/>
          <w:highlight w:val="none"/>
        </w:rPr>
      </w:pPr>
    </w:p>
    <w:p>
      <w:pPr>
        <w:pStyle w:val="8"/>
        <w:adjustRightInd w:val="0"/>
        <w:snapToGrid w:val="0"/>
        <w:spacing w:line="440" w:lineRule="exact"/>
        <w:rPr>
          <w:rFonts w:hint="eastAsia" w:ascii="仿宋" w:hAnsi="仿宋" w:eastAsia="仿宋" w:cs="仿宋"/>
          <w:b/>
          <w:color w:val="auto"/>
          <w:kern w:val="0"/>
          <w:sz w:val="24"/>
          <w:szCs w:val="24"/>
          <w:highlight w:val="none"/>
        </w:rPr>
      </w:pPr>
    </w:p>
    <w:p>
      <w:pPr>
        <w:pStyle w:val="8"/>
        <w:adjustRightInd w:val="0"/>
        <w:snapToGrid w:val="0"/>
        <w:spacing w:line="440" w:lineRule="exact"/>
        <w:rPr>
          <w:rFonts w:hint="eastAsia" w:ascii="仿宋" w:hAnsi="仿宋" w:eastAsia="仿宋" w:cs="仿宋"/>
          <w:b/>
          <w:color w:val="auto"/>
          <w:kern w:val="0"/>
          <w:sz w:val="24"/>
          <w:szCs w:val="24"/>
          <w:highlight w:val="none"/>
          <w:lang w:eastAsia="zh-CN"/>
        </w:rPr>
      </w:pPr>
      <w:r>
        <w:rPr>
          <w:rFonts w:hint="eastAsia" w:ascii="仿宋" w:hAnsi="仿宋" w:eastAsia="仿宋" w:cs="仿宋"/>
          <w:b/>
          <w:color w:val="auto"/>
          <w:kern w:val="0"/>
          <w:sz w:val="24"/>
          <w:szCs w:val="24"/>
          <w:highlight w:val="none"/>
        </w:rPr>
        <w:t xml:space="preserve">响应供应商：                              </w:t>
      </w:r>
      <w:r>
        <w:rPr>
          <w:rFonts w:hint="eastAsia" w:ascii="仿宋" w:hAnsi="仿宋" w:eastAsia="仿宋" w:cs="仿宋"/>
          <w:b/>
          <w:color w:val="auto"/>
          <w:kern w:val="0"/>
          <w:sz w:val="24"/>
          <w:szCs w:val="24"/>
          <w:highlight w:val="none"/>
          <w:lang w:eastAsia="zh-CN"/>
        </w:rPr>
        <w:t>盖章</w:t>
      </w:r>
    </w:p>
    <w:p>
      <w:pPr>
        <w:pStyle w:val="8"/>
        <w:adjustRightInd w:val="0"/>
        <w:snapToGrid w:val="0"/>
        <w:spacing w:line="440" w:lineRule="exact"/>
        <w:rPr>
          <w:rFonts w:hint="eastAsia" w:ascii="仿宋" w:hAnsi="仿宋" w:eastAsia="仿宋" w:cs="仿宋"/>
          <w:b/>
          <w:color w:val="auto"/>
          <w:kern w:val="0"/>
          <w:sz w:val="24"/>
          <w:szCs w:val="24"/>
          <w:highlight w:val="none"/>
        </w:rPr>
      </w:pPr>
    </w:p>
    <w:p>
      <w:pPr>
        <w:pStyle w:val="8"/>
        <w:adjustRightInd w:val="0"/>
        <w:snapToGrid w:val="0"/>
        <w:spacing w:line="440" w:lineRule="exac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日      期：</w:t>
      </w:r>
    </w:p>
    <w:p>
      <w:pPr>
        <w:pStyle w:val="8"/>
        <w:adjustRightInd w:val="0"/>
        <w:snapToGrid w:val="0"/>
        <w:spacing w:line="440" w:lineRule="exact"/>
        <w:rPr>
          <w:rFonts w:hint="eastAsia"/>
          <w:color w:val="auto"/>
          <w:highlight w:val="none"/>
        </w:rPr>
      </w:pPr>
      <w:bookmarkStart w:id="3" w:name="_Toc202820350"/>
      <w:bookmarkStart w:id="4" w:name="_Toc202251699"/>
      <w:bookmarkStart w:id="5" w:name="_Toc202251074"/>
      <w:bookmarkStart w:id="6" w:name="_Toc202254104"/>
      <w:bookmarkStart w:id="7" w:name="_Toc202252033"/>
      <w:bookmarkStart w:id="8" w:name="_Toc202816995"/>
      <w:bookmarkStart w:id="9" w:name="_Toc202819877"/>
      <w:r>
        <w:rPr>
          <w:color w:val="auto"/>
          <w:highlight w:val="none"/>
        </w:rPr>
        <w:br w:type="page"/>
      </w:r>
      <w:r>
        <w:rPr>
          <w:rFonts w:hint="eastAsia" w:ascii="仿宋" w:hAnsi="仿宋" w:eastAsia="仿宋" w:cs="仿宋"/>
          <w:b/>
          <w:bCs/>
          <w:color w:val="auto"/>
          <w:sz w:val="28"/>
          <w:highlight w:val="none"/>
        </w:rPr>
        <w:t xml:space="preserve">1 </w:t>
      </w:r>
      <w:bookmarkEnd w:id="3"/>
      <w:bookmarkEnd w:id="4"/>
      <w:bookmarkEnd w:id="5"/>
      <w:bookmarkEnd w:id="6"/>
      <w:bookmarkEnd w:id="7"/>
      <w:bookmarkEnd w:id="8"/>
      <w:bookmarkEnd w:id="9"/>
      <w:r>
        <w:rPr>
          <w:rFonts w:hint="eastAsia" w:ascii="仿宋" w:hAnsi="仿宋" w:eastAsia="仿宋" w:cs="仿宋"/>
          <w:b/>
          <w:bCs/>
          <w:color w:val="auto"/>
          <w:sz w:val="28"/>
          <w:highlight w:val="none"/>
        </w:rPr>
        <w:t>资格性/符合性自查表</w:t>
      </w:r>
    </w:p>
    <w:tbl>
      <w:tblPr>
        <w:tblStyle w:val="12"/>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052"/>
        <w:gridCol w:w="4264"/>
        <w:gridCol w:w="1849"/>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dxa"/>
            <w:gridSpan w:val="2"/>
            <w:noWrap w:val="0"/>
            <w:vAlign w:val="top"/>
          </w:tcPr>
          <w:p>
            <w:pPr>
              <w:jc w:val="center"/>
              <w:rPr>
                <w:rFonts w:hint="eastAsia"/>
                <w:color w:val="auto"/>
                <w:highlight w:val="none"/>
              </w:rPr>
            </w:pPr>
            <w:r>
              <w:rPr>
                <w:rFonts w:hint="eastAsia" w:ascii="仿宋" w:hAnsi="仿宋" w:eastAsia="仿宋" w:cs="仿宋"/>
                <w:b/>
                <w:bCs/>
                <w:color w:val="auto"/>
                <w:szCs w:val="21"/>
                <w:highlight w:val="none"/>
              </w:rPr>
              <w:t>评审内容</w:t>
            </w:r>
          </w:p>
        </w:tc>
        <w:tc>
          <w:tcPr>
            <w:tcW w:w="4264" w:type="dxa"/>
            <w:noWrap w:val="0"/>
            <w:vAlign w:val="center"/>
          </w:tcPr>
          <w:p>
            <w:pPr>
              <w:ind w:left="-171"/>
              <w:jc w:val="center"/>
              <w:rPr>
                <w:rFonts w:hint="eastAsia"/>
                <w:color w:val="auto"/>
                <w:highlight w:val="none"/>
              </w:rPr>
            </w:pPr>
            <w:r>
              <w:rPr>
                <w:rFonts w:hint="eastAsia" w:ascii="仿宋" w:hAnsi="仿宋" w:eastAsia="仿宋" w:cs="仿宋"/>
                <w:b/>
                <w:bCs/>
                <w:color w:val="auto"/>
                <w:szCs w:val="21"/>
                <w:highlight w:val="none"/>
              </w:rPr>
              <w:t>采购文件要求</w:t>
            </w:r>
          </w:p>
        </w:tc>
        <w:tc>
          <w:tcPr>
            <w:tcW w:w="1849" w:type="dxa"/>
            <w:noWrap w:val="0"/>
            <w:vAlign w:val="center"/>
          </w:tcPr>
          <w:p>
            <w:pPr>
              <w:ind w:left="-171"/>
              <w:jc w:val="center"/>
              <w:rPr>
                <w:rFonts w:hint="eastAsia"/>
                <w:color w:val="auto"/>
                <w:highlight w:val="none"/>
              </w:rPr>
            </w:pPr>
            <w:r>
              <w:rPr>
                <w:rFonts w:hint="eastAsia" w:ascii="仿宋" w:hAnsi="仿宋" w:eastAsia="仿宋" w:cs="仿宋"/>
                <w:b/>
                <w:bCs/>
                <w:color w:val="auto"/>
                <w:szCs w:val="21"/>
                <w:highlight w:val="none"/>
              </w:rPr>
              <w:t>自查结论</w:t>
            </w:r>
          </w:p>
        </w:tc>
        <w:tc>
          <w:tcPr>
            <w:tcW w:w="1204" w:type="dxa"/>
            <w:noWrap w:val="0"/>
            <w:vAlign w:val="center"/>
          </w:tcPr>
          <w:p>
            <w:pPr>
              <w:ind w:left="-171"/>
              <w:jc w:val="center"/>
              <w:rPr>
                <w:rFonts w:hint="eastAsia"/>
                <w:color w:val="auto"/>
                <w:highlight w:val="none"/>
              </w:rPr>
            </w:pPr>
            <w:r>
              <w:rPr>
                <w:rFonts w:hint="eastAsia" w:ascii="仿宋" w:hAnsi="仿宋" w:eastAsia="仿宋" w:cs="仿宋"/>
                <w:b/>
                <w:bCs/>
                <w:color w:val="auto"/>
                <w:szCs w:val="21"/>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trPr>
        <w:tc>
          <w:tcPr>
            <w:tcW w:w="846" w:type="dxa"/>
            <w:vMerge w:val="restart"/>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rPr>
              <w:t>资格性审查</w:t>
            </w:r>
          </w:p>
        </w:tc>
        <w:tc>
          <w:tcPr>
            <w:tcW w:w="1052"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具有独立承担民事责任能力</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在中华人民共和国境内注册的具有独立承担民事责任能力的法人或其他组织（提供营业执照等证明文件）；</w:t>
            </w:r>
          </w:p>
        </w:tc>
        <w:tc>
          <w:tcPr>
            <w:tcW w:w="1849" w:type="dxa"/>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具有良好的商业信誉和健全的财务会计制度</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highlight w:val="none"/>
                <w:lang w:eastAsia="zh-CN"/>
              </w:rPr>
              <w:t>响应供应商</w:t>
            </w:r>
            <w:r>
              <w:rPr>
                <w:rFonts w:hint="eastAsia" w:ascii="仿宋" w:hAnsi="仿宋" w:eastAsia="仿宋" w:cs="仿宋"/>
                <w:color w:val="auto"/>
                <w:highlight w:val="none"/>
              </w:rPr>
              <w:t>人内部的财务报表复印件（新成立公司提供成立至今的月或季度财务报表复印件）；或③截至</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文件递交截止日</w:t>
            </w:r>
            <w:r>
              <w:rPr>
                <w:rFonts w:hint="eastAsia" w:ascii="仿宋" w:hAnsi="仿宋" w:eastAsia="仿宋" w:cs="仿宋"/>
                <w:color w:val="auto"/>
                <w:highlight w:val="none"/>
                <w:lang w:eastAsia="zh-CN"/>
              </w:rPr>
              <w:t>12个月内银行</w:t>
            </w:r>
            <w:r>
              <w:rPr>
                <w:rFonts w:hint="eastAsia" w:ascii="仿宋" w:hAnsi="仿宋" w:eastAsia="仿宋" w:cs="仿宋"/>
                <w:color w:val="auto"/>
                <w:highlight w:val="none"/>
              </w:rPr>
              <w:t>出具的资信证明（复印件）</w:t>
            </w:r>
            <w:r>
              <w:rPr>
                <w:rFonts w:hint="eastAsia" w:ascii="仿宋" w:hAnsi="仿宋" w:eastAsia="仿宋" w:cs="仿宋"/>
                <w:color w:val="auto"/>
                <w:highlight w:val="none"/>
                <w:lang w:eastAsia="zh-CN"/>
              </w:rPr>
              <w:t>；</w:t>
            </w:r>
          </w:p>
        </w:tc>
        <w:tc>
          <w:tcPr>
            <w:tcW w:w="1849"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3.有</w:t>
            </w:r>
            <w:r>
              <w:rPr>
                <w:rFonts w:hint="eastAsia" w:ascii="仿宋" w:hAnsi="仿宋" w:eastAsia="仿宋" w:cs="仿宋"/>
                <w:color w:val="auto"/>
                <w:highlight w:val="none"/>
              </w:rPr>
              <w:t>依法缴纳税收</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比选截止时间近12个月内任意一个月的依法缴纳税收证明材料（如依法免税，则须提供相应文件证明其依法免税）；</w:t>
            </w:r>
          </w:p>
        </w:tc>
        <w:tc>
          <w:tcPr>
            <w:tcW w:w="1849"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4.有</w:t>
            </w:r>
            <w:r>
              <w:rPr>
                <w:rFonts w:hint="eastAsia" w:ascii="仿宋" w:hAnsi="仿宋" w:eastAsia="仿宋" w:cs="仿宋"/>
                <w:color w:val="auto"/>
                <w:highlight w:val="none"/>
              </w:rPr>
              <w:t>依法缴纳社会保险凭据</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比选截止时间近12个月内任意一个月的依法缴纳社会保险凭据（如依法不需要缴纳社保，则须提供相应文件证明其依法不需要缴纳）</w:t>
            </w:r>
            <w:r>
              <w:rPr>
                <w:rFonts w:hint="eastAsia" w:ascii="仿宋" w:hAnsi="仿宋" w:eastAsia="仿宋" w:cs="仿宋"/>
                <w:color w:val="auto"/>
                <w:highlight w:val="none"/>
                <w:lang w:eastAsia="zh-CN"/>
              </w:rPr>
              <w:t>或书面声明</w:t>
            </w:r>
            <w:r>
              <w:rPr>
                <w:rFonts w:hint="eastAsia" w:ascii="仿宋" w:hAnsi="仿宋" w:eastAsia="仿宋" w:cs="仿宋"/>
                <w:color w:val="auto"/>
                <w:highlight w:val="none"/>
              </w:rPr>
              <w:t>；</w:t>
            </w:r>
          </w:p>
        </w:tc>
        <w:tc>
          <w:tcPr>
            <w:tcW w:w="1849"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履行合同所必需的设备和专业技术能力</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履行合同所必需的设备和专业技术能力的证明材料或书面声明；</w:t>
            </w:r>
          </w:p>
        </w:tc>
        <w:tc>
          <w:tcPr>
            <w:tcW w:w="1849"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没有重大违法记录</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参加政府采购活动前3年内在经营活动中没有重大违法记录的书面声明。</w:t>
            </w:r>
          </w:p>
        </w:tc>
        <w:tc>
          <w:tcPr>
            <w:tcW w:w="1849"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7.信用记录</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tc>
        <w:tc>
          <w:tcPr>
            <w:tcW w:w="1849" w:type="dxa"/>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8.控股关系</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zh-CN"/>
              </w:rPr>
              <w:t>单位负责人为同一人或者存在直接控股、管理关系的不同供应商，不得参加同一包号</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lang w:val="zh-CN"/>
              </w:rPr>
              <w:t>或者未划分包号的同一采购项目。(供应商出具声明函)</w:t>
            </w:r>
          </w:p>
        </w:tc>
        <w:tc>
          <w:tcPr>
            <w:tcW w:w="1849" w:type="dxa"/>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9.不得参加本项目情况</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zh-CN"/>
              </w:rPr>
              <w:t>为本采购项目提供整体设计、规范编制或者项目管理、监理、检测等服务的供应商，不得再参加本采购项目的采购活动。(供应商出具声明函)</w:t>
            </w:r>
          </w:p>
        </w:tc>
        <w:tc>
          <w:tcPr>
            <w:tcW w:w="1849" w:type="dxa"/>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10.联合体</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本项目不接受联合体参加比选，不允许响应供应商对各比选项目进行分包或转包(供应商出具声明函)</w:t>
            </w:r>
            <w:r>
              <w:rPr>
                <w:rFonts w:hint="eastAsia" w:ascii="仿宋" w:hAnsi="仿宋" w:eastAsia="仿宋" w:cs="仿宋"/>
                <w:color w:val="auto"/>
                <w:szCs w:val="21"/>
                <w:highlight w:val="none"/>
                <w:lang w:eastAsia="zh-CN"/>
              </w:rPr>
              <w:t>。</w:t>
            </w:r>
          </w:p>
        </w:tc>
        <w:tc>
          <w:tcPr>
            <w:tcW w:w="1849" w:type="dxa"/>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11.落实政府采购政策需满足的资格要求</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本项目是专门面向中小企业采购的项目，供应商应为中小微企业。（提供《中小企业声明函》,具体格式文件见比选文件P4</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中小企业声明函，未按要求提供声明函的将导致响应无效）。</w:t>
            </w:r>
            <w:r>
              <w:rPr>
                <w:rFonts w:hint="eastAsia" w:ascii="仿宋" w:hAnsi="仿宋" w:eastAsia="仿宋" w:cs="仿宋"/>
                <w:color w:val="auto"/>
                <w:szCs w:val="21"/>
                <w:highlight w:val="none"/>
              </w:rPr>
              <w:t>本项目中小企业划分标准所属行业为</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未列明行业。</w:t>
            </w:r>
          </w:p>
        </w:tc>
        <w:tc>
          <w:tcPr>
            <w:tcW w:w="1849" w:type="dxa"/>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lang w:val="en-US" w:eastAsia="zh-CN"/>
              </w:rPr>
              <w:t>12.报名</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已在医院办公室报名。</w:t>
            </w:r>
          </w:p>
        </w:tc>
        <w:tc>
          <w:tcPr>
            <w:tcW w:w="1849"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46" w:type="dxa"/>
            <w:vMerge w:val="restart"/>
            <w:noWrap w:val="0"/>
            <w:vAlign w:val="center"/>
          </w:tcPr>
          <w:p>
            <w:pPr>
              <w:spacing w:line="380" w:lineRule="exact"/>
              <w:ind w:left="40" w:leftChars="19"/>
              <w:jc w:val="center"/>
              <w:rPr>
                <w:rFonts w:hint="eastAsia"/>
                <w:color w:val="auto"/>
                <w:highlight w:val="none"/>
              </w:rPr>
            </w:pPr>
            <w:r>
              <w:rPr>
                <w:rFonts w:hint="eastAsia" w:ascii="仿宋" w:hAnsi="仿宋" w:eastAsia="仿宋" w:cs="仿宋"/>
                <w:color w:val="auto"/>
                <w:szCs w:val="21"/>
                <w:highlight w:val="none"/>
              </w:rPr>
              <w:t>符合性审查</w:t>
            </w:r>
          </w:p>
        </w:tc>
        <w:tc>
          <w:tcPr>
            <w:tcW w:w="1052"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文件签署</w:t>
            </w:r>
          </w:p>
        </w:tc>
        <w:tc>
          <w:tcPr>
            <w:tcW w:w="4264" w:type="dxa"/>
            <w:noWrap w:val="0"/>
            <w:vAlign w:val="center"/>
          </w:tcPr>
          <w:p>
            <w:pPr>
              <w:spacing w:line="240" w:lineRule="auto"/>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按照比选文件规定要求签署、盖章且响应文件有法定代表人签字或盖个人名章（或签字人有法定代表人有效授权书）的。</w:t>
            </w:r>
          </w:p>
        </w:tc>
        <w:tc>
          <w:tcPr>
            <w:tcW w:w="1849"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052"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响应有效期</w:t>
            </w:r>
          </w:p>
        </w:tc>
        <w:tc>
          <w:tcPr>
            <w:tcW w:w="4264" w:type="dxa"/>
            <w:noWrap w:val="0"/>
            <w:vAlign w:val="center"/>
          </w:tcPr>
          <w:p>
            <w:pPr>
              <w:tabs>
                <w:tab w:val="left" w:pos="2880"/>
              </w:tabs>
              <w:spacing w:line="380" w:lineRule="exact"/>
              <w:jc w:val="left"/>
              <w:rPr>
                <w:rFonts w:hint="eastAsia"/>
                <w:color w:val="auto"/>
                <w:highlight w:val="none"/>
              </w:rPr>
            </w:pPr>
            <w:r>
              <w:rPr>
                <w:rFonts w:hint="eastAsia" w:ascii="仿宋" w:hAnsi="仿宋" w:eastAsia="仿宋" w:cs="仿宋"/>
                <w:color w:val="auto"/>
                <w:szCs w:val="21"/>
                <w:highlight w:val="none"/>
                <w:lang w:eastAsia="zh-CN"/>
              </w:rPr>
              <w:t>响应函已提交并符合比选文件要求的，且响应有效期不少于比选文件中载明的响应有效期限；</w:t>
            </w:r>
          </w:p>
        </w:tc>
        <w:tc>
          <w:tcPr>
            <w:tcW w:w="1849"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 xml:space="preserve">□通过  </w:t>
            </w: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不通过</w:t>
            </w:r>
          </w:p>
        </w:tc>
        <w:tc>
          <w:tcPr>
            <w:tcW w:w="1204" w:type="dxa"/>
            <w:noWrap w:val="0"/>
            <w:vAlign w:val="center"/>
          </w:tcPr>
          <w:p>
            <w:pPr>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商务要求评审</w:t>
            </w:r>
          </w:p>
        </w:tc>
        <w:tc>
          <w:tcPr>
            <w:tcW w:w="4264" w:type="dxa"/>
            <w:noWrap w:val="0"/>
            <w:vAlign w:val="center"/>
          </w:tcPr>
          <w:p>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实质性（“★”项）商务条款是否全部完全响应；</w:t>
            </w:r>
          </w:p>
        </w:tc>
        <w:tc>
          <w:tcPr>
            <w:tcW w:w="1849" w:type="dxa"/>
            <w:noWrap w:val="0"/>
            <w:vAlign w:val="center"/>
          </w:tcPr>
          <w:p>
            <w:pPr>
              <w:ind w:left="-171"/>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技术</w:t>
            </w:r>
            <w:r>
              <w:rPr>
                <w:rFonts w:hint="eastAsia" w:ascii="仿宋" w:hAnsi="仿宋" w:eastAsia="仿宋" w:cs="仿宋"/>
                <w:color w:val="auto"/>
                <w:szCs w:val="21"/>
                <w:highlight w:val="none"/>
              </w:rPr>
              <w:t>要求评审</w:t>
            </w:r>
          </w:p>
        </w:tc>
        <w:tc>
          <w:tcPr>
            <w:tcW w:w="4264" w:type="dxa"/>
            <w:noWrap w:val="0"/>
            <w:vAlign w:val="center"/>
          </w:tcPr>
          <w:p>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实质性（“★”项）技术要求条款是否全部完全响应；</w:t>
            </w:r>
          </w:p>
        </w:tc>
        <w:tc>
          <w:tcPr>
            <w:tcW w:w="1849"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报价合理性</w:t>
            </w:r>
          </w:p>
        </w:tc>
        <w:tc>
          <w:tcPr>
            <w:tcW w:w="4264" w:type="dxa"/>
            <w:noWrap w:val="0"/>
            <w:vAlign w:val="center"/>
          </w:tcPr>
          <w:p>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报价方案是唯一确定、报价合理。</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如有分项报价要求，各分项报价不得高于各分项最高预算单价，合计总报价是固定唯一价且无超出采购预算或最高限价；</w:t>
            </w:r>
          </w:p>
        </w:tc>
        <w:tc>
          <w:tcPr>
            <w:tcW w:w="1849"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□通过  </w:t>
            </w: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不通过</w:t>
            </w:r>
          </w:p>
        </w:tc>
        <w:tc>
          <w:tcPr>
            <w:tcW w:w="1204" w:type="dxa"/>
            <w:noWrap w:val="0"/>
            <w:vAlign w:val="center"/>
          </w:tcPr>
          <w:p>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其他</w:t>
            </w:r>
          </w:p>
        </w:tc>
        <w:tc>
          <w:tcPr>
            <w:tcW w:w="4264" w:type="dxa"/>
            <w:noWrap w:val="0"/>
            <w:vAlign w:val="center"/>
          </w:tcPr>
          <w:p>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按有关法律、法规、规章和比选文件中规定的其他无效响应情形。</w:t>
            </w:r>
          </w:p>
        </w:tc>
        <w:tc>
          <w:tcPr>
            <w:tcW w:w="1849"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bl>
    <w:p>
      <w:pPr>
        <w:rPr>
          <w:rFonts w:hint="eastAsia"/>
          <w:color w:val="auto"/>
          <w:highlight w:val="none"/>
        </w:rPr>
      </w:pPr>
    </w:p>
    <w:p>
      <w:pPr>
        <w:pStyle w:val="6"/>
        <w:spacing w:line="360" w:lineRule="exact"/>
        <w:ind w:firstLine="56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注：以上材料将作为响应供应商</w:t>
      </w:r>
      <w:r>
        <w:rPr>
          <w:rFonts w:hint="eastAsia" w:ascii="仿宋" w:hAnsi="仿宋" w:eastAsia="仿宋" w:cs="仿宋"/>
          <w:color w:val="auto"/>
          <w:sz w:val="24"/>
          <w:szCs w:val="24"/>
          <w:highlight w:val="none"/>
          <w:lang w:val="en-US" w:eastAsia="zh-CN"/>
        </w:rPr>
        <w:t>资格性和符合性</w:t>
      </w:r>
      <w:r>
        <w:rPr>
          <w:rFonts w:hint="eastAsia" w:ascii="仿宋" w:hAnsi="仿宋" w:eastAsia="仿宋" w:cs="仿宋"/>
          <w:color w:val="auto"/>
          <w:sz w:val="24"/>
          <w:szCs w:val="24"/>
          <w:highlight w:val="none"/>
        </w:rPr>
        <w:t>审核的重要内容之一，响应供应商必须严格按照其内容及要求在响应文件中对应序列如实提供，对缺漏和不符合项将会直接导致响应无效！在对应的□打“√”，并标注页码。</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adjustRightInd w:val="0"/>
        <w:snapToGrid w:val="0"/>
        <w:spacing w:line="300" w:lineRule="auto"/>
        <w:rPr>
          <w:rFonts w:hint="eastAsia" w:ascii="仿宋" w:hAnsi="仿宋" w:eastAsia="仿宋" w:cs="仿宋"/>
          <w:color w:val="auto"/>
          <w:sz w:val="24"/>
          <w:highlight w:val="none"/>
        </w:rPr>
      </w:pPr>
    </w:p>
    <w:p>
      <w:pPr>
        <w:pStyle w:val="8"/>
        <w:adjustRightInd w:val="0"/>
        <w:snapToGrid w:val="0"/>
        <w:spacing w:line="440" w:lineRule="exact"/>
        <w:rPr>
          <w:rFonts w:hint="eastAsia" w:ascii="仿宋" w:hAnsi="仿宋" w:eastAsia="仿宋" w:cs="仿宋"/>
          <w:b/>
          <w:bCs/>
          <w:color w:val="auto"/>
          <w:sz w:val="28"/>
          <w:highlight w:val="none"/>
        </w:rPr>
      </w:pPr>
      <w:r>
        <w:rPr>
          <w:rFonts w:ascii="仿宋" w:hAnsi="仿宋" w:eastAsia="仿宋" w:cs="仿宋"/>
          <w:b/>
          <w:bCs/>
          <w:color w:val="auto"/>
          <w:sz w:val="28"/>
          <w:highlight w:val="none"/>
        </w:rPr>
        <w:br w:type="page"/>
      </w:r>
      <w:r>
        <w:rPr>
          <w:rFonts w:hint="eastAsia" w:ascii="仿宋" w:hAnsi="仿宋" w:eastAsia="仿宋" w:cs="仿宋"/>
          <w:b/>
          <w:bCs/>
          <w:color w:val="auto"/>
          <w:sz w:val="28"/>
          <w:highlight w:val="none"/>
        </w:rPr>
        <w:t>2 评审项目响应资料表</w:t>
      </w:r>
    </w:p>
    <w:tbl>
      <w:tblPr>
        <w:tblStyle w:val="12"/>
        <w:tblW w:w="8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5232"/>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416" w:type="dxa"/>
            <w:noWrap w:val="0"/>
            <w:vAlign w:val="center"/>
          </w:tcPr>
          <w:p>
            <w:pPr>
              <w:pStyle w:val="16"/>
              <w:adjustRightInd/>
              <w:jc w:val="center"/>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评审分项</w:t>
            </w:r>
          </w:p>
          <w:p>
            <w:pPr>
              <w:pStyle w:val="16"/>
              <w:adjustRightInd/>
              <w:jc w:val="center"/>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（评分标准）</w:t>
            </w:r>
          </w:p>
        </w:tc>
        <w:tc>
          <w:tcPr>
            <w:tcW w:w="5232" w:type="dxa"/>
            <w:noWrap w:val="0"/>
            <w:vAlign w:val="center"/>
          </w:tcPr>
          <w:p>
            <w:pPr>
              <w:pStyle w:val="16"/>
              <w:adjustRightInd/>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评审内容</w:t>
            </w:r>
          </w:p>
        </w:tc>
        <w:tc>
          <w:tcPr>
            <w:tcW w:w="1535" w:type="dxa"/>
            <w:noWrap w:val="0"/>
            <w:vAlign w:val="center"/>
          </w:tcPr>
          <w:p>
            <w:pPr>
              <w:pStyle w:val="16"/>
              <w:adjustRightInd/>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416" w:type="dxa"/>
            <w:noWrap w:val="0"/>
            <w:vAlign w:val="center"/>
          </w:tcPr>
          <w:p>
            <w:pPr>
              <w:widowControl/>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整体服务方案</w:t>
            </w:r>
          </w:p>
        </w:tc>
        <w:tc>
          <w:tcPr>
            <w:tcW w:w="5232" w:type="dxa"/>
            <w:noWrap w:val="0"/>
            <w:vAlign w:val="center"/>
          </w:tcPr>
          <w:p>
            <w:pPr>
              <w:widowControl/>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根据各响应供应商提供的整体服务方案进行评分：</w:t>
            </w:r>
          </w:p>
          <w:p>
            <w:pPr>
              <w:widowControl/>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1.整体实施方案全面、完善具体，科学合理，各阶段服务计划非常详尽，可行性强，得 12分；</w:t>
            </w:r>
          </w:p>
          <w:p>
            <w:pPr>
              <w:widowControl/>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2.整体实施方案较为齐全、完整，较合理，各阶段服务计划较详尽，可行性较强，得7分；</w:t>
            </w:r>
          </w:p>
          <w:p>
            <w:pPr>
              <w:widowControl/>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3.整体实施方案相对简单，各阶段服务计划不够详尽，可行性一般，得2分；</w:t>
            </w:r>
          </w:p>
          <w:p>
            <w:pPr>
              <w:widowControl/>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4.无提供不得分；</w:t>
            </w:r>
          </w:p>
        </w:tc>
        <w:tc>
          <w:tcPr>
            <w:tcW w:w="1535" w:type="dxa"/>
            <w:noWrap w:val="0"/>
            <w:vAlign w:val="center"/>
          </w:tcPr>
          <w:p>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416" w:type="dxa"/>
            <w:noWrap w:val="0"/>
            <w:vAlign w:val="center"/>
          </w:tcPr>
          <w:p>
            <w:pPr>
              <w:widowControl/>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拟投入人员方案</w:t>
            </w:r>
          </w:p>
        </w:tc>
        <w:tc>
          <w:tcPr>
            <w:tcW w:w="5232" w:type="dxa"/>
            <w:noWrap w:val="0"/>
            <w:vAlign w:val="top"/>
          </w:tcPr>
          <w:p>
            <w:pPr>
              <w:widowControl/>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对各响应供应商提供的拟投入人员方案（包括但不限于人员配备计划、人员项目经验及履约能力）进行评分：</w:t>
            </w:r>
          </w:p>
          <w:p>
            <w:pPr>
              <w:widowControl/>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1.人员配备计划完善、科学合理，资质优秀，经验丰富，履约能力强，有利于项目的实施，得 12分；</w:t>
            </w:r>
            <w:r>
              <w:rPr>
                <w:rFonts w:hint="eastAsia" w:ascii="仿宋" w:hAnsi="仿宋" w:eastAsia="仿宋" w:cs="仿宋"/>
                <w:color w:val="auto"/>
                <w:kern w:val="0"/>
                <w:sz w:val="21"/>
                <w:szCs w:val="21"/>
                <w:highlight w:val="none"/>
                <w:lang w:val="en-US" w:eastAsia="zh-CN"/>
              </w:rPr>
              <w:br w:type="textWrapping"/>
            </w:r>
            <w:r>
              <w:rPr>
                <w:rFonts w:hint="eastAsia" w:ascii="仿宋" w:hAnsi="仿宋" w:eastAsia="仿宋" w:cs="仿宋"/>
                <w:color w:val="auto"/>
                <w:kern w:val="0"/>
                <w:sz w:val="21"/>
                <w:szCs w:val="21"/>
                <w:highlight w:val="none"/>
                <w:lang w:val="en-US" w:eastAsia="zh-CN"/>
              </w:rPr>
              <w:t>2.人员配备计划较完整，资质良好，有一定经验，履约能力较好，较有利于项目的实施，得7分；</w:t>
            </w:r>
            <w:r>
              <w:rPr>
                <w:rFonts w:hint="eastAsia" w:ascii="仿宋" w:hAnsi="仿宋" w:eastAsia="仿宋" w:cs="仿宋"/>
                <w:color w:val="auto"/>
                <w:kern w:val="0"/>
                <w:sz w:val="21"/>
                <w:szCs w:val="21"/>
                <w:highlight w:val="none"/>
                <w:lang w:val="en-US" w:eastAsia="zh-CN"/>
              </w:rPr>
              <w:br w:type="textWrapping"/>
            </w:r>
            <w:r>
              <w:rPr>
                <w:rFonts w:hint="eastAsia" w:ascii="仿宋" w:hAnsi="仿宋" w:eastAsia="仿宋" w:cs="仿宋"/>
                <w:color w:val="auto"/>
                <w:kern w:val="0"/>
                <w:sz w:val="21"/>
                <w:szCs w:val="21"/>
                <w:highlight w:val="none"/>
                <w:lang w:val="en-US" w:eastAsia="zh-CN"/>
              </w:rPr>
              <w:t>3.人员配备计划简略，资质一般，经验一般，履约一般，基本满足项目的实施，得2分；</w:t>
            </w:r>
            <w:r>
              <w:rPr>
                <w:rFonts w:hint="eastAsia" w:ascii="仿宋" w:hAnsi="仿宋" w:eastAsia="仿宋" w:cs="仿宋"/>
                <w:color w:val="auto"/>
                <w:kern w:val="0"/>
                <w:sz w:val="21"/>
                <w:szCs w:val="21"/>
                <w:highlight w:val="none"/>
                <w:lang w:val="en-US" w:eastAsia="zh-CN"/>
              </w:rPr>
              <w:br w:type="textWrapping"/>
            </w:r>
            <w:r>
              <w:rPr>
                <w:rFonts w:hint="eastAsia" w:ascii="仿宋" w:hAnsi="仿宋" w:eastAsia="仿宋" w:cs="仿宋"/>
                <w:color w:val="auto"/>
                <w:kern w:val="0"/>
                <w:sz w:val="21"/>
                <w:szCs w:val="21"/>
                <w:highlight w:val="none"/>
                <w:lang w:val="en-US" w:eastAsia="zh-CN"/>
              </w:rPr>
              <w:t>4.无提供不得分。</w:t>
            </w:r>
          </w:p>
        </w:tc>
        <w:tc>
          <w:tcPr>
            <w:tcW w:w="1535" w:type="dxa"/>
            <w:noWrap w:val="0"/>
            <w:vAlign w:val="center"/>
          </w:tcPr>
          <w:p>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416" w:type="dxa"/>
            <w:noWrap w:val="0"/>
            <w:vAlign w:val="center"/>
          </w:tcPr>
          <w:p>
            <w:pPr>
              <w:widowControl/>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售后服务方案</w:t>
            </w:r>
          </w:p>
        </w:tc>
        <w:tc>
          <w:tcPr>
            <w:tcW w:w="5232" w:type="dxa"/>
            <w:noWrap w:val="0"/>
            <w:vAlign w:val="top"/>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对各</w:t>
            </w:r>
            <w:r>
              <w:rPr>
                <w:rFonts w:hint="eastAsia" w:ascii="仿宋" w:hAnsi="仿宋" w:eastAsia="仿宋" w:cs="仿宋"/>
                <w:color w:val="auto"/>
                <w:kern w:val="0"/>
                <w:sz w:val="21"/>
                <w:szCs w:val="21"/>
                <w:highlight w:val="none"/>
                <w:lang w:eastAsia="zh-CN"/>
              </w:rPr>
              <w:t>响应供应商</w:t>
            </w:r>
            <w:r>
              <w:rPr>
                <w:rFonts w:hint="eastAsia" w:ascii="仿宋" w:hAnsi="仿宋" w:eastAsia="仿宋" w:cs="仿宋"/>
                <w:color w:val="auto"/>
                <w:kern w:val="0"/>
                <w:sz w:val="21"/>
                <w:szCs w:val="21"/>
                <w:highlight w:val="none"/>
              </w:rPr>
              <w:t>提供的售后服务内容（</w:t>
            </w:r>
            <w:r>
              <w:rPr>
                <w:rFonts w:hint="eastAsia" w:ascii="仿宋" w:hAnsi="仿宋" w:eastAsia="仿宋" w:cs="仿宋"/>
                <w:color w:val="auto"/>
                <w:kern w:val="0"/>
                <w:sz w:val="21"/>
                <w:szCs w:val="21"/>
                <w:highlight w:val="none"/>
                <w:lang w:eastAsia="zh-CN"/>
              </w:rPr>
              <w:t>包含但不限于线上系统课程更新、咨询辅导资料提供及后续咨询指导</w:t>
            </w:r>
            <w:r>
              <w:rPr>
                <w:rFonts w:hint="eastAsia" w:ascii="仿宋" w:hAnsi="仿宋" w:eastAsia="仿宋" w:cs="仿宋"/>
                <w:color w:val="auto"/>
                <w:kern w:val="0"/>
                <w:sz w:val="21"/>
                <w:szCs w:val="21"/>
                <w:highlight w:val="none"/>
              </w:rPr>
              <w:t>）进行评分：</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售后服务方案详细、具体，完全满足</w:t>
            </w:r>
            <w:r>
              <w:rPr>
                <w:rFonts w:hint="eastAsia" w:ascii="仿宋" w:hAnsi="仿宋" w:eastAsia="仿宋" w:cs="仿宋"/>
                <w:color w:val="auto"/>
                <w:kern w:val="0"/>
                <w:sz w:val="21"/>
                <w:szCs w:val="21"/>
                <w:highlight w:val="none"/>
                <w:lang w:eastAsia="zh-CN"/>
              </w:rPr>
              <w:t>且</w:t>
            </w:r>
            <w:r>
              <w:rPr>
                <w:rFonts w:hint="eastAsia" w:ascii="仿宋" w:hAnsi="仿宋" w:eastAsia="仿宋" w:cs="仿宋"/>
                <w:color w:val="auto"/>
                <w:kern w:val="0"/>
                <w:sz w:val="21"/>
                <w:szCs w:val="21"/>
                <w:highlight w:val="none"/>
              </w:rPr>
              <w:t>优于</w:t>
            </w:r>
            <w:r>
              <w:rPr>
                <w:rFonts w:hint="eastAsia" w:ascii="仿宋" w:hAnsi="仿宋" w:eastAsia="仿宋" w:cs="仿宋"/>
                <w:color w:val="auto"/>
                <w:kern w:val="0"/>
                <w:sz w:val="21"/>
                <w:szCs w:val="21"/>
                <w:highlight w:val="none"/>
                <w:lang w:eastAsia="zh-CN"/>
              </w:rPr>
              <w:t>比选文件</w:t>
            </w:r>
            <w:r>
              <w:rPr>
                <w:rFonts w:hint="eastAsia" w:ascii="仿宋" w:hAnsi="仿宋" w:eastAsia="仿宋" w:cs="仿宋"/>
                <w:color w:val="auto"/>
                <w:kern w:val="0"/>
                <w:sz w:val="21"/>
                <w:szCs w:val="21"/>
                <w:highlight w:val="none"/>
              </w:rPr>
              <w:t>要求</w:t>
            </w:r>
            <w:r>
              <w:rPr>
                <w:rFonts w:hint="eastAsia" w:ascii="仿宋" w:hAnsi="仿宋" w:eastAsia="仿宋" w:cs="仿宋"/>
                <w:color w:val="auto"/>
                <w:kern w:val="0"/>
                <w:sz w:val="21"/>
                <w:szCs w:val="21"/>
                <w:highlight w:val="none"/>
                <w:lang w:eastAsia="zh-CN"/>
              </w:rPr>
              <w:t>，执行性高</w:t>
            </w:r>
            <w:r>
              <w:rPr>
                <w:rFonts w:hint="eastAsia" w:ascii="仿宋" w:hAnsi="仿宋" w:eastAsia="仿宋" w:cs="仿宋"/>
                <w:color w:val="auto"/>
                <w:kern w:val="0"/>
                <w:sz w:val="21"/>
                <w:szCs w:val="21"/>
                <w:highlight w:val="none"/>
              </w:rPr>
              <w:t>，得</w:t>
            </w:r>
            <w:r>
              <w:rPr>
                <w:rFonts w:hint="eastAsia" w:ascii="仿宋" w:hAnsi="仿宋" w:eastAsia="仿宋" w:cs="仿宋"/>
                <w:color w:val="auto"/>
                <w:kern w:val="0"/>
                <w:sz w:val="21"/>
                <w:szCs w:val="21"/>
                <w:highlight w:val="none"/>
                <w:lang w:val="en-US" w:eastAsia="zh-CN"/>
              </w:rPr>
              <w:t>9</w:t>
            </w:r>
            <w:r>
              <w:rPr>
                <w:rFonts w:hint="eastAsia" w:ascii="仿宋" w:hAnsi="仿宋" w:eastAsia="仿宋" w:cs="仿宋"/>
                <w:color w:val="auto"/>
                <w:kern w:val="0"/>
                <w:sz w:val="21"/>
                <w:szCs w:val="21"/>
                <w:highlight w:val="none"/>
              </w:rPr>
              <w:t xml:space="preserve">分； </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售后服务方案</w:t>
            </w:r>
            <w:r>
              <w:rPr>
                <w:rFonts w:hint="eastAsia" w:ascii="仿宋" w:hAnsi="仿宋" w:eastAsia="仿宋" w:cs="仿宋"/>
                <w:color w:val="auto"/>
                <w:kern w:val="0"/>
                <w:sz w:val="21"/>
                <w:szCs w:val="21"/>
                <w:highlight w:val="none"/>
                <w:lang w:eastAsia="zh-CN"/>
              </w:rPr>
              <w:t>较</w:t>
            </w:r>
            <w:r>
              <w:rPr>
                <w:rFonts w:hint="eastAsia" w:ascii="仿宋" w:hAnsi="仿宋" w:eastAsia="仿宋" w:cs="仿宋"/>
                <w:color w:val="auto"/>
                <w:kern w:val="0"/>
                <w:sz w:val="21"/>
                <w:szCs w:val="21"/>
                <w:highlight w:val="none"/>
              </w:rPr>
              <w:t>详细、具体，满足</w:t>
            </w:r>
            <w:r>
              <w:rPr>
                <w:rFonts w:hint="eastAsia" w:ascii="仿宋" w:hAnsi="仿宋" w:eastAsia="仿宋" w:cs="仿宋"/>
                <w:color w:val="auto"/>
                <w:kern w:val="0"/>
                <w:sz w:val="21"/>
                <w:szCs w:val="21"/>
                <w:highlight w:val="none"/>
                <w:lang w:eastAsia="zh-CN"/>
              </w:rPr>
              <w:t>比选文件</w:t>
            </w:r>
            <w:r>
              <w:rPr>
                <w:rFonts w:hint="eastAsia" w:ascii="仿宋" w:hAnsi="仿宋" w:eastAsia="仿宋" w:cs="仿宋"/>
                <w:color w:val="auto"/>
                <w:kern w:val="0"/>
                <w:sz w:val="21"/>
                <w:szCs w:val="21"/>
                <w:highlight w:val="none"/>
              </w:rPr>
              <w:t>要求</w:t>
            </w:r>
            <w:r>
              <w:rPr>
                <w:rFonts w:hint="eastAsia" w:ascii="仿宋" w:hAnsi="仿宋" w:eastAsia="仿宋" w:cs="仿宋"/>
                <w:color w:val="auto"/>
                <w:kern w:val="0"/>
                <w:sz w:val="21"/>
                <w:szCs w:val="21"/>
                <w:highlight w:val="none"/>
                <w:lang w:eastAsia="zh-CN"/>
              </w:rPr>
              <w:t>，有一定执行性</w:t>
            </w:r>
            <w:r>
              <w:rPr>
                <w:rFonts w:hint="eastAsia" w:ascii="仿宋" w:hAnsi="仿宋" w:eastAsia="仿宋" w:cs="仿宋"/>
                <w:color w:val="auto"/>
                <w:kern w:val="0"/>
                <w:sz w:val="21"/>
                <w:szCs w:val="21"/>
                <w:highlight w:val="none"/>
              </w:rPr>
              <w:t>，得</w:t>
            </w: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分；</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售后服务方案不详细、具体</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基本满足</w:t>
            </w:r>
            <w:r>
              <w:rPr>
                <w:rFonts w:hint="eastAsia" w:ascii="仿宋" w:hAnsi="仿宋" w:eastAsia="仿宋" w:cs="仿宋"/>
                <w:color w:val="auto"/>
                <w:kern w:val="0"/>
                <w:sz w:val="21"/>
                <w:szCs w:val="21"/>
                <w:highlight w:val="none"/>
                <w:lang w:eastAsia="zh-CN"/>
              </w:rPr>
              <w:t>比选文件</w:t>
            </w:r>
            <w:r>
              <w:rPr>
                <w:rFonts w:hint="eastAsia" w:ascii="仿宋" w:hAnsi="仿宋" w:eastAsia="仿宋" w:cs="仿宋"/>
                <w:color w:val="auto"/>
                <w:kern w:val="0"/>
                <w:sz w:val="21"/>
                <w:szCs w:val="21"/>
                <w:highlight w:val="none"/>
              </w:rPr>
              <w:t>要求</w:t>
            </w:r>
            <w:r>
              <w:rPr>
                <w:rFonts w:hint="eastAsia" w:ascii="仿宋" w:hAnsi="仿宋" w:eastAsia="仿宋" w:cs="仿宋"/>
                <w:color w:val="auto"/>
                <w:kern w:val="0"/>
                <w:sz w:val="21"/>
                <w:szCs w:val="21"/>
                <w:highlight w:val="none"/>
                <w:lang w:eastAsia="zh-CN"/>
              </w:rPr>
              <w:t>，执行性不高</w:t>
            </w:r>
            <w:r>
              <w:rPr>
                <w:rFonts w:hint="eastAsia" w:ascii="仿宋" w:hAnsi="仿宋" w:eastAsia="仿宋" w:cs="仿宋"/>
                <w:color w:val="auto"/>
                <w:kern w:val="0"/>
                <w:sz w:val="21"/>
                <w:szCs w:val="21"/>
                <w:highlight w:val="none"/>
              </w:rPr>
              <w:t>，得</w:t>
            </w: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分；</w:t>
            </w:r>
          </w:p>
          <w:p>
            <w:pPr>
              <w:widowControl/>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4.无提供不得分。</w:t>
            </w:r>
          </w:p>
        </w:tc>
        <w:tc>
          <w:tcPr>
            <w:tcW w:w="1535" w:type="dxa"/>
            <w:noWrap w:val="0"/>
            <w:vAlign w:val="center"/>
          </w:tcPr>
          <w:p>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416" w:type="dxa"/>
            <w:noWrap w:val="0"/>
            <w:vAlign w:val="center"/>
          </w:tcPr>
          <w:p>
            <w:pPr>
              <w:widowControl/>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服务考核方案</w:t>
            </w:r>
          </w:p>
        </w:tc>
        <w:tc>
          <w:tcPr>
            <w:tcW w:w="5232" w:type="dxa"/>
            <w:noWrap w:val="0"/>
            <w:vAlign w:val="top"/>
          </w:tcPr>
          <w:p>
            <w:pPr>
              <w:widowControl/>
              <w:jc w:val="left"/>
              <w:rPr>
                <w:rFonts w:hint="eastAsia" w:ascii="仿宋" w:hAnsi="仿宋" w:eastAsia="仿宋" w:cs="仿宋"/>
                <w:color w:val="auto"/>
                <w:kern w:val="0"/>
                <w:sz w:val="21"/>
                <w:szCs w:val="21"/>
                <w:highlight w:val="none"/>
                <w:lang w:val="en-GB" w:eastAsia="zh-CN"/>
              </w:rPr>
            </w:pPr>
            <w:r>
              <w:rPr>
                <w:rFonts w:hint="eastAsia" w:ascii="仿宋" w:hAnsi="仿宋" w:eastAsia="仿宋" w:cs="仿宋"/>
                <w:color w:val="auto"/>
                <w:kern w:val="0"/>
                <w:sz w:val="21"/>
                <w:szCs w:val="21"/>
                <w:highlight w:val="none"/>
                <w:lang w:val="en-GB" w:eastAsia="zh-CN"/>
              </w:rPr>
              <w:t>对各供应商提供的服务考核方案（包含但不限于服务质量目标、质量管理制度、服务考核措施）进行评分：</w:t>
            </w:r>
          </w:p>
          <w:p>
            <w:pPr>
              <w:widowControl/>
              <w:jc w:val="left"/>
              <w:rPr>
                <w:rFonts w:hint="eastAsia" w:ascii="仿宋" w:hAnsi="仿宋" w:eastAsia="仿宋" w:cs="仿宋"/>
                <w:color w:val="auto"/>
                <w:kern w:val="0"/>
                <w:sz w:val="21"/>
                <w:szCs w:val="21"/>
                <w:highlight w:val="none"/>
                <w:lang w:val="en-GB" w:eastAsia="zh-CN"/>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lang w:val="en-GB" w:eastAsia="zh-CN"/>
              </w:rPr>
              <w:t>.质量目标、质量管理制度内容详细完整，服务考核措施及相关承诺和合理化建议科学合理，可行性高，得1</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lang w:val="en-GB" w:eastAsia="zh-CN"/>
              </w:rPr>
              <w:t xml:space="preserve">分； </w:t>
            </w:r>
          </w:p>
          <w:p>
            <w:pPr>
              <w:widowControl/>
              <w:jc w:val="left"/>
              <w:rPr>
                <w:rFonts w:hint="eastAsia" w:ascii="仿宋" w:hAnsi="仿宋" w:eastAsia="仿宋" w:cs="仿宋"/>
                <w:color w:val="auto"/>
                <w:kern w:val="0"/>
                <w:sz w:val="21"/>
                <w:szCs w:val="21"/>
                <w:highlight w:val="none"/>
                <w:lang w:val="en-GB" w:eastAsia="zh-CN"/>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lang w:val="en-GB" w:eastAsia="zh-CN"/>
              </w:rPr>
              <w:t xml:space="preserve">.质量目标、质量管理制度内容较详细完整，服务考核措施及相关承诺和合理化建议较科学合理，可行性较高，得7分； </w:t>
            </w:r>
          </w:p>
          <w:p>
            <w:pPr>
              <w:widowControl/>
              <w:jc w:val="left"/>
              <w:rPr>
                <w:rFonts w:hint="eastAsia" w:ascii="仿宋" w:hAnsi="仿宋" w:eastAsia="仿宋" w:cs="仿宋"/>
                <w:color w:val="auto"/>
                <w:kern w:val="0"/>
                <w:sz w:val="21"/>
                <w:szCs w:val="21"/>
                <w:highlight w:val="none"/>
                <w:lang w:val="en-GB" w:eastAsia="zh-CN"/>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lang w:val="en-GB" w:eastAsia="zh-CN"/>
              </w:rPr>
              <w:t>.质量目标、质量管理制度内容基本完整，服务考核措施及相关承诺和合理化建议基本科学合理，可行性一般，得</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lang w:val="en-GB" w:eastAsia="zh-CN"/>
              </w:rPr>
              <w:t>分；</w:t>
            </w:r>
          </w:p>
          <w:p>
            <w:pPr>
              <w:widowControl/>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4.无提供不得分</w:t>
            </w:r>
          </w:p>
        </w:tc>
        <w:tc>
          <w:tcPr>
            <w:tcW w:w="1535" w:type="dxa"/>
            <w:noWrap w:val="0"/>
            <w:vAlign w:val="center"/>
          </w:tcPr>
          <w:p>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pPr>
              <w:widowControl/>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同类业绩</w:t>
            </w:r>
          </w:p>
        </w:tc>
        <w:tc>
          <w:tcPr>
            <w:tcW w:w="5232" w:type="dxa"/>
            <w:noWrap w:val="0"/>
            <w:vAlign w:val="top"/>
          </w:tcPr>
          <w:p>
            <w:pPr>
              <w:widowControl/>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lang w:eastAsia="zh-CN"/>
              </w:rPr>
              <w:t>自2021年1月1日至今，各响应供应商每提供一份同类业绩（同类是指培训班课程服务），得</w:t>
            </w:r>
            <w:r>
              <w:rPr>
                <w:rFonts w:hint="eastAsia" w:ascii="仿宋" w:hAnsi="仿宋" w:eastAsia="仿宋" w:cs="仿宋"/>
                <w:color w:val="auto"/>
                <w:kern w:val="0"/>
                <w:sz w:val="21"/>
                <w:szCs w:val="21"/>
                <w:highlight w:val="none"/>
                <w:lang w:val="en-US" w:eastAsia="zh-CN"/>
              </w:rPr>
              <w:t xml:space="preserve"> 3</w:t>
            </w:r>
            <w:r>
              <w:rPr>
                <w:rFonts w:hint="eastAsia" w:ascii="仿宋" w:hAnsi="仿宋" w:eastAsia="仿宋" w:cs="仿宋"/>
                <w:color w:val="auto"/>
                <w:kern w:val="0"/>
                <w:sz w:val="21"/>
                <w:szCs w:val="21"/>
                <w:highlight w:val="none"/>
                <w:lang w:eastAsia="zh-CN"/>
              </w:rPr>
              <w:t>分，最多得</w:t>
            </w:r>
            <w:r>
              <w:rPr>
                <w:rFonts w:hint="eastAsia" w:ascii="仿宋" w:hAnsi="仿宋" w:eastAsia="仿宋" w:cs="仿宋"/>
                <w:color w:val="auto"/>
                <w:kern w:val="0"/>
                <w:sz w:val="21"/>
                <w:szCs w:val="21"/>
                <w:highlight w:val="none"/>
                <w:lang w:val="en-US" w:eastAsia="zh-CN"/>
              </w:rPr>
              <w:t>9</w:t>
            </w:r>
            <w:r>
              <w:rPr>
                <w:rFonts w:hint="eastAsia" w:ascii="仿宋" w:hAnsi="仿宋" w:eastAsia="仿宋" w:cs="仿宋"/>
                <w:color w:val="auto"/>
                <w:kern w:val="0"/>
                <w:sz w:val="21"/>
                <w:szCs w:val="21"/>
                <w:highlight w:val="none"/>
                <w:lang w:eastAsia="zh-CN"/>
              </w:rPr>
              <w:t xml:space="preserve">分。 </w:t>
            </w:r>
          </w:p>
          <w:p>
            <w:pPr>
              <w:widowControl/>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lang w:eastAsia="zh-CN"/>
              </w:rPr>
              <w:t>自2021年1月1日至今，各响应供应商每提供一份网络自学视频服务经验业绩，得</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lang w:eastAsia="zh-CN"/>
              </w:rPr>
              <w:t>分，最多得</w:t>
            </w: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lang w:eastAsia="zh-CN"/>
              </w:rPr>
              <w:t>分。</w:t>
            </w:r>
          </w:p>
          <w:p>
            <w:pPr>
              <w:widowControl/>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eastAsia="zh-CN"/>
              </w:rPr>
              <w:t>注：同类业绩证明文件是中标/成交通知书或合同关键页的复印件或扫描件（合同关键页是指包括：①签订合同双方的单位名称；②合同项目名称；③签订合同双方的签章、盖章及签订日期）</w:t>
            </w:r>
            <w:r>
              <w:rPr>
                <w:rFonts w:hint="eastAsia" w:ascii="仿宋" w:hAnsi="仿宋" w:eastAsia="仿宋" w:cs="仿宋"/>
                <w:color w:val="auto"/>
                <w:kern w:val="0"/>
                <w:sz w:val="21"/>
                <w:szCs w:val="21"/>
                <w:highlight w:val="none"/>
                <w:lang w:val="en-US" w:eastAsia="zh-CN"/>
              </w:rPr>
              <w:t>。</w:t>
            </w:r>
          </w:p>
          <w:p>
            <w:pPr>
              <w:widowControl/>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eastAsia="zh-CN"/>
              </w:rPr>
              <w:t>无提供不得分。</w:t>
            </w:r>
          </w:p>
        </w:tc>
        <w:tc>
          <w:tcPr>
            <w:tcW w:w="1535" w:type="dxa"/>
            <w:noWrap w:val="0"/>
            <w:vAlign w:val="center"/>
          </w:tcPr>
          <w:p>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pPr>
              <w:widowControl/>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用户评价</w:t>
            </w:r>
          </w:p>
        </w:tc>
        <w:tc>
          <w:tcPr>
            <w:tcW w:w="5232" w:type="dxa"/>
            <w:noWrap w:val="0"/>
            <w:vAlign w:val="top"/>
          </w:tcPr>
          <w:p>
            <w:pPr>
              <w:widowControl/>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各响应供应商提供自2021年1月1日至今，同类项目经验的用户单位出具的满意度评价，评价情况至少须为“满意”、“优秀”、“90分”或类似好评的方可计分。</w:t>
            </w:r>
          </w:p>
          <w:p>
            <w:pPr>
              <w:widowControl/>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每提供一项得2分，本项最高6分。</w:t>
            </w:r>
          </w:p>
          <w:p>
            <w:pPr>
              <w:widowControl/>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1.同一</w:t>
            </w:r>
            <w:r>
              <w:rPr>
                <w:rFonts w:hint="eastAsia" w:ascii="仿宋" w:hAnsi="仿宋" w:eastAsia="仿宋" w:cs="仿宋"/>
                <w:color w:val="auto"/>
                <w:kern w:val="0"/>
                <w:sz w:val="21"/>
                <w:szCs w:val="21"/>
                <w:highlight w:val="none"/>
              </w:rPr>
              <w:t>用户</w:t>
            </w:r>
            <w:r>
              <w:rPr>
                <w:rFonts w:hint="eastAsia" w:ascii="仿宋" w:hAnsi="仿宋" w:eastAsia="仿宋" w:cs="仿宋"/>
                <w:color w:val="auto"/>
                <w:kern w:val="0"/>
                <w:sz w:val="21"/>
                <w:szCs w:val="21"/>
                <w:highlight w:val="none"/>
                <w:lang w:val="en-US" w:eastAsia="zh-CN"/>
              </w:rPr>
              <w:t>或同一项目提供多项用户满意度评价的，按一项计算；</w:t>
            </w:r>
          </w:p>
          <w:p>
            <w:pPr>
              <w:widowControl/>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2.应与响应供应商上述“同类业绩”提供的2021年1月1日至今的同类项目经验的业绩对应一致；</w:t>
            </w:r>
          </w:p>
          <w:p>
            <w:pPr>
              <w:widowControl/>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3.用户满意度评价须经用户单位盖章，评价情况至少须为满意或类似好评的方可计分。</w:t>
            </w:r>
          </w:p>
          <w:p>
            <w:pPr>
              <w:widowControl/>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4.无提供不得分</w:t>
            </w:r>
          </w:p>
        </w:tc>
        <w:tc>
          <w:tcPr>
            <w:tcW w:w="1535" w:type="dxa"/>
            <w:noWrap w:val="0"/>
            <w:vAlign w:val="center"/>
          </w:tcPr>
          <w:p>
            <w:pPr>
              <w:widowControl/>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通过相关认证情况</w:t>
            </w:r>
          </w:p>
        </w:tc>
        <w:tc>
          <w:tcPr>
            <w:tcW w:w="5232" w:type="dxa"/>
            <w:noWrap w:val="0"/>
            <w:vAlign w:val="center"/>
          </w:tcPr>
          <w:p>
            <w:pPr>
              <w:widowControl/>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各供应商应具备：</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1.质量管理体系认证证书；</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2.环境管理体系标准认证证书；</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3.职业健康安全管理体系认证证书；</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以上</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每提供一项得2分，最高得6分。</w:t>
            </w:r>
          </w:p>
          <w:p>
            <w:pPr>
              <w:widowControl/>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（提供有效的认证证书复印件或提供全国认证认可信息公共服务平台（认e云）网站（http://cx.cnca.cn/）的相关证书认证信息截图并加盖公司公章。</w:t>
            </w:r>
          </w:p>
          <w:p>
            <w:pPr>
              <w:widowControl/>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eastAsia="zh-CN"/>
              </w:rPr>
              <w:t>无提供不得分。）</w:t>
            </w:r>
          </w:p>
        </w:tc>
        <w:tc>
          <w:tcPr>
            <w:tcW w:w="1535" w:type="dxa"/>
            <w:noWrap w:val="0"/>
            <w:vAlign w:val="center"/>
          </w:tcPr>
          <w:p>
            <w:pPr>
              <w:widowControl/>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拟投入本项目</w:t>
            </w:r>
            <w:r>
              <w:rPr>
                <w:rFonts w:hint="eastAsia" w:ascii="仿宋" w:hAnsi="仿宋" w:eastAsia="仿宋" w:cs="仿宋"/>
                <w:color w:val="auto"/>
                <w:sz w:val="21"/>
                <w:szCs w:val="21"/>
                <w:highlight w:val="none"/>
                <w:lang w:eastAsia="zh-CN"/>
              </w:rPr>
              <w:t>的项目负责人</w:t>
            </w:r>
          </w:p>
        </w:tc>
        <w:tc>
          <w:tcPr>
            <w:tcW w:w="5232" w:type="dxa"/>
            <w:noWrap w:val="0"/>
            <w:vAlign w:val="center"/>
          </w:tcPr>
          <w:p>
            <w:pPr>
              <w:widowControl/>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响应供应商需提供1名项目负责人，且应为供应商法定代表人或正式聘任员工。</w:t>
            </w:r>
          </w:p>
          <w:p>
            <w:pPr>
              <w:widowControl/>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该项目负责人应具备：</w:t>
            </w:r>
          </w:p>
          <w:p>
            <w:pPr>
              <w:widowControl/>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1.与临床医学相关专业的本科及以上学历，得2分；</w:t>
            </w:r>
          </w:p>
          <w:p>
            <w:pPr>
              <w:widowControl/>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2.发表过与医学相关领域的教学研究成果（教学论文或教材）经验的，每提供1份，得2分，最高得8分。</w:t>
            </w:r>
          </w:p>
          <w:p>
            <w:pPr>
              <w:widowControl/>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以上2项累计得分，最高得10分。</w:t>
            </w:r>
          </w:p>
          <w:p>
            <w:pPr>
              <w:widowControl/>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①提供项目负责人聘用合同关键页或响应供应商购买的该人员近一个月的社保证明（社保证明资料应当至少包含医疗保险，证明资料可为社保收缴部门盖章证明资料、社保窗口打印资料或社保官网截图。由于社保部门原因最近一个月的社保证明无法提供的可往前顺延一个月，如供应商为新成立企业且成立时间不足一个月可提供情况说明或者证明材料亦视为符合）。若项目负责人为供应商的法定代表人则无需提供社保证明。</w:t>
            </w:r>
          </w:p>
          <w:p>
            <w:pPr>
              <w:widowControl/>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②提供上述评审标准相关的学历证书复印件并加盖公章。</w:t>
            </w:r>
          </w:p>
          <w:p>
            <w:pPr>
              <w:widowControl/>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③提供教学论文或教材等证明材料并加盖公章，证明文件需体现项目负责人名称。</w:t>
            </w:r>
          </w:p>
          <w:p>
            <w:pPr>
              <w:widowControl/>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④无提供不得分。）</w:t>
            </w:r>
          </w:p>
        </w:tc>
        <w:tc>
          <w:tcPr>
            <w:tcW w:w="1535" w:type="dxa"/>
            <w:noWrap w:val="0"/>
            <w:vAlign w:val="center"/>
          </w:tcPr>
          <w:p>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报价得分</w:t>
            </w:r>
          </w:p>
        </w:tc>
        <w:tc>
          <w:tcPr>
            <w:tcW w:w="5232" w:type="dxa"/>
            <w:noWrap w:val="0"/>
            <w:vAlign w:val="top"/>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响应</w:t>
            </w:r>
            <w:r>
              <w:rPr>
                <w:rFonts w:hint="eastAsia" w:ascii="仿宋" w:hAnsi="仿宋" w:eastAsia="仿宋" w:cs="仿宋"/>
                <w:color w:val="auto"/>
                <w:kern w:val="0"/>
                <w:sz w:val="21"/>
                <w:szCs w:val="21"/>
                <w:highlight w:val="none"/>
              </w:rPr>
              <w:t>报价得分＝（</w:t>
            </w:r>
            <w:r>
              <w:rPr>
                <w:rFonts w:hint="eastAsia" w:ascii="仿宋" w:hAnsi="仿宋" w:eastAsia="仿宋" w:cs="仿宋"/>
                <w:color w:val="auto"/>
                <w:kern w:val="0"/>
                <w:sz w:val="21"/>
                <w:szCs w:val="21"/>
                <w:highlight w:val="none"/>
                <w:lang w:eastAsia="zh-CN"/>
              </w:rPr>
              <w:t>评审</w:t>
            </w:r>
            <w:r>
              <w:rPr>
                <w:rFonts w:hint="eastAsia" w:ascii="仿宋" w:hAnsi="仿宋" w:eastAsia="仿宋" w:cs="仿宋"/>
                <w:color w:val="auto"/>
                <w:kern w:val="0"/>
                <w:sz w:val="21"/>
                <w:szCs w:val="21"/>
                <w:highlight w:val="none"/>
              </w:rPr>
              <w:t>基准价/</w:t>
            </w:r>
            <w:r>
              <w:rPr>
                <w:rFonts w:hint="eastAsia" w:ascii="仿宋" w:hAnsi="仿宋" w:eastAsia="仿宋" w:cs="仿宋"/>
                <w:color w:val="auto"/>
                <w:kern w:val="0"/>
                <w:sz w:val="21"/>
                <w:szCs w:val="21"/>
                <w:highlight w:val="none"/>
                <w:lang w:eastAsia="zh-CN"/>
              </w:rPr>
              <w:t>响应</w:t>
            </w:r>
            <w:r>
              <w:rPr>
                <w:rFonts w:hint="eastAsia" w:ascii="仿宋" w:hAnsi="仿宋" w:eastAsia="仿宋" w:cs="仿宋"/>
                <w:color w:val="auto"/>
                <w:kern w:val="0"/>
                <w:sz w:val="21"/>
                <w:szCs w:val="21"/>
                <w:highlight w:val="none"/>
              </w:rPr>
              <w:t>报价）×价格分值</w:t>
            </w:r>
          </w:p>
          <w:p>
            <w:pPr>
              <w:widowControl/>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【注：满足</w:t>
            </w:r>
            <w:r>
              <w:rPr>
                <w:rFonts w:hint="eastAsia" w:ascii="仿宋" w:hAnsi="仿宋" w:eastAsia="仿宋" w:cs="仿宋"/>
                <w:color w:val="auto"/>
                <w:kern w:val="0"/>
                <w:sz w:val="21"/>
                <w:szCs w:val="21"/>
                <w:highlight w:val="none"/>
                <w:lang w:eastAsia="zh-CN"/>
              </w:rPr>
              <w:t>比选</w:t>
            </w:r>
            <w:r>
              <w:rPr>
                <w:rFonts w:hint="eastAsia" w:ascii="仿宋" w:hAnsi="仿宋" w:eastAsia="仿宋" w:cs="仿宋"/>
                <w:color w:val="auto"/>
                <w:kern w:val="0"/>
                <w:sz w:val="21"/>
                <w:szCs w:val="21"/>
                <w:highlight w:val="none"/>
              </w:rPr>
              <w:t>文件要求且</w:t>
            </w:r>
            <w:r>
              <w:rPr>
                <w:rFonts w:hint="eastAsia" w:ascii="仿宋" w:hAnsi="仿宋" w:eastAsia="仿宋" w:cs="仿宋"/>
                <w:color w:val="auto"/>
                <w:kern w:val="0"/>
                <w:sz w:val="21"/>
                <w:szCs w:val="21"/>
                <w:highlight w:val="none"/>
                <w:lang w:eastAsia="zh-CN"/>
              </w:rPr>
              <w:t>响应</w:t>
            </w:r>
            <w:r>
              <w:rPr>
                <w:rFonts w:hint="eastAsia" w:ascii="仿宋" w:hAnsi="仿宋" w:eastAsia="仿宋" w:cs="仿宋"/>
                <w:color w:val="auto"/>
                <w:kern w:val="0"/>
                <w:sz w:val="21"/>
                <w:szCs w:val="21"/>
                <w:highlight w:val="none"/>
              </w:rPr>
              <w:t>价格最低的</w:t>
            </w:r>
            <w:r>
              <w:rPr>
                <w:rFonts w:hint="eastAsia" w:ascii="仿宋" w:hAnsi="仿宋" w:eastAsia="仿宋" w:cs="仿宋"/>
                <w:color w:val="auto"/>
                <w:kern w:val="0"/>
                <w:sz w:val="21"/>
                <w:szCs w:val="21"/>
                <w:highlight w:val="none"/>
                <w:lang w:eastAsia="zh-CN"/>
              </w:rPr>
              <w:t>响应</w:t>
            </w:r>
            <w:r>
              <w:rPr>
                <w:rFonts w:hint="eastAsia" w:ascii="仿宋" w:hAnsi="仿宋" w:eastAsia="仿宋" w:cs="仿宋"/>
                <w:color w:val="auto"/>
                <w:kern w:val="0"/>
                <w:sz w:val="21"/>
                <w:szCs w:val="21"/>
                <w:highlight w:val="none"/>
              </w:rPr>
              <w:t>报价为</w:t>
            </w:r>
            <w:r>
              <w:rPr>
                <w:rFonts w:hint="eastAsia" w:ascii="仿宋" w:hAnsi="仿宋" w:eastAsia="仿宋" w:cs="仿宋"/>
                <w:color w:val="auto"/>
                <w:kern w:val="0"/>
                <w:sz w:val="21"/>
                <w:szCs w:val="21"/>
                <w:highlight w:val="none"/>
                <w:lang w:eastAsia="zh-CN"/>
              </w:rPr>
              <w:t>评审</w:t>
            </w:r>
            <w:r>
              <w:rPr>
                <w:rFonts w:hint="eastAsia" w:ascii="仿宋" w:hAnsi="仿宋" w:eastAsia="仿宋" w:cs="仿宋"/>
                <w:color w:val="auto"/>
                <w:kern w:val="0"/>
                <w:sz w:val="21"/>
                <w:szCs w:val="21"/>
                <w:highlight w:val="none"/>
              </w:rPr>
              <w:t>基准价。】最低报价不是</w:t>
            </w:r>
            <w:r>
              <w:rPr>
                <w:rFonts w:hint="eastAsia" w:ascii="仿宋" w:hAnsi="仿宋" w:eastAsia="仿宋" w:cs="仿宋"/>
                <w:color w:val="auto"/>
                <w:kern w:val="0"/>
                <w:sz w:val="21"/>
                <w:szCs w:val="21"/>
                <w:highlight w:val="none"/>
                <w:lang w:eastAsia="zh-CN"/>
              </w:rPr>
              <w:t>成交</w:t>
            </w:r>
            <w:r>
              <w:rPr>
                <w:rFonts w:hint="eastAsia" w:ascii="仿宋" w:hAnsi="仿宋" w:eastAsia="仿宋" w:cs="仿宋"/>
                <w:color w:val="auto"/>
                <w:kern w:val="0"/>
                <w:sz w:val="21"/>
                <w:szCs w:val="21"/>
                <w:highlight w:val="none"/>
              </w:rPr>
              <w:t>的唯一依据。因落实政府采购政策进行价格调整的，以调整后的价格计算</w:t>
            </w:r>
            <w:r>
              <w:rPr>
                <w:rFonts w:hint="eastAsia" w:ascii="仿宋" w:hAnsi="仿宋" w:eastAsia="仿宋" w:cs="仿宋"/>
                <w:color w:val="auto"/>
                <w:kern w:val="0"/>
                <w:sz w:val="21"/>
                <w:szCs w:val="21"/>
                <w:highlight w:val="none"/>
                <w:lang w:eastAsia="zh-CN"/>
              </w:rPr>
              <w:t>评审</w:t>
            </w:r>
            <w:r>
              <w:rPr>
                <w:rFonts w:hint="eastAsia" w:ascii="仿宋" w:hAnsi="仿宋" w:eastAsia="仿宋" w:cs="仿宋"/>
                <w:color w:val="auto"/>
                <w:kern w:val="0"/>
                <w:sz w:val="21"/>
                <w:szCs w:val="21"/>
                <w:highlight w:val="none"/>
              </w:rPr>
              <w:t>基准价和</w:t>
            </w:r>
            <w:r>
              <w:rPr>
                <w:rFonts w:hint="eastAsia" w:ascii="仿宋" w:hAnsi="仿宋" w:eastAsia="仿宋" w:cs="仿宋"/>
                <w:color w:val="auto"/>
                <w:kern w:val="0"/>
                <w:sz w:val="21"/>
                <w:szCs w:val="21"/>
                <w:highlight w:val="none"/>
                <w:lang w:eastAsia="zh-CN"/>
              </w:rPr>
              <w:t>响应</w:t>
            </w:r>
            <w:r>
              <w:rPr>
                <w:rFonts w:hint="eastAsia" w:ascii="仿宋" w:hAnsi="仿宋" w:eastAsia="仿宋" w:cs="仿宋"/>
                <w:color w:val="auto"/>
                <w:kern w:val="0"/>
                <w:sz w:val="21"/>
                <w:szCs w:val="21"/>
                <w:highlight w:val="none"/>
              </w:rPr>
              <w:t>报价。</w:t>
            </w:r>
          </w:p>
        </w:tc>
        <w:tc>
          <w:tcPr>
            <w:tcW w:w="1535" w:type="dxa"/>
            <w:noWrap w:val="0"/>
            <w:vAlign w:val="center"/>
          </w:tcPr>
          <w:p>
            <w:pPr>
              <w:widowControl/>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见响应文件第（      ）页</w:t>
            </w:r>
          </w:p>
        </w:tc>
      </w:tr>
    </w:tbl>
    <w:p>
      <w:pPr>
        <w:adjustRightInd w:val="0"/>
        <w:snapToGrid w:val="0"/>
        <w:spacing w:line="300" w:lineRule="auto"/>
        <w:rPr>
          <w:rFonts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响应供应商名称（盖章）：</w:t>
      </w:r>
      <w:r>
        <w:rPr>
          <w:rFonts w:hint="eastAsia" w:ascii="仿宋" w:hAnsi="仿宋" w:eastAsia="仿宋" w:cs="仿宋"/>
          <w:color w:val="auto"/>
          <w:sz w:val="24"/>
          <w:highlight w:val="none"/>
          <w:u w:val="single"/>
        </w:rPr>
        <w:t xml:space="preserve">                        </w:t>
      </w:r>
    </w:p>
    <w:p>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hint="eastAsia" w:ascii="仿宋" w:hAnsi="仿宋" w:eastAsia="仿宋" w:cs="仿宋"/>
          <w:color w:val="auto"/>
          <w:sz w:val="24"/>
          <w:highlight w:val="none"/>
        </w:rPr>
      </w:pPr>
    </w:p>
    <w:p>
      <w:pPr>
        <w:rPr>
          <w:rFonts w:hint="eastAsia" w:ascii="仿宋" w:hAnsi="仿宋" w:eastAsia="仿宋" w:cs="仿宋"/>
          <w:b/>
          <w:bCs/>
          <w:color w:val="auto"/>
          <w:sz w:val="28"/>
          <w:szCs w:val="28"/>
          <w:highlight w:val="none"/>
        </w:rPr>
      </w:pPr>
      <w:r>
        <w:rPr>
          <w:rFonts w:hint="eastAsia" w:ascii="仿宋" w:hAnsi="仿宋" w:eastAsia="仿宋" w:cs="仿宋"/>
          <w:color w:val="auto"/>
          <w:sz w:val="24"/>
          <w:highlight w:val="none"/>
        </w:rPr>
        <w:br w:type="page"/>
      </w:r>
      <w:bookmarkStart w:id="10" w:name="_Toc202820351"/>
      <w:bookmarkStart w:id="11" w:name="_Toc202251075"/>
      <w:bookmarkStart w:id="12" w:name="_Toc202816996"/>
      <w:bookmarkStart w:id="13" w:name="_Toc202251700"/>
      <w:bookmarkStart w:id="14" w:name="_Toc202252034"/>
      <w:bookmarkStart w:id="15" w:name="_Toc202819878"/>
      <w:bookmarkStart w:id="16" w:name="_Toc202254105"/>
      <w:r>
        <w:rPr>
          <w:rFonts w:hint="eastAsia" w:ascii="仿宋" w:hAnsi="仿宋" w:eastAsia="仿宋" w:cs="仿宋"/>
          <w:b/>
          <w:bCs/>
          <w:color w:val="auto"/>
          <w:sz w:val="28"/>
          <w:szCs w:val="28"/>
          <w:highlight w:val="none"/>
        </w:rPr>
        <w:t>3 资格性文件</w:t>
      </w:r>
      <w:bookmarkEnd w:id="10"/>
      <w:bookmarkEnd w:id="11"/>
      <w:bookmarkEnd w:id="12"/>
      <w:bookmarkEnd w:id="13"/>
      <w:bookmarkEnd w:id="14"/>
      <w:bookmarkEnd w:id="15"/>
      <w:bookmarkEnd w:id="16"/>
    </w:p>
    <w:p>
      <w:pPr>
        <w:pStyle w:val="3"/>
        <w:spacing w:before="0" w:after="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响应函</w:t>
      </w:r>
    </w:p>
    <w:p>
      <w:pPr>
        <w:adjustRightInd w:val="0"/>
        <w:snapToGrid w:val="0"/>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rPr>
        <w:t>：</w:t>
      </w:r>
    </w:p>
    <w:p>
      <w:pPr>
        <w:autoSpaceDE w:val="0"/>
        <w:autoSpaceDN w:val="0"/>
        <w:spacing w:line="380" w:lineRule="exact"/>
        <w:ind w:firstLine="486" w:firstLineChars="200"/>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依据贵方</w:t>
      </w: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single"/>
          <w:lang w:val="zh-CN"/>
        </w:rPr>
        <w:t xml:space="preserve"> </w:t>
      </w:r>
      <w:r>
        <w:rPr>
          <w:rFonts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u w:val="single"/>
          <w:lang w:val="zh-CN"/>
        </w:rPr>
        <w:t>项目（</w:t>
      </w:r>
      <w:r>
        <w:rPr>
          <w:rFonts w:hint="eastAsia" w:ascii="仿宋" w:hAnsi="仿宋" w:eastAsia="仿宋" w:cs="仿宋"/>
          <w:color w:val="auto"/>
          <w:sz w:val="24"/>
          <w:highlight w:val="none"/>
          <w:u w:val="single"/>
        </w:rPr>
        <w:t>项目编号：</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zh-CN"/>
        </w:rPr>
        <w:t>）的</w:t>
      </w:r>
      <w:r>
        <w:rPr>
          <w:rFonts w:hint="eastAsia" w:ascii="仿宋" w:hAnsi="仿宋" w:eastAsia="仿宋" w:cs="仿宋"/>
          <w:color w:val="auto"/>
          <w:kern w:val="0"/>
          <w:sz w:val="24"/>
          <w:highlight w:val="none"/>
        </w:rPr>
        <w:t>响应邀请，我方代表</w:t>
      </w:r>
      <w:r>
        <w:rPr>
          <w:rFonts w:hint="eastAsia" w:ascii="仿宋" w:hAnsi="仿宋" w:eastAsia="仿宋" w:cs="仿宋"/>
          <w:color w:val="auto"/>
          <w:sz w:val="24"/>
          <w:highlight w:val="none"/>
          <w:u w:val="single"/>
        </w:rPr>
        <w:t>（姓名、职务）</w:t>
      </w:r>
      <w:r>
        <w:rPr>
          <w:rFonts w:hint="eastAsia" w:ascii="仿宋" w:hAnsi="仿宋" w:eastAsia="仿宋" w:cs="仿宋"/>
          <w:color w:val="auto"/>
          <w:kern w:val="0"/>
          <w:sz w:val="24"/>
          <w:highlight w:val="none"/>
        </w:rPr>
        <w:t>经正式授权并代表</w:t>
      </w:r>
      <w:r>
        <w:rPr>
          <w:rFonts w:hint="eastAsia" w:ascii="仿宋" w:hAnsi="仿宋" w:eastAsia="仿宋" w:cs="仿宋"/>
          <w:color w:val="auto"/>
          <w:sz w:val="24"/>
          <w:highlight w:val="none"/>
          <w:u w:val="single"/>
        </w:rPr>
        <w:t>（响应供应商名称、地址）</w:t>
      </w:r>
      <w:r>
        <w:rPr>
          <w:rFonts w:hint="eastAsia" w:ascii="仿宋" w:hAnsi="仿宋" w:eastAsia="仿宋" w:cs="仿宋"/>
          <w:color w:val="auto"/>
          <w:kern w:val="0"/>
          <w:sz w:val="24"/>
          <w:highlight w:val="none"/>
        </w:rPr>
        <w:t>提交下述文件一式</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份。</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 </w:t>
      </w:r>
      <w:r>
        <w:rPr>
          <w:rFonts w:hint="eastAsia" w:ascii="仿宋" w:hAnsi="仿宋" w:eastAsia="仿宋" w:cs="仿宋"/>
          <w:color w:val="auto"/>
          <w:sz w:val="24"/>
          <w:highlight w:val="none"/>
        </w:rPr>
        <w:t>自查表</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 </w:t>
      </w:r>
      <w:r>
        <w:rPr>
          <w:rFonts w:hint="eastAsia" w:ascii="仿宋" w:hAnsi="仿宋" w:eastAsia="仿宋" w:cs="仿宋"/>
          <w:color w:val="auto"/>
          <w:sz w:val="24"/>
          <w:highlight w:val="none"/>
        </w:rPr>
        <w:t>资格性文件</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 </w:t>
      </w:r>
      <w:r>
        <w:rPr>
          <w:rFonts w:hint="eastAsia" w:ascii="仿宋" w:hAnsi="仿宋" w:eastAsia="仿宋" w:cs="仿宋"/>
          <w:color w:val="auto"/>
          <w:sz w:val="24"/>
          <w:highlight w:val="none"/>
        </w:rPr>
        <w:t>商务部分</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 xml:space="preserve">4. </w:t>
      </w:r>
      <w:r>
        <w:rPr>
          <w:rFonts w:hint="eastAsia" w:ascii="仿宋" w:hAnsi="仿宋" w:eastAsia="仿宋" w:cs="仿宋"/>
          <w:color w:val="auto"/>
          <w:kern w:val="0"/>
          <w:sz w:val="24"/>
          <w:highlight w:val="none"/>
          <w:lang w:eastAsia="zh-CN"/>
        </w:rPr>
        <w:t>技术</w:t>
      </w:r>
      <w:r>
        <w:rPr>
          <w:rFonts w:hint="eastAsia" w:ascii="仿宋" w:hAnsi="仿宋" w:eastAsia="仿宋" w:cs="仿宋"/>
          <w:color w:val="auto"/>
          <w:kern w:val="0"/>
          <w:sz w:val="24"/>
          <w:highlight w:val="none"/>
        </w:rPr>
        <w:t>部分</w:t>
      </w:r>
      <w:r>
        <w:rPr>
          <w:rFonts w:hint="eastAsia" w:ascii="仿宋" w:hAnsi="仿宋" w:eastAsia="仿宋" w:cs="仿宋"/>
          <w:color w:val="auto"/>
          <w:kern w:val="0"/>
          <w:sz w:val="24"/>
          <w:highlight w:val="none"/>
          <w:lang w:eastAsia="zh-CN"/>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 价格部分</w:t>
      </w:r>
      <w:r>
        <w:rPr>
          <w:rFonts w:hint="eastAsia" w:ascii="仿宋" w:hAnsi="仿宋" w:eastAsia="仿宋" w:cs="仿宋"/>
          <w:color w:val="auto"/>
          <w:sz w:val="24"/>
          <w:highlight w:val="none"/>
        </w:rPr>
        <w:t>。</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在此，我方声明如下：</w:t>
      </w:r>
    </w:p>
    <w:p>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1.同意并接受比选文件的各项要求，遵守比选文件中的各项规定，按比选文件的要求提供报价。</w:t>
      </w:r>
    </w:p>
    <w:p>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2.响应有效期为递交响应文件之日起</w:t>
      </w:r>
      <w:r>
        <w:rPr>
          <w:rFonts w:hint="eastAsia" w:ascii="仿宋" w:hAnsi="仿宋" w:eastAsia="仿宋" w:cs="仿宋"/>
          <w:color w:val="auto"/>
          <w:sz w:val="24"/>
          <w:highlight w:val="none"/>
          <w:u w:val="single"/>
        </w:rPr>
        <w:t>90天</w:t>
      </w:r>
      <w:r>
        <w:rPr>
          <w:rFonts w:hint="eastAsia" w:ascii="仿宋" w:hAnsi="仿宋" w:eastAsia="仿宋" w:cs="仿宋"/>
          <w:color w:val="auto"/>
          <w:sz w:val="24"/>
          <w:highlight w:val="none"/>
        </w:rPr>
        <w:t>，成交人响应/比选有效期延至合同验收之日。</w:t>
      </w:r>
    </w:p>
    <w:p>
      <w:pPr>
        <w:spacing w:line="380" w:lineRule="exact"/>
        <w:ind w:firstLine="486"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b/>
          <w:bCs/>
          <w:color w:val="auto"/>
          <w:sz w:val="24"/>
          <w:highlight w:val="none"/>
        </w:rPr>
        <w:t>我方已经详细地阅读了全部比选文件及其附件，包括澄清及参考文件(如果有的话)。我方已完全清晰理解比选文件的所有要求，不存在任何含糊不清和误解之处，同意放弃对这些文件所提出的异议和质疑的权利。</w:t>
      </w:r>
    </w:p>
    <w:p>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4.我方已毫无保留地向贵方提供一切所需的证明材料。</w:t>
      </w:r>
    </w:p>
    <w:p>
      <w:pPr>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5.我方承诺在本次响应/响应文件中提供的一切文件，无论是原件还是复印件均为真实和准确的，绝无任何虚假、伪造和夸大的成份，否则，愿承担相应的后果和法律责任。</w:t>
      </w:r>
    </w:p>
    <w:p>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6.我方完全服从贵院采购流程与规定并尊重</w:t>
      </w:r>
      <w:r>
        <w:rPr>
          <w:rFonts w:hint="eastAsia" w:ascii="仿宋" w:hAnsi="仿宋" w:eastAsia="仿宋" w:cs="仿宋"/>
          <w:color w:val="auto"/>
          <w:sz w:val="24"/>
          <w:highlight w:val="none"/>
          <w:lang w:eastAsia="zh-CN"/>
        </w:rPr>
        <w:t>评审小组</w:t>
      </w:r>
      <w:r>
        <w:rPr>
          <w:rFonts w:hint="eastAsia" w:ascii="仿宋" w:hAnsi="仿宋" w:eastAsia="仿宋" w:cs="仿宋"/>
          <w:color w:val="auto"/>
          <w:sz w:val="24"/>
          <w:highlight w:val="none"/>
        </w:rPr>
        <w:t>所作的评定结果，同时清楚理解到报价最低并非意味着必定获得成交资格。</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p>
    <w:p>
      <w:pPr>
        <w:tabs>
          <w:tab w:val="left" w:pos="5250"/>
        </w:tabs>
        <w:autoSpaceDE w:val="0"/>
        <w:autoSpaceDN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帐号：</w:t>
      </w:r>
      <w:r>
        <w:rPr>
          <w:rFonts w:hint="eastAsia" w:ascii="仿宋" w:hAnsi="仿宋" w:eastAsia="仿宋" w:cs="仿宋"/>
          <w:color w:val="auto"/>
          <w:sz w:val="24"/>
          <w:highlight w:val="none"/>
          <w:u w:val="single"/>
        </w:rPr>
        <w:t xml:space="preserve">                               </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地址：</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传真：</w:t>
      </w:r>
      <w:r>
        <w:rPr>
          <w:rFonts w:hint="eastAsia" w:ascii="仿宋" w:hAnsi="仿宋" w:eastAsia="仿宋" w:cs="仿宋"/>
          <w:color w:val="auto"/>
          <w:kern w:val="0"/>
          <w:sz w:val="24"/>
          <w:highlight w:val="none"/>
          <w:u w:val="single"/>
        </w:rPr>
        <w:t xml:space="preserve">                               </w:t>
      </w:r>
    </w:p>
    <w:p>
      <w:pPr>
        <w:autoSpaceDE w:val="0"/>
        <w:autoSpaceDN w:val="0"/>
        <w:adjustRightInd w:val="0"/>
        <w:spacing w:line="380" w:lineRule="exact"/>
        <w:ind w:right="3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电话：</w:t>
      </w:r>
      <w:r>
        <w:rPr>
          <w:rFonts w:hint="eastAsia" w:ascii="仿宋" w:hAnsi="仿宋" w:eastAsia="仿宋" w:cs="仿宋"/>
          <w:color w:val="auto"/>
          <w:kern w:val="0"/>
          <w:sz w:val="24"/>
          <w:highlight w:val="none"/>
          <w:u w:val="single"/>
        </w:rPr>
        <w:t xml:space="preserve">                                </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电子邮件：</w:t>
      </w:r>
      <w:r>
        <w:rPr>
          <w:rFonts w:hint="eastAsia" w:ascii="仿宋" w:hAnsi="仿宋" w:eastAsia="仿宋" w:cs="仿宋"/>
          <w:color w:val="auto"/>
          <w:kern w:val="0"/>
          <w:sz w:val="24"/>
          <w:highlight w:val="none"/>
          <w:u w:val="single"/>
        </w:rPr>
        <w:t xml:space="preserve">                           </w:t>
      </w:r>
    </w:p>
    <w:p>
      <w:pPr>
        <w:pStyle w:val="7"/>
        <w:rPr>
          <w:rFonts w:hint="eastAsia"/>
          <w:color w:val="auto"/>
          <w:highlight w:val="none"/>
        </w:rPr>
      </w:pPr>
    </w:p>
    <w:p>
      <w:pPr>
        <w:adjustRightInd w:val="0"/>
        <w:snapToGrid w:val="0"/>
        <w:spacing w:line="380" w:lineRule="exact"/>
        <w:rPr>
          <w:rFonts w:hint="eastAsia" w:ascii="仿宋" w:hAnsi="仿宋" w:eastAsia="仿宋" w:cs="仿宋"/>
          <w:color w:val="auto"/>
          <w:sz w:val="30"/>
          <w:szCs w:val="30"/>
          <w:highlight w:val="none"/>
        </w:rPr>
      </w:pPr>
      <w:r>
        <w:rPr>
          <w:rFonts w:hint="eastAsia" w:ascii="仿宋" w:hAnsi="仿宋" w:eastAsia="仿宋" w:cs="仿宋"/>
          <w:color w:val="auto"/>
          <w:sz w:val="24"/>
          <w:highlight w:val="none"/>
          <w:u w:val="single"/>
        </w:rPr>
        <w:br w:type="page"/>
      </w:r>
    </w:p>
    <w:p>
      <w:pPr>
        <w:pStyle w:val="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3.2法定代表人/负责人资格证明书及授权委托书</w:t>
      </w:r>
    </w:p>
    <w:p>
      <w:pPr>
        <w:spacing w:line="48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（1）法定代表人/负责人资格证明书</w:t>
      </w:r>
    </w:p>
    <w:p>
      <w:pPr>
        <w:pStyle w:val="17"/>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响应供应商</w:t>
      </w:r>
      <w:r>
        <w:rPr>
          <w:rFonts w:ascii="仿宋" w:hAnsi="仿宋" w:eastAsia="仿宋" w:cs="仿宋"/>
          <w:color w:val="auto"/>
          <w:sz w:val="24"/>
          <w:szCs w:val="24"/>
          <w:highlight w:val="none"/>
        </w:rPr>
        <w:t>可使用下述格式，也可使用广东省工商行政管理局统一印制的法定代表人证明书格式）</w:t>
      </w:r>
    </w:p>
    <w:p>
      <w:pPr>
        <w:pStyle w:val="17"/>
        <w:jc w:val="center"/>
        <w:outlineLvl w:val="3"/>
        <w:rPr>
          <w:rFonts w:ascii="仿宋" w:hAnsi="仿宋" w:eastAsia="仿宋" w:cs="仿宋"/>
          <w:color w:val="auto"/>
          <w:sz w:val="24"/>
          <w:szCs w:val="24"/>
          <w:highlight w:val="none"/>
        </w:rPr>
      </w:pPr>
      <w:r>
        <w:rPr>
          <w:rFonts w:ascii="仿宋" w:hAnsi="仿宋" w:eastAsia="仿宋" w:cs="仿宋"/>
          <w:b/>
          <w:color w:val="auto"/>
          <w:sz w:val="24"/>
          <w:szCs w:val="24"/>
          <w:highlight w:val="none"/>
        </w:rPr>
        <w:t>法定代表人证明书</w:t>
      </w:r>
    </w:p>
    <w:p>
      <w:pPr>
        <w:pStyle w:val="17"/>
        <w:ind w:firstLine="480"/>
        <w:rPr>
          <w:rFonts w:ascii="仿宋" w:hAnsi="仿宋" w:eastAsia="仿宋" w:cs="仿宋"/>
          <w:color w:val="auto"/>
          <w:sz w:val="24"/>
          <w:szCs w:val="24"/>
          <w:highlight w:val="none"/>
        </w:rPr>
      </w:pP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现任我单位</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职务，为法定代表人，特此证明。</w:t>
      </w:r>
    </w:p>
    <w:p>
      <w:pPr>
        <w:pStyle w:val="17"/>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有效期限：</w:t>
      </w:r>
      <w:r>
        <w:rPr>
          <w:rFonts w:hint="eastAsia" w:ascii="仿宋" w:hAnsi="仿宋" w:eastAsia="仿宋" w:cs="仿宋"/>
          <w:color w:val="auto"/>
          <w:sz w:val="24"/>
          <w:highlight w:val="none"/>
          <w:u w:val="single"/>
        </w:rPr>
        <w:t xml:space="preserve">                  </w:t>
      </w:r>
    </w:p>
    <w:p>
      <w:pPr>
        <w:pStyle w:val="17"/>
        <w:ind w:firstLine="480"/>
        <w:rPr>
          <w:rFonts w:hint="eastAsia" w:ascii="仿宋" w:hAnsi="仿宋" w:eastAsia="仿宋" w:cs="仿宋"/>
          <w:color w:val="auto"/>
          <w:sz w:val="24"/>
          <w:highlight w:val="none"/>
          <w:u w:val="single"/>
        </w:rPr>
      </w:pPr>
      <w:r>
        <w:rPr>
          <w:rFonts w:ascii="仿宋" w:hAnsi="仿宋" w:eastAsia="仿宋" w:cs="仿宋"/>
          <w:color w:val="auto"/>
          <w:sz w:val="24"/>
          <w:szCs w:val="24"/>
          <w:highlight w:val="none"/>
        </w:rPr>
        <w:t>附：代表人性别：</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年龄：</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身份证号码：</w:t>
      </w:r>
      <w:r>
        <w:rPr>
          <w:rFonts w:hint="eastAsia" w:ascii="仿宋" w:hAnsi="仿宋" w:eastAsia="仿宋" w:cs="仿宋"/>
          <w:color w:val="auto"/>
          <w:sz w:val="24"/>
          <w:highlight w:val="none"/>
          <w:u w:val="single"/>
        </w:rPr>
        <w:t xml:space="preserve">                  </w:t>
      </w:r>
    </w:p>
    <w:p>
      <w:pPr>
        <w:pStyle w:val="17"/>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注册号码：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ascii="仿宋" w:hAnsi="仿宋" w:eastAsia="仿宋" w:cs="仿宋"/>
          <w:color w:val="auto"/>
          <w:sz w:val="24"/>
          <w:szCs w:val="24"/>
          <w:highlight w:val="none"/>
        </w:rPr>
        <w:t>企业类型：</w:t>
      </w:r>
    </w:p>
    <w:p>
      <w:pPr>
        <w:pStyle w:val="17"/>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经营范围：</w:t>
      </w:r>
      <w:r>
        <w:rPr>
          <w:rFonts w:hint="eastAsia" w:ascii="仿宋" w:hAnsi="仿宋" w:eastAsia="仿宋" w:cs="仿宋"/>
          <w:color w:val="auto"/>
          <w:sz w:val="24"/>
          <w:highlight w:val="none"/>
          <w:u w:val="single"/>
        </w:rPr>
        <w:t xml:space="preserve">            </w:t>
      </w:r>
    </w:p>
    <w:p>
      <w:pPr>
        <w:pStyle w:val="17"/>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p>
    <w:p>
      <w:pPr>
        <w:pStyle w:val="17"/>
        <w:rPr>
          <w:rFonts w:hint="eastAsia" w:ascii="仿宋" w:hAnsi="仿宋" w:eastAsia="仿宋" w:cs="仿宋"/>
          <w:color w:val="auto"/>
          <w:sz w:val="24"/>
          <w:highlight w:val="none"/>
          <w:u w:val="single"/>
        </w:rPr>
      </w:pPr>
      <w:r>
        <w:rPr>
          <w:rFonts w:hint="eastAsia" w:ascii="仿宋" w:hAnsi="仿宋" w:eastAsia="仿宋" w:cs="仿宋"/>
          <w:color w:val="auto"/>
          <w:sz w:val="24"/>
          <w:szCs w:val="24"/>
          <w:highlight w:val="none"/>
          <w:lang w:eastAsia="zh-CN"/>
        </w:rPr>
        <w:t>响应供应商</w:t>
      </w:r>
      <w:r>
        <w:rPr>
          <w:rFonts w:ascii="仿宋" w:hAnsi="仿宋" w:eastAsia="仿宋" w:cs="仿宋"/>
          <w:color w:val="auto"/>
          <w:sz w:val="24"/>
          <w:szCs w:val="24"/>
          <w:highlight w:val="none"/>
        </w:rPr>
        <w:t>名称（盖章）：</w:t>
      </w:r>
      <w:r>
        <w:rPr>
          <w:rFonts w:hint="eastAsia" w:ascii="仿宋" w:hAnsi="仿宋" w:eastAsia="仿宋" w:cs="仿宋"/>
          <w:color w:val="auto"/>
          <w:sz w:val="24"/>
          <w:highlight w:val="none"/>
          <w:u w:val="single"/>
        </w:rPr>
        <w:t xml:space="preserve">                  </w:t>
      </w:r>
    </w:p>
    <w:p>
      <w:pPr>
        <w:pStyle w:val="17"/>
        <w:rPr>
          <w:rFonts w:ascii="仿宋" w:hAnsi="仿宋" w:eastAsia="仿宋" w:cs="仿宋"/>
          <w:color w:val="auto"/>
          <w:sz w:val="24"/>
          <w:szCs w:val="24"/>
          <w:highlight w:val="none"/>
        </w:rPr>
      </w:pPr>
      <w:r>
        <w:rPr>
          <w:rFonts w:ascii="仿宋" w:hAnsi="仿宋" w:eastAsia="仿宋" w:cs="仿宋"/>
          <w:color w:val="auto"/>
          <w:sz w:val="24"/>
          <w:szCs w:val="24"/>
          <w:highlight w:val="none"/>
        </w:rPr>
        <w:t>地址：</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 xml:space="preserve"> </w:t>
      </w:r>
    </w:p>
    <w:p>
      <w:pPr>
        <w:pStyle w:val="1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响应供应商法定代表人</w:t>
      </w:r>
      <w:r>
        <w:rPr>
          <w:rFonts w:ascii="仿宋" w:hAnsi="仿宋" w:eastAsia="仿宋" w:cs="仿宋"/>
          <w:color w:val="auto"/>
          <w:sz w:val="24"/>
          <w:szCs w:val="24"/>
          <w:highlight w:val="none"/>
        </w:rPr>
        <w:t>（签字或盖章）：</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 xml:space="preserve"> </w:t>
      </w:r>
    </w:p>
    <w:p>
      <w:pPr>
        <w:pStyle w:val="17"/>
        <w:rPr>
          <w:rFonts w:ascii="仿宋" w:hAnsi="仿宋" w:eastAsia="仿宋" w:cs="仿宋"/>
          <w:color w:val="auto"/>
          <w:sz w:val="24"/>
          <w:szCs w:val="24"/>
          <w:highlight w:val="none"/>
        </w:rPr>
      </w:pPr>
      <w:r>
        <w:rPr>
          <w:rFonts w:ascii="仿宋" w:hAnsi="仿宋" w:eastAsia="仿宋" w:cs="仿宋"/>
          <w:color w:val="auto"/>
          <w:sz w:val="24"/>
          <w:szCs w:val="24"/>
          <w:highlight w:val="none"/>
        </w:rPr>
        <w:t>职务：</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 xml:space="preserve"> </w:t>
      </w:r>
    </w:p>
    <w:p>
      <w:pPr>
        <w:pStyle w:val="17"/>
        <w:rPr>
          <w:rFonts w:ascii="仿宋" w:hAnsi="仿宋" w:eastAsia="仿宋" w:cs="仿宋"/>
          <w:color w:val="auto"/>
          <w:sz w:val="24"/>
          <w:szCs w:val="24"/>
          <w:highlight w:val="none"/>
        </w:rPr>
      </w:pPr>
      <w:r>
        <w:rPr>
          <w:rFonts w:ascii="仿宋" w:hAnsi="仿宋" w:eastAsia="仿宋" w:cs="仿宋"/>
          <w:color w:val="auto"/>
          <w:sz w:val="24"/>
          <w:szCs w:val="24"/>
          <w:highlight w:val="none"/>
        </w:rPr>
        <w:t>日期： 年 月 日</w:t>
      </w: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b/>
          <w:color w:val="auto"/>
          <w:sz w:val="28"/>
          <w:szCs w:val="28"/>
          <w:highlight w:val="none"/>
        </w:rPr>
        <w:t xml:space="preserve"> (为避免响应无效，请供应商务必提供本附件)</w:t>
      </w:r>
    </w:p>
    <w:p>
      <w:pPr>
        <w:rPr>
          <w:rFonts w:hint="eastAsia" w:ascii="仿宋" w:hAnsi="仿宋" w:eastAsia="仿宋" w:cs="仿宋"/>
          <w:b/>
          <w:color w:val="auto"/>
          <w:sz w:val="28"/>
          <w:szCs w:val="28"/>
          <w:highlight w:val="none"/>
        </w:rPr>
      </w:pPr>
    </w:p>
    <w:p>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2922905</wp:posOffset>
                </wp:positionH>
                <wp:positionV relativeFrom="paragraph">
                  <wp:posOffset>5715</wp:posOffset>
                </wp:positionV>
                <wp:extent cx="2333625" cy="1584325"/>
                <wp:effectExtent l="4445" t="4445" r="8890" b="11430"/>
                <wp:wrapNone/>
                <wp:docPr id="4" name="流程图: 可选过程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法定代表人身份证复印件反面</w:t>
                            </w:r>
                          </w:p>
                        </w:txbxContent>
                      </wps:txbx>
                      <wps:bodyPr upright="1"/>
                    </wps:wsp>
                  </a:graphicData>
                </a:graphic>
              </wp:anchor>
            </w:drawing>
          </mc:Choice>
          <mc:Fallback>
            <w:pict>
              <v:shape id="_x0000_s1026" o:spid="_x0000_s1026" o:spt="176" type="#_x0000_t176" style="position:absolute;left:0pt;margin-left:230.15pt;margin-top:0.45pt;height:124.75pt;width:183.75pt;z-index:251660288;mso-width-relative:page;mso-height-relative:page;" fillcolor="#FFFFFF" filled="t" stroked="t" coordsize="21600,21600" o:gfxdata="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VPlDdcAAAAIAQAADwAAAAAAAAAB&#10;ACAAAAAiAAAAZHJzL2Rvd25yZXYueG1sUEsBAhQAFAAAAAgAh07iQIj7VQ0RAgAAEAQAAA4AAAAA&#10;AAAAAQAgAAAAJgEAAGRycy9lMm9Eb2MueG1sUEsFBgAAAAAGAAYAWQEAAKk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法定代表人身份证复印件反面</w:t>
                      </w:r>
                    </w:p>
                  </w:txbxContent>
                </v:textbox>
              </v:shape>
            </w:pict>
          </mc:Fallback>
        </mc:AlternateContent>
      </w:r>
      <w:r>
        <w:rPr>
          <w:rFonts w:hint="eastAsia" w:ascii="仿宋" w:hAnsi="仿宋" w:eastAsia="仿宋" w:cs="仿宋"/>
          <w:b/>
          <w:color w:val="auto"/>
          <w:sz w:val="28"/>
          <w:szCs w:val="28"/>
          <w:highlight w:val="none"/>
        </w:rPr>
        <mc:AlternateContent>
          <mc:Choice Requires="wps">
            <w:drawing>
              <wp:anchor distT="0" distB="0" distL="114300" distR="114300" simplePos="0" relativeHeight="251658240" behindDoc="0" locked="0" layoutInCell="1" allowOverlap="1">
                <wp:simplePos x="0" y="0"/>
                <wp:positionH relativeFrom="column">
                  <wp:posOffset>182880</wp:posOffset>
                </wp:positionH>
                <wp:positionV relativeFrom="paragraph">
                  <wp:posOffset>43815</wp:posOffset>
                </wp:positionV>
                <wp:extent cx="2333625" cy="1584325"/>
                <wp:effectExtent l="4445" t="4445" r="8890" b="11430"/>
                <wp:wrapNone/>
                <wp:docPr id="5" name="流程图: 可选过程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法定代表人身份证复印件正面</w:t>
                            </w:r>
                          </w:p>
                        </w:txbxContent>
                      </wps:txbx>
                      <wps:bodyPr upright="1"/>
                    </wps:wsp>
                  </a:graphicData>
                </a:graphic>
              </wp:anchor>
            </w:drawing>
          </mc:Choice>
          <mc:Fallback>
            <w:pict>
              <v:shape id="_x0000_s1026" o:spid="_x0000_s1026" o:spt="176" type="#_x0000_t176" style="position:absolute;left:0pt;margin-left:14.4pt;margin-top:3.45pt;height:124.75pt;width:183.75pt;z-index:251658240;mso-width-relative:page;mso-height-relative:page;" fillcolor="#FFFFFF" filled="t" stroked="t" coordsize="21600,21600" o:gfxdata="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6S+wB1gAAAAgBAAAPAAAAAAAAAAEA&#10;IAAAACIAAABkcnMvZG93bnJldi54bWxQSwECFAAUAAAACACHTuJAteALPRECAAAQBAAADgAAAAAA&#10;AAABACAAAAAlAQAAZHJzL2Uyb0RvYy54bWxQSwUGAAAAAAYABgBZAQAAqA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法定代表人身份证复印件正面</w:t>
                      </w:r>
                    </w:p>
                  </w:txbxContent>
                </v:textbox>
              </v:shape>
            </w:pict>
          </mc:Fallback>
        </mc:AlternateContent>
      </w:r>
    </w:p>
    <w:p>
      <w:pPr>
        <w:rPr>
          <w:rFonts w:hint="eastAsia" w:ascii="仿宋" w:hAnsi="仿宋" w:eastAsia="仿宋" w:cs="仿宋"/>
          <w:b/>
          <w:color w:val="auto"/>
          <w:sz w:val="28"/>
          <w:szCs w:val="28"/>
          <w:highlight w:val="none"/>
        </w:rPr>
      </w:pPr>
    </w:p>
    <w:p>
      <w:pPr>
        <w:spacing w:line="480" w:lineRule="exact"/>
        <w:rPr>
          <w:rFonts w:hint="eastAsia" w:ascii="仿宋" w:hAnsi="仿宋" w:eastAsia="仿宋" w:cs="仿宋"/>
          <w:b/>
          <w:color w:val="auto"/>
          <w:sz w:val="28"/>
          <w:szCs w:val="28"/>
          <w:highlight w:val="none"/>
        </w:rPr>
      </w:pPr>
    </w:p>
    <w:p>
      <w:pPr>
        <w:spacing w:line="480" w:lineRule="exact"/>
        <w:rPr>
          <w:rFonts w:hint="eastAsia" w:ascii="仿宋" w:hAnsi="仿宋" w:eastAsia="仿宋" w:cs="仿宋"/>
          <w:b/>
          <w:color w:val="auto"/>
          <w:sz w:val="28"/>
          <w:szCs w:val="28"/>
          <w:highlight w:val="none"/>
        </w:rPr>
      </w:pPr>
    </w:p>
    <w:p>
      <w:pPr>
        <w:spacing w:line="48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spacing w:line="48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（2）法定代表人/负责人授权委托书</w:t>
      </w:r>
    </w:p>
    <w:p>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（对于银行、保险、电信、邮政、铁路等行业以及获得总公司</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授权的分公司，可以提供</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分支机构负责人授权书）</w:t>
      </w:r>
    </w:p>
    <w:p>
      <w:pPr>
        <w:jc w:val="center"/>
        <w:rPr>
          <w:rFonts w:hint="eastAsia" w:ascii="仿宋" w:hAnsi="仿宋" w:eastAsia="仿宋" w:cs="仿宋"/>
          <w:b/>
          <w:color w:val="auto"/>
          <w:sz w:val="24"/>
          <w:highlight w:val="none"/>
        </w:rPr>
      </w:pPr>
    </w:p>
    <w:p>
      <w:pPr>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法定代表人授权书</w:t>
      </w:r>
    </w:p>
    <w:p>
      <w:pPr>
        <w:ind w:firstLine="480"/>
        <w:rPr>
          <w:rFonts w:hint="eastAsia" w:ascii="仿宋" w:hAnsi="仿宋" w:eastAsia="仿宋" w:cs="仿宋"/>
          <w:color w:val="auto"/>
          <w:sz w:val="24"/>
          <w:highlight w:val="none"/>
        </w:rPr>
      </w:pPr>
    </w:p>
    <w:p>
      <w:pPr>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val="en-US" w:eastAsia="zh-CN"/>
        </w:rPr>
        <w:t>惠州市第一妇幼保健院</w:t>
      </w:r>
    </w:p>
    <w:p>
      <w:pPr>
        <w:ind w:firstLine="480"/>
        <w:rPr>
          <w:rFonts w:hint="eastAsia" w:ascii="仿宋" w:hAnsi="仿宋" w:eastAsia="仿宋" w:cs="仿宋"/>
          <w:color w:val="auto"/>
          <w:sz w:val="24"/>
          <w:highlight w:val="none"/>
        </w:rPr>
      </w:pPr>
    </w:p>
    <w:p>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本授权书声明：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是注册于</w:t>
      </w:r>
      <w:r>
        <w:rPr>
          <w:rFonts w:hint="eastAsia" w:ascii="仿宋" w:hAnsi="仿宋" w:eastAsia="仿宋" w:cs="仿宋"/>
          <w:color w:val="auto"/>
          <w:sz w:val="24"/>
          <w:highlight w:val="none"/>
          <w:u w:val="single"/>
        </w:rPr>
        <w:t>（国家或地区）</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响应供应商</w:t>
      </w:r>
      <w:r>
        <w:rPr>
          <w:rFonts w:hint="eastAsia" w:ascii="仿宋" w:hAnsi="仿宋" w:eastAsia="仿宋" w:cs="仿宋"/>
          <w:color w:val="auto"/>
          <w:sz w:val="24"/>
          <w:highlight w:val="none"/>
          <w:u w:val="single"/>
        </w:rPr>
        <w:t>名称）</w:t>
      </w:r>
      <w:r>
        <w:rPr>
          <w:rFonts w:hint="eastAsia" w:ascii="仿宋" w:hAnsi="仿宋" w:eastAsia="仿宋" w:cs="仿宋"/>
          <w:color w:val="auto"/>
          <w:sz w:val="24"/>
          <w:highlight w:val="none"/>
        </w:rPr>
        <w:t>的法定代表人，现任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职务，有效证件号码：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。现授权</w:t>
      </w:r>
      <w:r>
        <w:rPr>
          <w:rFonts w:hint="eastAsia" w:ascii="仿宋" w:hAnsi="仿宋" w:eastAsia="仿宋" w:cs="仿宋"/>
          <w:color w:val="auto"/>
          <w:sz w:val="24"/>
          <w:highlight w:val="none"/>
          <w:u w:val="single"/>
        </w:rPr>
        <w:t>（姓名、职务）</w:t>
      </w:r>
      <w:r>
        <w:rPr>
          <w:rFonts w:hint="eastAsia" w:ascii="仿宋" w:hAnsi="仿宋" w:eastAsia="仿宋" w:cs="仿宋"/>
          <w:color w:val="auto"/>
          <w:sz w:val="24"/>
          <w:highlight w:val="none"/>
        </w:rPr>
        <w:t>作为我公司的全权代理人，就“</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”项目采购[采购项目编号为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和合同执行，以我方的名义处理一切与之有关的事宜。</w:t>
      </w:r>
    </w:p>
    <w:p>
      <w:pPr>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本授权书于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日签字生效，特此声明。</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响应供应商名称（盖章）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响应供应商法定代表人</w:t>
      </w:r>
      <w:r>
        <w:rPr>
          <w:rFonts w:hint="eastAsia" w:ascii="仿宋" w:hAnsi="仿宋" w:eastAsia="仿宋" w:cs="仿宋"/>
          <w:color w:val="auto"/>
          <w:sz w:val="24"/>
          <w:highlight w:val="none"/>
        </w:rPr>
        <w:t>（签字或盖章）：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职务：</w:t>
      </w:r>
      <w:r>
        <w:rPr>
          <w:rFonts w:hint="eastAsia" w:ascii="仿宋" w:hAnsi="仿宋" w:eastAsia="仿宋" w:cs="仿宋"/>
          <w:color w:val="auto"/>
          <w:sz w:val="24"/>
          <w:highlight w:val="none"/>
          <w:u w:val="single"/>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法定代表人授权代表（签字或盖章）：</w:t>
      </w:r>
      <w:r>
        <w:rPr>
          <w:rFonts w:hint="eastAsia" w:ascii="仿宋" w:hAnsi="仿宋" w:eastAsia="仿宋" w:cs="仿宋"/>
          <w:color w:val="auto"/>
          <w:sz w:val="24"/>
          <w:highlight w:val="none"/>
          <w:u w:val="single"/>
        </w:rPr>
        <w:t xml:space="preserve">                  </w:t>
      </w:r>
    </w:p>
    <w:p>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职务：</w:t>
      </w:r>
      <w:r>
        <w:rPr>
          <w:rFonts w:hint="eastAsia" w:ascii="仿宋" w:hAnsi="仿宋" w:eastAsia="仿宋" w:cs="仿宋"/>
          <w:color w:val="auto"/>
          <w:sz w:val="24"/>
          <w:highlight w:val="none"/>
          <w:u w:val="single"/>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ind w:firstLine="480"/>
        <w:rPr>
          <w:color w:val="auto"/>
          <w:highlight w:val="none"/>
        </w:rPr>
      </w:pPr>
    </w:p>
    <w:p>
      <w:pPr>
        <w:spacing w:line="360" w:lineRule="auto"/>
        <w:ind w:firstLine="42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84455</wp:posOffset>
                </wp:positionV>
                <wp:extent cx="2333625" cy="1584325"/>
                <wp:effectExtent l="4445" t="4445" r="8890" b="11430"/>
                <wp:wrapNone/>
                <wp:docPr id="3" name="流程图: 可选过程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ascii="仿宋" w:hAnsi="仿宋" w:eastAsia="仿宋" w:cs="仿宋"/>
                                <w:szCs w:val="21"/>
                              </w:rPr>
                            </w:pPr>
                            <w:r>
                              <w:rPr>
                                <w:rFonts w:hint="eastAsia" w:ascii="仿宋" w:hAnsi="仿宋" w:eastAsia="仿宋" w:cs="仿宋"/>
                                <w:szCs w:val="21"/>
                              </w:rPr>
                              <w:t>代理人身份证复印件正面</w:t>
                            </w:r>
                          </w:p>
                        </w:txbxContent>
                      </wps:txbx>
                      <wps:bodyPr upright="1"/>
                    </wps:wsp>
                  </a:graphicData>
                </a:graphic>
              </wp:anchor>
            </w:drawing>
          </mc:Choice>
          <mc:Fallback>
            <w:pict>
              <v:shape id="_x0000_s1026" o:spid="_x0000_s1026" o:spt="176" type="#_x0000_t176" style="position:absolute;left:0pt;margin-left:-0.75pt;margin-top:6.65pt;height:124.75pt;width:183.75pt;z-index:251659264;mso-width-relative:page;mso-height-relative:page;" fillcolor="#FFFFFF" filled="t" stroked="t" coordsize="21600,21600" o:gfxdata="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l/zInXAAAACQEAAA8AAAAAAAAA&#10;AQAgAAAAIgAAAGRycy9kb3ducmV2LnhtbFBLAQIUABQAAAAIAIdO4kA7us+cEgIAABAEAAAOAAAA&#10;AAAAAAEAIAAAACYBAABkcnMvZTJvRG9jLnhtbFBLBQYAAAAABgAGAFkBAACq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ascii="仿宋" w:hAnsi="仿宋" w:eastAsia="仿宋" w:cs="仿宋"/>
                          <w:szCs w:val="21"/>
                        </w:rPr>
                      </w:pPr>
                      <w:r>
                        <w:rPr>
                          <w:rFonts w:hint="eastAsia" w:ascii="仿宋" w:hAnsi="仿宋" w:eastAsia="仿宋" w:cs="仿宋"/>
                          <w:szCs w:val="21"/>
                        </w:rPr>
                        <w:t>代理人身份证复印件正面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2336" behindDoc="0" locked="0" layoutInCell="1" allowOverlap="1">
                <wp:simplePos x="0" y="0"/>
                <wp:positionH relativeFrom="column">
                  <wp:posOffset>2889885</wp:posOffset>
                </wp:positionH>
                <wp:positionV relativeFrom="paragraph">
                  <wp:posOffset>62230</wp:posOffset>
                </wp:positionV>
                <wp:extent cx="2333625" cy="1584325"/>
                <wp:effectExtent l="4445" t="4445" r="889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ascii="仿宋" w:hAnsi="仿宋" w:eastAsia="仿宋" w:cs="仿宋"/>
                                <w:szCs w:val="21"/>
                              </w:rPr>
                            </w:pPr>
                          </w:p>
                          <w:p>
                            <w:pPr>
                              <w:jc w:val="center"/>
                              <w:rPr>
                                <w:rFonts w:hint="eastAsia" w:ascii="仿宋" w:hAnsi="仿宋" w:eastAsia="仿宋" w:cs="仿宋"/>
                                <w:szCs w:val="21"/>
                              </w:rPr>
                            </w:pPr>
                            <w:r>
                              <w:rPr>
                                <w:rFonts w:hint="eastAsia" w:ascii="仿宋" w:hAnsi="仿宋" w:eastAsia="仿宋" w:cs="仿宋"/>
                                <w:szCs w:val="21"/>
                              </w:rPr>
                              <w:t>代理人身份证复印件反面</w:t>
                            </w:r>
                          </w:p>
                        </w:txbxContent>
                      </wps:txbx>
                      <wps:bodyPr upright="1"/>
                    </wps:wsp>
                  </a:graphicData>
                </a:graphic>
              </wp:anchor>
            </w:drawing>
          </mc:Choice>
          <mc:Fallback>
            <w:pict>
              <v:shape id="_x0000_s1026" o:spid="_x0000_s1026" o:spt="176" type="#_x0000_t176" style="position:absolute;left:0pt;margin-left:227.55pt;margin-top:4.9pt;height:124.75pt;width:183.75pt;z-index:251662336;mso-width-relative:page;mso-height-relative:page;" fillcolor="#FFFFFF" filled="t" stroked="t" coordsize="21600,21600" o:gfxdata="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6b59pdcAAAAJAQAADwAAAAAAAAAB&#10;ACAAAAAiAAAAZHJzL2Rvd25yZXYueG1sUEsBAhQAFAAAAAgAh07iQEGMc/wRAgAAEAQAAA4AAAAA&#10;AAAAAQAgAAAAJgEAAGRycy9lMm9Eb2MueG1sUEsFBgAAAAAGAAYAWQEAAKk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ascii="仿宋" w:hAnsi="仿宋" w:eastAsia="仿宋" w:cs="仿宋"/>
                          <w:szCs w:val="21"/>
                        </w:rPr>
                      </w:pPr>
                    </w:p>
                    <w:p>
                      <w:pPr>
                        <w:jc w:val="center"/>
                        <w:rPr>
                          <w:rFonts w:hint="eastAsia" w:ascii="仿宋" w:hAnsi="仿宋" w:eastAsia="仿宋" w:cs="仿宋"/>
                          <w:szCs w:val="21"/>
                        </w:rPr>
                      </w:pPr>
                      <w:r>
                        <w:rPr>
                          <w:rFonts w:hint="eastAsia" w:ascii="仿宋" w:hAnsi="仿宋" w:eastAsia="仿宋" w:cs="仿宋"/>
                          <w:szCs w:val="21"/>
                        </w:rPr>
                        <w:t>代理人身份证复印件反面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1312" behindDoc="0" locked="0" layoutInCell="1" allowOverlap="1">
                <wp:simplePos x="0" y="0"/>
                <wp:positionH relativeFrom="column">
                  <wp:posOffset>1030605</wp:posOffset>
                </wp:positionH>
                <wp:positionV relativeFrom="paragraph">
                  <wp:posOffset>7917180</wp:posOffset>
                </wp:positionV>
                <wp:extent cx="2333625" cy="1584325"/>
                <wp:effectExtent l="4445" t="4445" r="889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wps:txbx>
                      <wps:bodyPr upright="1"/>
                    </wps:wsp>
                  </a:graphicData>
                </a:graphic>
              </wp:anchor>
            </w:drawing>
          </mc:Choice>
          <mc:Fallback>
            <w:pict>
              <v:shape id="_x0000_s1026" o:spid="_x0000_s1026" o:spt="176" type="#_x0000_t176" style="position:absolute;left:0pt;margin-left:81.15pt;margin-top:623.4pt;height:124.75pt;width:183.75pt;z-index:251661312;mso-width-relative:page;mso-height-relative:page;" fillcolor="#FFFFFF" filled="t" stroked="t" coordsize="21600,21600" o:gfxdata="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XDLHtkAAAANAQAADwAAAAAA&#10;AAABACAAAAAiAAAAZHJzL2Rvd25yZXYueG1sUEsBAhQAFAAAAAgAh07iQAahkawSAgAAEAQAAA4A&#10;AAAAAAAAAQAgAAAAKAEAAGRycy9lMm9Eb2MueG1sUEsFBgAAAAAGAAYAWQEAAKw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v:textbox>
              </v:shape>
            </w:pict>
          </mc:Fallback>
        </mc:AlternateContent>
      </w:r>
    </w:p>
    <w:p>
      <w:pPr>
        <w:spacing w:line="300" w:lineRule="auto"/>
        <w:jc w:val="center"/>
        <w:rPr>
          <w:rFonts w:hint="eastAsia" w:ascii="仿宋" w:hAnsi="仿宋" w:eastAsia="仿宋" w:cs="仿宋"/>
          <w:b/>
          <w:color w:val="auto"/>
          <w:sz w:val="28"/>
          <w:szCs w:val="28"/>
          <w:highlight w:val="none"/>
        </w:rPr>
      </w:pPr>
    </w:p>
    <w:p>
      <w:pPr>
        <w:spacing w:line="300" w:lineRule="auto"/>
        <w:jc w:val="center"/>
        <w:rPr>
          <w:rFonts w:hint="eastAsia" w:ascii="仿宋" w:hAnsi="仿宋" w:eastAsia="仿宋" w:cs="仿宋"/>
          <w:b/>
          <w:color w:val="auto"/>
          <w:sz w:val="28"/>
          <w:szCs w:val="28"/>
          <w:highlight w:val="none"/>
        </w:rPr>
      </w:pPr>
    </w:p>
    <w:p>
      <w:pPr>
        <w:spacing w:line="30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3．3关于资格的声明函</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u w:val="single"/>
        </w:rPr>
        <w:t>：</w:t>
      </w:r>
    </w:p>
    <w:p>
      <w:pPr>
        <w:spacing w:line="4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关于贵方采购项目名称: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响应邀请，本签字人愿意参加响应，提供比选文件中规定的货物、服务及工程，并证明提交的下列文件和说明是准确的和真实的。</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1.具备《政府采购法》第二十二条规定的条件,且提供以下证明文件：</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（1）在中华人民共和国境内注册的具有独立承担民事责任能力的法人或其他组织（提供营业执照等证明文件）；</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sz w:val="24"/>
          <w:highlight w:val="none"/>
        </w:rPr>
        <w:t>内部的财务报表复印件（新成立公司提供成立至今的月或季度财务报表复印件）；或③截至</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文件递交截止日</w:t>
      </w:r>
      <w:r>
        <w:rPr>
          <w:rFonts w:hint="eastAsia" w:ascii="仿宋" w:hAnsi="仿宋" w:eastAsia="仿宋" w:cs="仿宋"/>
          <w:color w:val="auto"/>
          <w:sz w:val="24"/>
          <w:highlight w:val="none"/>
          <w:lang w:eastAsia="zh-CN"/>
        </w:rPr>
        <w:t>12个月内银行</w:t>
      </w:r>
      <w:r>
        <w:rPr>
          <w:rFonts w:hint="eastAsia" w:ascii="仿宋" w:hAnsi="仿宋" w:eastAsia="仿宋" w:cs="仿宋"/>
          <w:color w:val="auto"/>
          <w:sz w:val="24"/>
          <w:highlight w:val="none"/>
        </w:rPr>
        <w:t>出具的资信证明（复印件）；</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（3）比选截止时间前一年内任意一个月的依法缴纳税收证明材料（如依法免税，则须提供相应文件证明其依法免税）；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（4）比选截止时间前一年内任意一个月的依法缴纳社会保险凭据（如依法不需要缴纳社保，则须提供相应文件证明其依法不需要缴纳）或书面声明；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（5）履行合同所必需的设备和专业技术能力的证明材料或书面声明；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3.单位负责人为同一人或者存在直接控股、管理关系的不同供应商，不得参加同一包号比选或者未划分包号的同一采购项目。(供应商出具声明函)</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CN"/>
        </w:rPr>
        <w:t>为本采购项目提供整体设计、规范编制或者项目管理、监理、检测等服务的供应商，不得再参加本采购项目的采购活动。</w:t>
      </w:r>
      <w:r>
        <w:rPr>
          <w:rFonts w:hint="eastAsia" w:ascii="仿宋" w:hAnsi="仿宋" w:eastAsia="仿宋" w:cs="仿宋"/>
          <w:color w:val="auto"/>
          <w:sz w:val="24"/>
          <w:highlight w:val="none"/>
        </w:rPr>
        <w:t>(供应商出具声明函)</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5.本项目不接受联合体参加比选，不允许响应供应商对各比选项目进行分包或转包(供应商出具声明函)。</w:t>
      </w:r>
    </w:p>
    <w:p>
      <w:pPr>
        <w:tabs>
          <w:tab w:val="left" w:pos="0"/>
        </w:tabs>
        <w:wordWrap w:val="0"/>
        <w:spacing w:line="360" w:lineRule="auto"/>
        <w:jc w:val="left"/>
        <w:rPr>
          <w:rFonts w:hint="eastAsia" w:ascii="仿宋" w:hAnsi="仿宋" w:eastAsia="仿宋" w:cs="仿宋"/>
          <w:b w:val="0"/>
          <w:bCs w:val="0"/>
          <w:strike/>
          <w:color w:val="auto"/>
          <w:sz w:val="24"/>
          <w:highlight w:val="none"/>
          <w:lang w:val="en-US"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w:t>
      </w:r>
      <w:r>
        <w:rPr>
          <w:rFonts w:hint="eastAsia" w:ascii="仿宋" w:hAnsi="仿宋" w:eastAsia="仿宋" w:cs="仿宋"/>
          <w:strike w:val="0"/>
          <w:color w:val="auto"/>
          <w:sz w:val="24"/>
          <w:highlight w:val="none"/>
        </w:rPr>
        <w:t>本项目是专门面向中小企业采购的项目，供应商应为中小微企业。（提供《中小企业声明函》,具体格式文件见比选文件P45中小企业声明函，未按要求提供声明函的将导致响应无效）。本项目中小企业划分标准所属行业为：未列明行业</w:t>
      </w:r>
      <w:r>
        <w:rPr>
          <w:rFonts w:hint="eastAsia" w:ascii="仿宋" w:hAnsi="仿宋" w:eastAsia="仿宋" w:cs="仿宋"/>
          <w:strike w:val="0"/>
          <w:color w:val="auto"/>
          <w:sz w:val="24"/>
          <w:highlight w:val="none"/>
          <w:lang w:eastAsia="zh-CN"/>
        </w:rPr>
        <w:t>。</w:t>
      </w:r>
    </w:p>
    <w:p>
      <w:pPr>
        <w:tabs>
          <w:tab w:val="left" w:pos="0"/>
        </w:tabs>
        <w:wordWrap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7.已在医院办公室报名。</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（相关资质及证明文件附后）</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bookmarkStart w:id="17" w:name="_Toc202820352"/>
      <w:bookmarkStart w:id="18" w:name="_Toc202252035"/>
      <w:bookmarkStart w:id="19" w:name="_Toc202251701"/>
      <w:bookmarkStart w:id="20" w:name="_Toc202251076"/>
      <w:bookmarkStart w:id="21" w:name="_Toc202819879"/>
      <w:bookmarkStart w:id="22" w:name="_Toc202254106"/>
      <w:bookmarkStart w:id="23" w:name="_Toc202816997"/>
    </w:p>
    <w:p>
      <w:pPr>
        <w:pStyle w:val="2"/>
        <w:rPr>
          <w:rFonts w:hint="eastAsia"/>
          <w:color w:val="auto"/>
          <w:sz w:val="24"/>
          <w:szCs w:val="24"/>
          <w:highlight w:val="none"/>
        </w:rPr>
      </w:pPr>
      <w:r>
        <w:rPr>
          <w:color w:val="auto"/>
          <w:sz w:val="24"/>
          <w:highlight w:val="none"/>
        </w:rPr>
        <w:br w:type="page"/>
      </w:r>
      <w:r>
        <w:rPr>
          <w:rFonts w:hint="eastAsia" w:ascii="仿宋" w:hAnsi="仿宋" w:eastAsia="仿宋" w:cs="仿宋"/>
          <w:color w:val="auto"/>
          <w:highlight w:val="none"/>
        </w:rPr>
        <w:t>4 商务部分</w:t>
      </w:r>
      <w:bookmarkEnd w:id="17"/>
      <w:bookmarkEnd w:id="18"/>
      <w:bookmarkEnd w:id="19"/>
      <w:bookmarkEnd w:id="20"/>
      <w:bookmarkEnd w:id="21"/>
      <w:bookmarkEnd w:id="22"/>
      <w:bookmarkEnd w:id="23"/>
    </w:p>
    <w:p>
      <w:pPr>
        <w:tabs>
          <w:tab w:val="left" w:pos="540"/>
        </w:tabs>
        <w:spacing w:line="4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4.1</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lang w:val="en-GB"/>
        </w:rPr>
        <w:t>其它必需重要事项说明及承诺(单页)</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参加本项目前三年内，在经营活动中没有违法记录承诺函。</w:t>
      </w:r>
    </w:p>
    <w:p>
      <w:pPr>
        <w:adjustRightInd w:val="0"/>
        <w:snapToGrid w:val="0"/>
        <w:spacing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近三年经营活动中无重大违法违规声明函</w:t>
      </w:r>
    </w:p>
    <w:p>
      <w:pPr>
        <w:spacing w:line="400" w:lineRule="exact"/>
        <w:ind w:left="-547" w:leftChars="-257" w:firstLine="486"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本人以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响应供应商名称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法定代表人的资格，郑重声明：</w:t>
      </w:r>
    </w:p>
    <w:p>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我公司在参加本项目采购活动前三年，在经营活动中无重大违法、违规的不良记录。若在本次项目响应的全过程中，被查实我公司提供的资料及上述声明不属实，或提供的相关资料不属实或不满足资格审查要求，</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有权取消我公司的响应及成交资格，且我公司将无条件承担由此给本次比选带来的一切后果，包括经济损失。</w:t>
      </w:r>
    </w:p>
    <w:p>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特此声明！</w:t>
      </w:r>
    </w:p>
    <w:p>
      <w:pPr>
        <w:adjustRightInd w:val="0"/>
        <w:snapToGrid w:val="0"/>
        <w:spacing w:line="400" w:lineRule="exact"/>
        <w:ind w:firstLine="555"/>
        <w:rPr>
          <w:rFonts w:hint="eastAsia" w:ascii="仿宋" w:hAnsi="仿宋" w:eastAsia="仿宋" w:cs="仿宋"/>
          <w:color w:val="auto"/>
          <w:sz w:val="24"/>
          <w:highlight w:val="none"/>
        </w:rPr>
      </w:pP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400" w:lineRule="exact"/>
        <w:rPr>
          <w:rFonts w:hint="eastAsia"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诚信响应承诺书。</w:t>
      </w:r>
    </w:p>
    <w:p>
      <w:pPr>
        <w:spacing w:line="400" w:lineRule="exact"/>
        <w:jc w:val="center"/>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诚信响应承诺书(单页)</w:t>
      </w:r>
    </w:p>
    <w:p>
      <w:pPr>
        <w:spacing w:line="400" w:lineRule="exact"/>
        <w:ind w:left="-547" w:leftChars="-257" w:firstLine="486"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本企业郑重承诺：</w:t>
      </w:r>
    </w:p>
    <w:p>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一、遵守政府采购法律、法规和规章制度，维护医院采购市场秩序和公平竞争环境，不恶意竞价；</w:t>
      </w:r>
    </w:p>
    <w:p>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二、依法诚信参与医院比选、响应采购活动，自觉维护采购人合法权益；</w:t>
      </w:r>
    </w:p>
    <w:p>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三、严格保守医院比选采购活动中获取的国家秘密和商业秘密；</w:t>
      </w:r>
    </w:p>
    <w:p>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四、依法履行采购合同和采购活动中的各项承诺，为采购人提供符合规定质量标准的货物、工程和服务，以及优良的售后服务；</w:t>
      </w:r>
    </w:p>
    <w:p>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五、依法诚信进行质疑与投诉活动；</w:t>
      </w:r>
    </w:p>
    <w:p>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六、主动接受医院比选采购监督管理部门的监督检查。</w:t>
      </w:r>
    </w:p>
    <w:p>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本公司若有违反本承诺内容的行为，愿意承担相应的后果和法律责任，包括愿意接受医院作出的处罚。 </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备注：附上</w:t>
      </w:r>
      <w:r>
        <w:rPr>
          <w:rFonts w:hint="eastAsia" w:ascii="仿宋" w:hAnsi="仿宋" w:eastAsia="仿宋" w:cs="仿宋"/>
          <w:color w:val="auto"/>
          <w:sz w:val="24"/>
          <w:highlight w:val="none"/>
          <w:lang w:bidi="ar"/>
        </w:rPr>
        <w:t>国家企业信用信息公示系统/信用中国/中国政府采购网查询的征信情况。</w:t>
      </w: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中小企业声明函</w:t>
      </w:r>
      <w:r>
        <w:rPr>
          <w:rFonts w:hint="eastAsia" w:ascii="仿宋" w:hAnsi="仿宋" w:eastAsia="仿宋" w:cs="仿宋"/>
          <w:color w:val="auto"/>
          <w:sz w:val="24"/>
          <w:highlight w:val="none"/>
        </w:rPr>
        <w:t>。</w:t>
      </w:r>
    </w:p>
    <w:p>
      <w:pPr>
        <w:numPr>
          <w:ilvl w:val="0"/>
          <w:numId w:val="0"/>
        </w:numPr>
        <w:rPr>
          <w:rFonts w:hint="eastAsia" w:ascii="仿宋" w:hAnsi="仿宋" w:eastAsia="仿宋" w:cs="仿宋"/>
          <w:color w:val="auto"/>
          <w:sz w:val="24"/>
          <w:highlight w:val="none"/>
        </w:rPr>
      </w:pPr>
    </w:p>
    <w:p>
      <w:pPr>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pPr>
        <w:numPr>
          <w:ilvl w:val="0"/>
          <w:numId w:val="0"/>
        </w:numPr>
        <w:rPr>
          <w:rFonts w:hint="eastAsia"/>
          <w:color w:val="auto"/>
          <w:highlight w:val="none"/>
        </w:rPr>
      </w:pPr>
      <w:r>
        <w:rPr>
          <w:rFonts w:hint="eastAsia" w:ascii="仿宋" w:hAnsi="仿宋" w:eastAsia="仿宋" w:cs="仿宋"/>
          <w:color w:val="auto"/>
          <w:sz w:val="24"/>
          <w:highlight w:val="none"/>
        </w:rPr>
        <w:t>中小企业声明函（所投产品制造商为中小企业时提交本函，所属行业应符合采购文件中明确的本项目所属行业）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b/>
          <w:color w:val="auto"/>
          <w:sz w:val="30"/>
          <w:szCs w:val="30"/>
          <w:highlight w:val="none"/>
          <w:lang w:val="hr-HR"/>
        </w:rPr>
        <w:t>中小企业声明函（货物）</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号）的规定，本公司（联合体）参加（单位名称）的（项目名称）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1.（标的名称），属于（采购文件中明确的所属行业）行业；制造商为（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2.（标的名称），属于（采购文件中明确的所属行业）行业；制造商为（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应当对其出具的《中小企业声明函》真实性负责，</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出具的《中小企业声明函》内容不实的，属于提供虚假材料谋取</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。在实际操作中，</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希望获得中小企业扶持政策支持的，应从制造商处获得充分、准确的信息。对相关制造商信息了解不充分，或者不能确定相关信息真实、准确的，不建议出具《中小企业声明函》。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pStyle w:val="7"/>
        <w:rPr>
          <w:rFonts w:hint="eastAsia" w:ascii="仿宋" w:hAnsi="仿宋" w:eastAsia="仿宋" w:cs="仿宋"/>
          <w:color w:val="auto"/>
          <w:sz w:val="24"/>
          <w:highlight w:val="none"/>
        </w:rPr>
      </w:pPr>
    </w:p>
    <w:p>
      <w:pPr>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中小企业声明函（承建本项目工程为中小企业或者承接本项目服务为中小企业时提交本函，所属行业应符合采购文件中明确的本项目所属行业）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中小企业声明函（工程、服务）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1.（标的名称），属于（采购文件中明确的所属行业）行业；承建（承接）企业为（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2.（标的名称），属于（采购文件中明确的所属行业）行业；承建（承接）企业为（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应当自行核实是否属于小微企业，并认真填写声明函，若有虚假将追究其责任。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监狱企业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提供由监狱管理局、戒毒管理局（含新疆生产建设兵团）出具的属于监狱企业的证明文件。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残疾人福利性单位声明函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注：本函未填写或未勾选视作未做声明。</w:t>
      </w:r>
    </w:p>
    <w:p>
      <w:pPr>
        <w:rPr>
          <w:rFonts w:hint="default"/>
          <w:color w:val="auto"/>
          <w:highlight w:val="none"/>
          <w:lang w:val="en-US" w:eastAsia="zh-CN"/>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color w:val="auto"/>
          <w:sz w:val="20"/>
          <w:szCs w:val="22"/>
          <w:highlight w:val="none"/>
        </w:rPr>
      </w:pPr>
      <w:r>
        <w:rPr>
          <w:rFonts w:hint="eastAsia" w:ascii="仿宋" w:hAnsi="仿宋" w:eastAsia="仿宋" w:cs="仿宋"/>
          <w:b/>
          <w:color w:val="auto"/>
          <w:sz w:val="24"/>
          <w:highlight w:val="none"/>
        </w:rPr>
        <w:t>4.2商务条款响应</w:t>
      </w:r>
    </w:p>
    <w:p>
      <w:pPr>
        <w:adjustRightInd w:val="0"/>
        <w:snapToGrid w:val="0"/>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4.2.1 实质性响应商务条款</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077"/>
        <w:gridCol w:w="3651"/>
        <w:gridCol w:w="736"/>
        <w:gridCol w:w="1430"/>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520" w:type="dxa"/>
            <w:gridSpan w:val="6"/>
            <w:noWrap w:val="0"/>
            <w:vAlign w:val="center"/>
          </w:tcPr>
          <w:p>
            <w:pPr>
              <w:spacing w:after="12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”项）商务条款响应表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596"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77"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3651"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要求</w:t>
            </w:r>
          </w:p>
        </w:tc>
        <w:tc>
          <w:tcPr>
            <w:tcW w:w="736"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430"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030"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96" w:type="dxa"/>
            <w:noWrap w:val="0"/>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1077" w:type="dxa"/>
            <w:noWrap w:val="0"/>
            <w:vAlign w:val="center"/>
          </w:tcPr>
          <w:p>
            <w:pPr>
              <w:spacing w:line="380" w:lineRule="exact"/>
              <w:jc w:val="center"/>
              <w:rPr>
                <w:rFonts w:hint="eastAsia" w:ascii="仿宋" w:hAnsi="仿宋" w:eastAsia="仿宋" w:cs="仿宋"/>
                <w:color w:val="auto"/>
                <w:sz w:val="21"/>
                <w:szCs w:val="21"/>
                <w:highlight w:val="none"/>
                <w:lang w:val="en-US" w:eastAsia="zh-CN"/>
              </w:rPr>
            </w:pPr>
          </w:p>
        </w:tc>
        <w:tc>
          <w:tcPr>
            <w:tcW w:w="3651" w:type="dxa"/>
            <w:noWrap w:val="0"/>
            <w:vAlign w:val="center"/>
          </w:tcPr>
          <w:p>
            <w:pPr>
              <w:adjustRightInd w:val="0"/>
              <w:snapToGrid w:val="0"/>
              <w:spacing w:line="360" w:lineRule="auto"/>
              <w:jc w:val="center"/>
              <w:rPr>
                <w:rFonts w:hint="eastAsia" w:ascii="仿宋" w:hAnsi="仿宋" w:eastAsia="仿宋" w:cs="仿宋"/>
                <w:color w:val="auto"/>
                <w:sz w:val="21"/>
                <w:szCs w:val="21"/>
                <w:highlight w:val="none"/>
                <w:lang w:val="en-US" w:eastAsia="zh-CN"/>
              </w:rPr>
            </w:pPr>
          </w:p>
        </w:tc>
        <w:tc>
          <w:tcPr>
            <w:tcW w:w="736"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p>
        </w:tc>
        <w:tc>
          <w:tcPr>
            <w:tcW w:w="143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p>
        </w:tc>
        <w:tc>
          <w:tcPr>
            <w:tcW w:w="103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96" w:type="dxa"/>
            <w:noWrap w:val="0"/>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077" w:type="dxa"/>
            <w:noWrap w:val="0"/>
            <w:vAlign w:val="center"/>
          </w:tcPr>
          <w:p>
            <w:pPr>
              <w:jc w:val="center"/>
              <w:rPr>
                <w:rFonts w:hint="eastAsia" w:ascii="仿宋" w:hAnsi="仿宋" w:eastAsia="仿宋" w:cs="仿宋"/>
                <w:color w:val="auto"/>
                <w:sz w:val="21"/>
                <w:szCs w:val="21"/>
                <w:highlight w:val="none"/>
              </w:rPr>
            </w:pPr>
          </w:p>
        </w:tc>
        <w:tc>
          <w:tcPr>
            <w:tcW w:w="3651" w:type="dxa"/>
            <w:noWrap w:val="0"/>
            <w:vAlign w:val="center"/>
          </w:tcPr>
          <w:p>
            <w:pPr>
              <w:adjustRightInd w:val="0"/>
              <w:snapToGrid w:val="0"/>
              <w:spacing w:line="360" w:lineRule="auto"/>
              <w:jc w:val="center"/>
              <w:rPr>
                <w:rFonts w:hint="eastAsia" w:ascii="仿宋" w:hAnsi="仿宋" w:eastAsia="仿宋" w:cs="仿宋"/>
                <w:color w:val="auto"/>
                <w:sz w:val="21"/>
                <w:szCs w:val="21"/>
                <w:highlight w:val="none"/>
              </w:rPr>
            </w:pPr>
          </w:p>
        </w:tc>
        <w:tc>
          <w:tcPr>
            <w:tcW w:w="736" w:type="dxa"/>
            <w:noWrap w:val="0"/>
            <w:vAlign w:val="top"/>
          </w:tcPr>
          <w:p>
            <w:pPr>
              <w:rPr>
                <w:rFonts w:hint="eastAsia" w:ascii="仿宋" w:hAnsi="仿宋" w:eastAsia="仿宋" w:cs="仿宋"/>
                <w:color w:val="auto"/>
                <w:szCs w:val="21"/>
                <w:highlight w:val="none"/>
              </w:rPr>
            </w:pPr>
          </w:p>
        </w:tc>
        <w:tc>
          <w:tcPr>
            <w:tcW w:w="1430" w:type="dxa"/>
            <w:noWrap w:val="0"/>
            <w:vAlign w:val="top"/>
          </w:tcPr>
          <w:p>
            <w:pPr>
              <w:rPr>
                <w:rFonts w:hint="eastAsia" w:ascii="仿宋" w:hAnsi="仿宋" w:eastAsia="仿宋" w:cs="仿宋"/>
                <w:color w:val="auto"/>
                <w:szCs w:val="21"/>
                <w:highlight w:val="none"/>
              </w:rPr>
            </w:pPr>
          </w:p>
        </w:tc>
        <w:tc>
          <w:tcPr>
            <w:tcW w:w="1030" w:type="dxa"/>
            <w:noWrap w:val="0"/>
            <w:vAlign w:val="top"/>
          </w:tcPr>
          <w:p>
            <w:pP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96" w:type="dxa"/>
            <w:noWrap w:val="0"/>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c>
          <w:tcPr>
            <w:tcW w:w="1077" w:type="dxa"/>
            <w:noWrap w:val="0"/>
            <w:vAlign w:val="center"/>
          </w:tcPr>
          <w:p>
            <w:pPr>
              <w:jc w:val="center"/>
              <w:rPr>
                <w:rFonts w:hint="eastAsia" w:ascii="仿宋" w:hAnsi="仿宋" w:eastAsia="仿宋" w:cs="仿宋"/>
                <w:b/>
                <w:bCs/>
                <w:i w:val="0"/>
                <w:color w:val="auto"/>
                <w:kern w:val="0"/>
                <w:sz w:val="22"/>
                <w:szCs w:val="22"/>
                <w:highlight w:val="none"/>
                <w:u w:val="none"/>
                <w:lang w:val="en-US" w:eastAsia="zh-CN" w:bidi="ar"/>
              </w:rPr>
            </w:pPr>
          </w:p>
        </w:tc>
        <w:tc>
          <w:tcPr>
            <w:tcW w:w="3651" w:type="dxa"/>
            <w:noWrap w:val="0"/>
            <w:vAlign w:val="top"/>
          </w:tcPr>
          <w:p>
            <w:pPr>
              <w:jc w:val="center"/>
              <w:rPr>
                <w:rFonts w:hint="eastAsia" w:ascii="仿宋" w:hAnsi="仿宋" w:eastAsia="仿宋" w:cs="仿宋"/>
                <w:b/>
                <w:bCs/>
                <w:i w:val="0"/>
                <w:color w:val="auto"/>
                <w:kern w:val="0"/>
                <w:sz w:val="22"/>
                <w:szCs w:val="22"/>
                <w:highlight w:val="none"/>
                <w:u w:val="none"/>
                <w:lang w:val="en-US" w:eastAsia="zh-CN" w:bidi="ar"/>
              </w:rPr>
            </w:pPr>
          </w:p>
        </w:tc>
        <w:tc>
          <w:tcPr>
            <w:tcW w:w="736" w:type="dxa"/>
            <w:noWrap w:val="0"/>
            <w:vAlign w:val="top"/>
          </w:tcPr>
          <w:p>
            <w:pPr>
              <w:rPr>
                <w:rFonts w:hint="eastAsia" w:ascii="仿宋" w:hAnsi="仿宋" w:eastAsia="仿宋" w:cs="仿宋"/>
                <w:color w:val="auto"/>
                <w:szCs w:val="21"/>
                <w:highlight w:val="none"/>
              </w:rPr>
            </w:pPr>
          </w:p>
        </w:tc>
        <w:tc>
          <w:tcPr>
            <w:tcW w:w="1430" w:type="dxa"/>
            <w:noWrap w:val="0"/>
            <w:vAlign w:val="top"/>
          </w:tcPr>
          <w:p>
            <w:pPr>
              <w:rPr>
                <w:rFonts w:hint="eastAsia" w:ascii="仿宋" w:hAnsi="仿宋" w:eastAsia="仿宋" w:cs="仿宋"/>
                <w:color w:val="auto"/>
                <w:szCs w:val="21"/>
                <w:highlight w:val="none"/>
              </w:rPr>
            </w:pPr>
          </w:p>
        </w:tc>
        <w:tc>
          <w:tcPr>
            <w:tcW w:w="1030" w:type="dxa"/>
            <w:noWrap w:val="0"/>
            <w:vAlign w:val="top"/>
          </w:tcPr>
          <w:p>
            <w:pPr>
              <w:rPr>
                <w:rFonts w:hint="eastAsia" w:ascii="仿宋" w:hAnsi="仿宋" w:eastAsia="仿宋" w:cs="仿宋"/>
                <w:color w:val="auto"/>
                <w:szCs w:val="21"/>
                <w:highlight w:val="none"/>
              </w:rPr>
            </w:pP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w:t>
      </w:r>
      <w:r>
        <w:rPr>
          <w:rFonts w:hint="eastAsia" w:ascii="仿宋" w:hAnsi="仿宋" w:eastAsia="仿宋" w:cs="仿宋"/>
          <w:color w:val="auto"/>
          <w:sz w:val="24"/>
          <w:highlight w:val="none"/>
          <w:lang w:val="en-GB"/>
        </w:rPr>
        <w:t>响应供应商</w:t>
      </w:r>
      <w:r>
        <w:rPr>
          <w:rFonts w:hint="eastAsia" w:ascii="仿宋" w:hAnsi="仿宋" w:eastAsia="仿宋" w:cs="仿宋"/>
          <w:color w:val="auto"/>
          <w:sz w:val="24"/>
          <w:highlight w:val="none"/>
        </w:rPr>
        <w:t>响应供应商必须对上述一般上述实质性商务条款逐条响应，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标“</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”项为不可负偏离（劣于），任何一项负偏离该响应无效。</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w:t>
      </w:r>
    </w:p>
    <w:p>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2.本表内容不得擅自修改。</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300" w:lineRule="auto"/>
        <w:rPr>
          <w:rFonts w:hint="eastAsia" w:ascii="仿宋" w:hAnsi="仿宋" w:eastAsia="仿宋" w:cs="仿宋"/>
          <w:color w:val="auto"/>
          <w:sz w:val="24"/>
          <w:highlight w:val="none"/>
        </w:rPr>
      </w:pPr>
    </w:p>
    <w:p>
      <w:pPr>
        <w:pStyle w:val="3"/>
        <w:spacing w:before="0" w:after="0"/>
        <w:jc w:val="left"/>
        <w:rPr>
          <w:rFonts w:hint="eastAsia" w:ascii="仿宋" w:hAnsi="仿宋" w:eastAsia="仿宋" w:cs="仿宋"/>
          <w:color w:val="auto"/>
          <w:highlight w:val="none"/>
        </w:rPr>
      </w:pPr>
      <w:r>
        <w:rPr>
          <w:rFonts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4.2.2 一般</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商务条款响应表</w:t>
      </w:r>
    </w:p>
    <w:tbl>
      <w:tblPr>
        <w:tblStyle w:val="12"/>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3947"/>
        <w:gridCol w:w="1381"/>
        <w:gridCol w:w="1322"/>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3947"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一般商务条款要求</w:t>
            </w:r>
          </w:p>
        </w:tc>
        <w:tc>
          <w:tcPr>
            <w:tcW w:w="1381"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322"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391"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完全理解并接受合同条款要求</w:t>
            </w:r>
          </w:p>
        </w:tc>
        <w:tc>
          <w:tcPr>
            <w:tcW w:w="1381" w:type="dxa"/>
            <w:noWrap w:val="0"/>
            <w:vAlign w:val="center"/>
          </w:tcPr>
          <w:p>
            <w:pPr>
              <w:pStyle w:val="18"/>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pPr>
              <w:jc w:val="center"/>
              <w:rPr>
                <w:rFonts w:hint="eastAsia" w:ascii="仿宋" w:hAnsi="仿宋" w:eastAsia="仿宋" w:cs="仿宋"/>
                <w:color w:val="auto"/>
                <w:szCs w:val="21"/>
                <w:highlight w:val="none"/>
              </w:rPr>
            </w:pPr>
          </w:p>
        </w:tc>
        <w:tc>
          <w:tcPr>
            <w:tcW w:w="1391"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完全理解并接受对合格响应供应商、合格的货物、工程和服务要求</w:t>
            </w:r>
          </w:p>
        </w:tc>
        <w:tc>
          <w:tcPr>
            <w:tcW w:w="1381" w:type="dxa"/>
            <w:noWrap w:val="0"/>
            <w:vAlign w:val="center"/>
          </w:tcPr>
          <w:p>
            <w:pPr>
              <w:pStyle w:val="18"/>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pPr>
              <w:jc w:val="center"/>
              <w:rPr>
                <w:rFonts w:hint="eastAsia" w:ascii="仿宋" w:hAnsi="仿宋" w:eastAsia="仿宋" w:cs="仿宋"/>
                <w:color w:val="auto"/>
                <w:szCs w:val="21"/>
                <w:highlight w:val="none"/>
              </w:rPr>
            </w:pPr>
          </w:p>
        </w:tc>
        <w:tc>
          <w:tcPr>
            <w:tcW w:w="1391"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完全理解并接受对响应供应商的各项须知、规约要求和责任义务</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ind w:right="-35"/>
              <w:jc w:val="center"/>
              <w:rPr>
                <w:rFonts w:hint="eastAsia" w:ascii="仿宋" w:hAnsi="仿宋" w:eastAsia="仿宋" w:cs="仿宋"/>
                <w:color w:val="auto"/>
                <w:szCs w:val="21"/>
                <w:highlight w:val="none"/>
              </w:rPr>
            </w:pPr>
          </w:p>
        </w:tc>
        <w:tc>
          <w:tcPr>
            <w:tcW w:w="1391" w:type="dxa"/>
            <w:noWrap w:val="0"/>
            <w:vAlign w:val="center"/>
          </w:tcPr>
          <w:p>
            <w:pPr>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4</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响应有效期：响应有效期为自递交响应文件起至确定正式成交人止不少于</w:t>
            </w:r>
            <w:r>
              <w:rPr>
                <w:rFonts w:hint="eastAsia" w:ascii="仿宋" w:hAnsi="仿宋" w:eastAsia="仿宋" w:cs="仿宋"/>
                <w:color w:val="auto"/>
                <w:szCs w:val="21"/>
                <w:highlight w:val="none"/>
                <w:u w:val="single"/>
              </w:rPr>
              <w:t xml:space="preserve">90 </w:t>
            </w:r>
            <w:r>
              <w:rPr>
                <w:rFonts w:hint="eastAsia" w:ascii="仿宋" w:hAnsi="仿宋" w:eastAsia="仿宋" w:cs="仿宋"/>
                <w:color w:val="auto"/>
                <w:szCs w:val="21"/>
                <w:highlight w:val="none"/>
              </w:rPr>
              <w:t>天，成交单位有效期至项目验收之日</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ind w:right="-35"/>
              <w:jc w:val="center"/>
              <w:rPr>
                <w:rFonts w:hint="eastAsia" w:ascii="仿宋" w:hAnsi="仿宋" w:eastAsia="仿宋" w:cs="仿宋"/>
                <w:color w:val="auto"/>
                <w:szCs w:val="21"/>
                <w:highlight w:val="none"/>
              </w:rPr>
            </w:pPr>
          </w:p>
        </w:tc>
        <w:tc>
          <w:tcPr>
            <w:tcW w:w="1391" w:type="dxa"/>
            <w:noWrap w:val="0"/>
            <w:vAlign w:val="center"/>
          </w:tcPr>
          <w:p>
            <w:pPr>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GB"/>
              </w:rPr>
              <w:t>同意接受合同范本所列述的各项条款</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ind w:right="-35"/>
              <w:jc w:val="center"/>
              <w:rPr>
                <w:rFonts w:hint="eastAsia" w:ascii="仿宋" w:hAnsi="仿宋" w:eastAsia="仿宋" w:cs="仿宋"/>
                <w:color w:val="auto"/>
                <w:szCs w:val="21"/>
                <w:highlight w:val="none"/>
              </w:rPr>
            </w:pPr>
          </w:p>
        </w:tc>
        <w:tc>
          <w:tcPr>
            <w:tcW w:w="1391" w:type="dxa"/>
            <w:noWrap w:val="0"/>
            <w:vAlign w:val="center"/>
          </w:tcPr>
          <w:p>
            <w:pPr>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3947" w:type="dxa"/>
            <w:noWrap w:val="0"/>
            <w:vAlign w:val="center"/>
          </w:tcPr>
          <w:p>
            <w:pP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同意采购方以任何形式对我方响应文件内容的真实性和有效性进行审查、验证</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ind w:right="-35"/>
              <w:jc w:val="center"/>
              <w:rPr>
                <w:rFonts w:hint="eastAsia" w:ascii="仿宋" w:hAnsi="仿宋" w:eastAsia="仿宋" w:cs="仿宋"/>
                <w:color w:val="auto"/>
                <w:szCs w:val="21"/>
                <w:highlight w:val="none"/>
              </w:rPr>
            </w:pPr>
          </w:p>
        </w:tc>
        <w:tc>
          <w:tcPr>
            <w:tcW w:w="1391" w:type="dxa"/>
            <w:noWrap w:val="0"/>
            <w:vAlign w:val="center"/>
          </w:tcPr>
          <w:p>
            <w:pPr>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17" w:type="dxa"/>
            <w:noWrap w:val="0"/>
            <w:vAlign w:val="center"/>
          </w:tcPr>
          <w:p>
            <w:pPr>
              <w:jc w:val="center"/>
              <w:rPr>
                <w:rFonts w:hint="eastAsia" w:ascii="仿宋" w:hAnsi="仿宋" w:eastAsia="仿宋" w:cs="仿宋"/>
                <w:color w:val="auto"/>
                <w:szCs w:val="21"/>
                <w:highlight w:val="none"/>
                <w:lang w:val="en-US" w:eastAsia="zh-CN"/>
              </w:rPr>
            </w:pPr>
          </w:p>
        </w:tc>
        <w:tc>
          <w:tcPr>
            <w:tcW w:w="3947" w:type="dxa"/>
            <w:noWrap w:val="0"/>
            <w:vAlign w:val="center"/>
          </w:tcPr>
          <w:p>
            <w:pPr>
              <w:rPr>
                <w:rFonts w:hint="eastAsia" w:ascii="仿宋" w:hAnsi="仿宋" w:eastAsia="仿宋" w:cs="仿宋"/>
                <w:color w:val="auto"/>
                <w:szCs w:val="21"/>
                <w:highlight w:val="none"/>
                <w:lang w:val="en-GB"/>
              </w:rPr>
            </w:pP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pStyle w:val="18"/>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pPr>
              <w:pStyle w:val="18"/>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7" w:type="dxa"/>
            <w:noWrap w:val="0"/>
            <w:vAlign w:val="center"/>
          </w:tcPr>
          <w:p>
            <w:pPr>
              <w:jc w:val="center"/>
              <w:rPr>
                <w:rFonts w:hint="eastAsia" w:ascii="仿宋" w:hAnsi="仿宋" w:eastAsia="仿宋" w:cs="仿宋"/>
                <w:color w:val="auto"/>
                <w:szCs w:val="21"/>
                <w:highlight w:val="none"/>
                <w:lang w:val="en-US" w:eastAsia="zh-CN"/>
              </w:rPr>
            </w:pPr>
          </w:p>
        </w:tc>
        <w:tc>
          <w:tcPr>
            <w:tcW w:w="3947" w:type="dxa"/>
            <w:noWrap w:val="0"/>
            <w:vAlign w:val="center"/>
          </w:tcPr>
          <w:p>
            <w:pPr>
              <w:rPr>
                <w:rFonts w:hint="eastAsia" w:ascii="仿宋" w:hAnsi="仿宋" w:eastAsia="仿宋" w:cs="仿宋"/>
                <w:color w:val="auto"/>
                <w:szCs w:val="21"/>
                <w:highlight w:val="none"/>
                <w:lang w:val="en-GB"/>
              </w:rPr>
            </w:pP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pStyle w:val="18"/>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pPr>
              <w:pStyle w:val="18"/>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17" w:type="dxa"/>
            <w:noWrap w:val="0"/>
            <w:vAlign w:val="center"/>
          </w:tcPr>
          <w:p>
            <w:pPr>
              <w:jc w:val="center"/>
              <w:rPr>
                <w:rFonts w:hint="eastAsia" w:ascii="仿宋" w:hAnsi="仿宋" w:eastAsia="仿宋" w:cs="仿宋"/>
                <w:color w:val="auto"/>
                <w:szCs w:val="21"/>
                <w:highlight w:val="none"/>
              </w:rPr>
            </w:pPr>
          </w:p>
        </w:tc>
        <w:tc>
          <w:tcPr>
            <w:tcW w:w="6650" w:type="dxa"/>
            <w:gridSpan w:val="3"/>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其它商务条款偏离说明：</w:t>
            </w:r>
          </w:p>
        </w:tc>
        <w:tc>
          <w:tcPr>
            <w:tcW w:w="1391" w:type="dxa"/>
            <w:noWrap w:val="0"/>
            <w:vAlign w:val="center"/>
          </w:tcPr>
          <w:p>
            <w:pPr>
              <w:rPr>
                <w:rFonts w:hint="eastAsia" w:ascii="仿宋" w:hAnsi="仿宋" w:eastAsia="仿宋" w:cs="仿宋"/>
                <w:color w:val="auto"/>
                <w:szCs w:val="21"/>
                <w:highlight w:val="none"/>
              </w:rPr>
            </w:pPr>
          </w:p>
        </w:tc>
      </w:tr>
    </w:tbl>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注： 1.响应供应商</w:t>
      </w:r>
      <w:r>
        <w:rPr>
          <w:rFonts w:hint="eastAsia" w:ascii="仿宋" w:hAnsi="仿宋" w:eastAsia="仿宋" w:cs="仿宋"/>
          <w:color w:val="auto"/>
          <w:sz w:val="24"/>
          <w:highlight w:val="none"/>
        </w:rPr>
        <w:t>必须对上述一般商务条款逐条响应。</w:t>
      </w:r>
      <w:r>
        <w:rPr>
          <w:rFonts w:hint="eastAsia" w:ascii="仿宋" w:hAnsi="仿宋" w:eastAsia="仿宋" w:cs="仿宋"/>
          <w:b/>
          <w:bCs/>
          <w:color w:val="auto"/>
          <w:sz w:val="24"/>
          <w:highlight w:val="none"/>
        </w:rPr>
        <w:t>如有缺漏项视同不符合对应条款之要求。</w:t>
      </w:r>
      <w:r>
        <w:rPr>
          <w:rFonts w:hint="eastAsia" w:ascii="仿宋" w:hAnsi="仿宋" w:eastAsia="仿宋" w:cs="仿宋"/>
          <w:color w:val="auto"/>
          <w:sz w:val="24"/>
          <w:highlight w:val="none"/>
          <w:lang w:val="en-GB"/>
        </w:rPr>
        <w:t>请在“是否响应”填“是”或“否”（不得空白，空白视为“否”），并对照偏离情况请在“偏离说明”栏内扼要说明偏离情况，不响应视为负偏离。</w:t>
      </w:r>
    </w:p>
    <w:p>
      <w:pPr>
        <w:ind w:firstLine="420"/>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 xml:space="preserve"> 2.本表内容不得擅自修改。</w:t>
      </w:r>
    </w:p>
    <w:p>
      <w:pPr>
        <w:rPr>
          <w:rFonts w:hint="eastAsia" w:ascii="仿宋" w:hAnsi="仿宋" w:eastAsia="仿宋" w:cs="仿宋"/>
          <w:color w:val="auto"/>
          <w:szCs w:val="21"/>
          <w:highlight w:val="none"/>
          <w:lang w:val="en-GB"/>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color w:val="auto"/>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bookmarkStart w:id="24" w:name="_Toc202254107"/>
      <w:bookmarkStart w:id="25" w:name="_Toc202819880"/>
      <w:bookmarkStart w:id="26" w:name="_Toc202252036"/>
      <w:bookmarkStart w:id="27" w:name="_Toc202820353"/>
      <w:bookmarkStart w:id="28" w:name="_Toc202816998"/>
      <w:bookmarkStart w:id="29" w:name="_Toc202251077"/>
      <w:bookmarkStart w:id="30" w:name="_Toc202251702"/>
      <w:r>
        <w:rPr>
          <w:rFonts w:hint="eastAsia"/>
          <w:color w:val="auto"/>
          <w:highlight w:val="none"/>
        </w:rPr>
        <w:br w:type="page"/>
      </w:r>
    </w:p>
    <w:p>
      <w:pPr>
        <w:tabs>
          <w:tab w:val="left" w:pos="540"/>
        </w:tabs>
        <w:outlineLvl w:val="1"/>
        <w:rPr>
          <w:rFonts w:hint="eastAsia" w:ascii="仿宋" w:hAnsi="仿宋" w:eastAsia="仿宋" w:cs="仿宋"/>
          <w:b/>
          <w:color w:val="auto"/>
          <w:sz w:val="24"/>
          <w:highlight w:val="none"/>
        </w:rPr>
      </w:pPr>
      <w:bookmarkStart w:id="31" w:name="_Toc20962"/>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所投项目业绩介绍（单页）</w:t>
      </w:r>
      <w:bookmarkEnd w:id="31"/>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872"/>
        <w:gridCol w:w="2787"/>
        <w:gridCol w:w="1533"/>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27" w:type="dxa"/>
            <w:shd w:val="clear" w:color="auto" w:fill="F3F3F3"/>
            <w:noWrap w:val="0"/>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872" w:type="dxa"/>
            <w:shd w:val="clear" w:color="auto" w:fill="F3F3F3"/>
            <w:noWrap w:val="0"/>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客户名称</w:t>
            </w:r>
          </w:p>
        </w:tc>
        <w:tc>
          <w:tcPr>
            <w:tcW w:w="2787" w:type="dxa"/>
            <w:shd w:val="clear" w:color="auto" w:fill="F3F3F3"/>
            <w:noWrap w:val="0"/>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项目名称及合同金额（万元）</w:t>
            </w:r>
          </w:p>
        </w:tc>
        <w:tc>
          <w:tcPr>
            <w:tcW w:w="1533" w:type="dxa"/>
            <w:shd w:val="clear" w:color="auto" w:fill="F3F3F3"/>
            <w:noWrap w:val="0"/>
            <w:vAlign w:val="center"/>
          </w:tcPr>
          <w:p>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签订合同时间</w:t>
            </w:r>
          </w:p>
        </w:tc>
        <w:tc>
          <w:tcPr>
            <w:tcW w:w="1518" w:type="dxa"/>
            <w:shd w:val="clear" w:color="auto" w:fill="F3F3F3"/>
            <w:noWrap w:val="0"/>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872" w:type="dxa"/>
            <w:noWrap w:val="0"/>
            <w:vAlign w:val="center"/>
          </w:tcPr>
          <w:p>
            <w:pPr>
              <w:jc w:val="center"/>
              <w:rPr>
                <w:rFonts w:hint="eastAsia" w:ascii="仿宋" w:hAnsi="仿宋" w:eastAsia="仿宋" w:cs="仿宋"/>
                <w:color w:val="auto"/>
                <w:szCs w:val="21"/>
                <w:highlight w:val="none"/>
              </w:rPr>
            </w:pPr>
          </w:p>
        </w:tc>
        <w:tc>
          <w:tcPr>
            <w:tcW w:w="2787" w:type="dxa"/>
            <w:noWrap w:val="0"/>
            <w:vAlign w:val="center"/>
          </w:tcPr>
          <w:p>
            <w:pPr>
              <w:jc w:val="center"/>
              <w:rPr>
                <w:rFonts w:hint="eastAsia" w:ascii="仿宋" w:hAnsi="仿宋" w:eastAsia="仿宋" w:cs="仿宋"/>
                <w:color w:val="auto"/>
                <w:szCs w:val="21"/>
                <w:highlight w:val="none"/>
              </w:rPr>
            </w:pPr>
          </w:p>
        </w:tc>
        <w:tc>
          <w:tcPr>
            <w:tcW w:w="1533" w:type="dxa"/>
            <w:noWrap w:val="0"/>
            <w:vAlign w:val="center"/>
          </w:tcPr>
          <w:p>
            <w:pPr>
              <w:jc w:val="center"/>
              <w:rPr>
                <w:rFonts w:hint="eastAsia" w:ascii="仿宋" w:hAnsi="仿宋" w:eastAsia="仿宋" w:cs="仿宋"/>
                <w:color w:val="auto"/>
                <w:szCs w:val="21"/>
                <w:highlight w:val="none"/>
              </w:rPr>
            </w:pPr>
          </w:p>
        </w:tc>
        <w:tc>
          <w:tcPr>
            <w:tcW w:w="1518"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872" w:type="dxa"/>
            <w:noWrap w:val="0"/>
            <w:vAlign w:val="center"/>
          </w:tcPr>
          <w:p>
            <w:pPr>
              <w:jc w:val="center"/>
              <w:rPr>
                <w:rFonts w:hint="eastAsia" w:ascii="仿宋" w:hAnsi="仿宋" w:eastAsia="仿宋" w:cs="仿宋"/>
                <w:color w:val="auto"/>
                <w:szCs w:val="21"/>
                <w:highlight w:val="none"/>
              </w:rPr>
            </w:pPr>
          </w:p>
        </w:tc>
        <w:tc>
          <w:tcPr>
            <w:tcW w:w="2787" w:type="dxa"/>
            <w:noWrap w:val="0"/>
            <w:vAlign w:val="center"/>
          </w:tcPr>
          <w:p>
            <w:pPr>
              <w:jc w:val="center"/>
              <w:rPr>
                <w:rFonts w:hint="eastAsia" w:ascii="仿宋" w:hAnsi="仿宋" w:eastAsia="仿宋" w:cs="仿宋"/>
                <w:color w:val="auto"/>
                <w:szCs w:val="21"/>
                <w:highlight w:val="none"/>
              </w:rPr>
            </w:pPr>
          </w:p>
        </w:tc>
        <w:tc>
          <w:tcPr>
            <w:tcW w:w="1533" w:type="dxa"/>
            <w:noWrap w:val="0"/>
            <w:vAlign w:val="center"/>
          </w:tcPr>
          <w:p>
            <w:pPr>
              <w:pStyle w:val="19"/>
              <w:rPr>
                <w:rFonts w:hint="eastAsia" w:ascii="仿宋" w:hAnsi="仿宋" w:eastAsia="仿宋" w:cs="仿宋"/>
                <w:color w:val="auto"/>
                <w:highlight w:val="none"/>
              </w:rPr>
            </w:pPr>
          </w:p>
        </w:tc>
        <w:tc>
          <w:tcPr>
            <w:tcW w:w="1518"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872" w:type="dxa"/>
            <w:noWrap w:val="0"/>
            <w:vAlign w:val="center"/>
          </w:tcPr>
          <w:p>
            <w:pPr>
              <w:jc w:val="center"/>
              <w:rPr>
                <w:rFonts w:hint="eastAsia" w:ascii="仿宋" w:hAnsi="仿宋" w:eastAsia="仿宋" w:cs="仿宋"/>
                <w:color w:val="auto"/>
                <w:szCs w:val="21"/>
                <w:highlight w:val="none"/>
              </w:rPr>
            </w:pPr>
          </w:p>
        </w:tc>
        <w:tc>
          <w:tcPr>
            <w:tcW w:w="2787" w:type="dxa"/>
            <w:noWrap w:val="0"/>
            <w:vAlign w:val="center"/>
          </w:tcPr>
          <w:p>
            <w:pPr>
              <w:jc w:val="center"/>
              <w:rPr>
                <w:rFonts w:hint="eastAsia" w:ascii="仿宋" w:hAnsi="仿宋" w:eastAsia="仿宋" w:cs="仿宋"/>
                <w:color w:val="auto"/>
                <w:szCs w:val="21"/>
                <w:highlight w:val="none"/>
              </w:rPr>
            </w:pPr>
          </w:p>
        </w:tc>
        <w:tc>
          <w:tcPr>
            <w:tcW w:w="1533" w:type="dxa"/>
            <w:noWrap w:val="0"/>
            <w:vAlign w:val="center"/>
          </w:tcPr>
          <w:p>
            <w:pPr>
              <w:jc w:val="center"/>
              <w:rPr>
                <w:rFonts w:hint="eastAsia" w:ascii="仿宋" w:hAnsi="仿宋" w:eastAsia="仿宋" w:cs="仿宋"/>
                <w:color w:val="auto"/>
                <w:szCs w:val="21"/>
                <w:highlight w:val="none"/>
              </w:rPr>
            </w:pPr>
          </w:p>
        </w:tc>
        <w:tc>
          <w:tcPr>
            <w:tcW w:w="1518"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1872" w:type="dxa"/>
            <w:noWrap w:val="0"/>
            <w:vAlign w:val="center"/>
          </w:tcPr>
          <w:p>
            <w:pPr>
              <w:jc w:val="center"/>
              <w:rPr>
                <w:rFonts w:hint="eastAsia" w:ascii="仿宋" w:hAnsi="仿宋" w:eastAsia="仿宋" w:cs="仿宋"/>
                <w:color w:val="auto"/>
                <w:szCs w:val="21"/>
                <w:highlight w:val="none"/>
              </w:rPr>
            </w:pPr>
          </w:p>
        </w:tc>
        <w:tc>
          <w:tcPr>
            <w:tcW w:w="2787" w:type="dxa"/>
            <w:noWrap w:val="0"/>
            <w:vAlign w:val="center"/>
          </w:tcPr>
          <w:p>
            <w:pPr>
              <w:jc w:val="center"/>
              <w:rPr>
                <w:rFonts w:hint="eastAsia" w:ascii="仿宋" w:hAnsi="仿宋" w:eastAsia="仿宋" w:cs="仿宋"/>
                <w:color w:val="auto"/>
                <w:szCs w:val="21"/>
                <w:highlight w:val="none"/>
              </w:rPr>
            </w:pPr>
          </w:p>
        </w:tc>
        <w:tc>
          <w:tcPr>
            <w:tcW w:w="1533" w:type="dxa"/>
            <w:noWrap w:val="0"/>
            <w:vAlign w:val="center"/>
          </w:tcPr>
          <w:p>
            <w:pPr>
              <w:jc w:val="center"/>
              <w:rPr>
                <w:rFonts w:hint="eastAsia" w:ascii="仿宋" w:hAnsi="仿宋" w:eastAsia="仿宋" w:cs="仿宋"/>
                <w:color w:val="auto"/>
                <w:szCs w:val="21"/>
                <w:highlight w:val="none"/>
              </w:rPr>
            </w:pPr>
          </w:p>
        </w:tc>
        <w:tc>
          <w:tcPr>
            <w:tcW w:w="1518" w:type="dxa"/>
            <w:noWrap w:val="0"/>
            <w:vAlign w:val="center"/>
          </w:tcPr>
          <w:p>
            <w:pPr>
              <w:jc w:val="center"/>
              <w:rPr>
                <w:rFonts w:hint="eastAsia" w:ascii="仿宋" w:hAnsi="仿宋" w:eastAsia="仿宋" w:cs="仿宋"/>
                <w:color w:val="auto"/>
                <w:szCs w:val="21"/>
                <w:highlight w:val="none"/>
              </w:rPr>
            </w:pPr>
          </w:p>
        </w:tc>
      </w:tr>
    </w:tbl>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注：业绩是必须以响应供应商名义完成并已验收的项目。响应供应商必须提供合同复印件或成交通知书（请留意评审细则是否要求提供验收报告）。</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pStyle w:val="7"/>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5 </w:t>
      </w:r>
      <w:r>
        <w:rPr>
          <w:rFonts w:hint="eastAsia" w:ascii="仿宋" w:hAnsi="仿宋" w:eastAsia="仿宋" w:cs="仿宋"/>
          <w:color w:val="auto"/>
          <w:sz w:val="24"/>
          <w:highlight w:val="none"/>
          <w:lang w:eastAsia="zh-CN"/>
        </w:rPr>
        <w:t>技术</w:t>
      </w:r>
      <w:r>
        <w:rPr>
          <w:rFonts w:hint="eastAsia" w:ascii="仿宋" w:hAnsi="仿宋" w:eastAsia="仿宋" w:cs="仿宋"/>
          <w:color w:val="auto"/>
          <w:sz w:val="24"/>
          <w:highlight w:val="none"/>
        </w:rPr>
        <w:t>部分</w:t>
      </w:r>
      <w:bookmarkEnd w:id="24"/>
      <w:bookmarkEnd w:id="25"/>
      <w:bookmarkEnd w:id="26"/>
      <w:bookmarkEnd w:id="27"/>
      <w:bookmarkEnd w:id="28"/>
      <w:bookmarkEnd w:id="29"/>
      <w:bookmarkEnd w:id="30"/>
    </w:p>
    <w:p>
      <w:pPr>
        <w:pStyle w:val="8"/>
        <w:adjustRightInd w:val="0"/>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 xml:space="preserve"> </w:t>
      </w:r>
      <w:bookmarkStart w:id="32" w:name="_Hlk76398443"/>
      <w:r>
        <w:rPr>
          <w:rFonts w:hint="eastAsia" w:ascii="仿宋" w:hAnsi="仿宋" w:eastAsia="仿宋" w:cs="仿宋"/>
          <w:b/>
          <w:color w:val="auto"/>
          <w:sz w:val="24"/>
          <w:highlight w:val="none"/>
          <w:lang w:eastAsia="zh-CN"/>
        </w:rPr>
        <w:t>技术</w:t>
      </w:r>
      <w:r>
        <w:rPr>
          <w:rFonts w:hint="eastAsia" w:ascii="仿宋" w:hAnsi="仿宋" w:eastAsia="仿宋" w:cs="仿宋"/>
          <w:b/>
          <w:color w:val="auto"/>
          <w:sz w:val="24"/>
          <w:highlight w:val="none"/>
          <w:lang w:val="en-US" w:eastAsia="zh-CN"/>
        </w:rPr>
        <w:t>/服务</w:t>
      </w:r>
      <w:r>
        <w:rPr>
          <w:rFonts w:hint="eastAsia" w:ascii="仿宋" w:hAnsi="仿宋" w:eastAsia="仿宋" w:cs="仿宋"/>
          <w:b/>
          <w:color w:val="auto"/>
          <w:sz w:val="24"/>
          <w:highlight w:val="none"/>
        </w:rPr>
        <w:t>要求</w:t>
      </w:r>
      <w:bookmarkEnd w:id="32"/>
      <w:r>
        <w:rPr>
          <w:rFonts w:hint="eastAsia" w:ascii="仿宋" w:hAnsi="仿宋" w:eastAsia="仿宋" w:cs="仿宋"/>
          <w:b/>
          <w:color w:val="auto"/>
          <w:sz w:val="24"/>
          <w:highlight w:val="none"/>
        </w:rPr>
        <w:t>响应表（单页填写）</w:t>
      </w:r>
    </w:p>
    <w:p>
      <w:pPr>
        <w:pStyle w:val="8"/>
        <w:adjustRightInd w:val="0"/>
        <w:snapToGrid w:val="0"/>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.1 实质性服务要求（“★”项）条款响应表</w:t>
      </w:r>
    </w:p>
    <w:tbl>
      <w:tblPr>
        <w:tblStyle w:val="12"/>
        <w:tblW w:w="9180" w:type="dxa"/>
        <w:tblInd w:w="-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241"/>
        <w:gridCol w:w="1897"/>
        <w:gridCol w:w="1701"/>
        <w:gridCol w:w="871"/>
        <w:gridCol w:w="912"/>
        <w:gridCol w:w="77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80" w:type="dxa"/>
            <w:gridSpan w:val="8"/>
            <w:noWrap w:val="0"/>
            <w:vAlign w:val="top"/>
          </w:tcPr>
          <w:p>
            <w:pPr>
              <w:ind w:firstLine="3159" w:firstLineChars="1300"/>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实质性服务要求（“★”项）条款响应表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642"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序号</w:t>
            </w:r>
          </w:p>
        </w:tc>
        <w:tc>
          <w:tcPr>
            <w:tcW w:w="124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名称</w:t>
            </w:r>
          </w:p>
        </w:tc>
        <w:tc>
          <w:tcPr>
            <w:tcW w:w="1897"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技术</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zh-CN"/>
              </w:rPr>
              <w:t>服务参数要求</w:t>
            </w:r>
          </w:p>
        </w:tc>
        <w:tc>
          <w:tcPr>
            <w:tcW w:w="170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响应服务参数</w:t>
            </w:r>
          </w:p>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（填写响应的具体参数）</w:t>
            </w:r>
          </w:p>
        </w:tc>
        <w:tc>
          <w:tcPr>
            <w:tcW w:w="87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是否响应</w:t>
            </w:r>
          </w:p>
        </w:tc>
        <w:tc>
          <w:tcPr>
            <w:tcW w:w="912"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偏离情况</w:t>
            </w:r>
          </w:p>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（正/负/无）</w:t>
            </w:r>
          </w:p>
        </w:tc>
        <w:tc>
          <w:tcPr>
            <w:tcW w:w="775"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偏离说明</w:t>
            </w:r>
          </w:p>
        </w:tc>
        <w:tc>
          <w:tcPr>
            <w:tcW w:w="114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注明对应证明材料条款所在位置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42" w:type="dxa"/>
            <w:noWrap w:val="0"/>
            <w:vAlign w:val="center"/>
          </w:tcPr>
          <w:p>
            <w:pPr>
              <w:spacing w:line="380" w:lineRule="exact"/>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1241"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1897" w:type="dxa"/>
            <w:noWrap w:val="0"/>
            <w:vAlign w:val="center"/>
          </w:tcPr>
          <w:p>
            <w:pPr>
              <w:adjustRightInd w:val="0"/>
              <w:snapToGrid w:val="0"/>
              <w:spacing w:line="360" w:lineRule="auto"/>
              <w:rPr>
                <w:rFonts w:hint="eastAsia" w:ascii="仿宋" w:hAnsi="仿宋" w:eastAsia="仿宋" w:cs="仿宋"/>
                <w:color w:val="auto"/>
                <w:sz w:val="21"/>
                <w:szCs w:val="21"/>
                <w:highlight w:val="none"/>
                <w:lang w:val="en-US" w:eastAsia="zh-CN"/>
              </w:rPr>
            </w:pPr>
          </w:p>
        </w:tc>
        <w:tc>
          <w:tcPr>
            <w:tcW w:w="170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87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912"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775"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114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42" w:type="dxa"/>
            <w:noWrap w:val="0"/>
            <w:vAlign w:val="center"/>
          </w:tcPr>
          <w:p>
            <w:pPr>
              <w:spacing w:line="380" w:lineRule="exact"/>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241"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1897" w:type="dxa"/>
            <w:noWrap w:val="0"/>
            <w:vAlign w:val="top"/>
          </w:tcPr>
          <w:p>
            <w:pPr>
              <w:spacing w:line="380" w:lineRule="exact"/>
              <w:ind w:left="40" w:leftChars="19"/>
              <w:jc w:val="left"/>
              <w:rPr>
                <w:rFonts w:hint="eastAsia" w:ascii="仿宋" w:hAnsi="仿宋" w:eastAsia="仿宋" w:cs="仿宋"/>
                <w:color w:val="auto"/>
                <w:sz w:val="21"/>
                <w:szCs w:val="21"/>
                <w:highlight w:val="none"/>
                <w:lang w:val="en-US" w:eastAsia="zh-CN"/>
              </w:rPr>
            </w:pPr>
          </w:p>
        </w:tc>
        <w:tc>
          <w:tcPr>
            <w:tcW w:w="170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87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912"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775"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114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42" w:type="dxa"/>
            <w:noWrap w:val="0"/>
            <w:vAlign w:val="center"/>
          </w:tcPr>
          <w:p>
            <w:pPr>
              <w:spacing w:line="380" w:lineRule="exact"/>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c>
          <w:tcPr>
            <w:tcW w:w="1241" w:type="dxa"/>
            <w:noWrap w:val="0"/>
            <w:vAlign w:val="center"/>
          </w:tcPr>
          <w:p>
            <w:pPr>
              <w:spacing w:line="20" w:lineRule="atLeast"/>
              <w:jc w:val="center"/>
              <w:rPr>
                <w:rFonts w:hint="eastAsia" w:ascii="仿宋" w:hAnsi="仿宋" w:eastAsia="仿宋" w:cs="仿宋"/>
                <w:color w:val="auto"/>
                <w:sz w:val="24"/>
                <w:highlight w:val="none"/>
              </w:rPr>
            </w:pPr>
          </w:p>
        </w:tc>
        <w:tc>
          <w:tcPr>
            <w:tcW w:w="1897" w:type="dxa"/>
            <w:noWrap w:val="0"/>
            <w:vAlign w:val="top"/>
          </w:tcPr>
          <w:p>
            <w:pPr>
              <w:spacing w:line="20" w:lineRule="atLeast"/>
              <w:rPr>
                <w:rFonts w:hint="eastAsia" w:ascii="仿宋" w:hAnsi="仿宋" w:eastAsia="仿宋" w:cs="仿宋"/>
                <w:color w:val="auto"/>
                <w:sz w:val="21"/>
                <w:szCs w:val="21"/>
                <w:highlight w:val="none"/>
              </w:rPr>
            </w:pPr>
          </w:p>
        </w:tc>
        <w:tc>
          <w:tcPr>
            <w:tcW w:w="1701" w:type="dxa"/>
            <w:noWrap w:val="0"/>
            <w:vAlign w:val="top"/>
          </w:tcPr>
          <w:p>
            <w:pPr>
              <w:spacing w:line="20" w:lineRule="atLeast"/>
              <w:rPr>
                <w:rFonts w:hint="eastAsia" w:ascii="仿宋" w:hAnsi="仿宋" w:eastAsia="仿宋" w:cs="仿宋"/>
                <w:color w:val="auto"/>
                <w:sz w:val="24"/>
                <w:highlight w:val="none"/>
              </w:rPr>
            </w:pPr>
          </w:p>
        </w:tc>
        <w:tc>
          <w:tcPr>
            <w:tcW w:w="871" w:type="dxa"/>
            <w:noWrap w:val="0"/>
            <w:vAlign w:val="top"/>
          </w:tcPr>
          <w:p>
            <w:pPr>
              <w:spacing w:line="20" w:lineRule="atLeast"/>
              <w:rPr>
                <w:rFonts w:hint="eastAsia" w:ascii="仿宋" w:hAnsi="仿宋" w:eastAsia="仿宋" w:cs="仿宋"/>
                <w:color w:val="auto"/>
                <w:sz w:val="24"/>
                <w:highlight w:val="none"/>
              </w:rPr>
            </w:pPr>
          </w:p>
        </w:tc>
        <w:tc>
          <w:tcPr>
            <w:tcW w:w="912" w:type="dxa"/>
            <w:noWrap w:val="0"/>
            <w:vAlign w:val="top"/>
          </w:tcPr>
          <w:p>
            <w:pPr>
              <w:spacing w:line="20" w:lineRule="atLeast"/>
              <w:rPr>
                <w:rFonts w:hint="eastAsia" w:ascii="仿宋" w:hAnsi="仿宋" w:eastAsia="仿宋" w:cs="仿宋"/>
                <w:color w:val="auto"/>
                <w:sz w:val="24"/>
                <w:highlight w:val="none"/>
              </w:rPr>
            </w:pPr>
          </w:p>
        </w:tc>
        <w:tc>
          <w:tcPr>
            <w:tcW w:w="775" w:type="dxa"/>
            <w:noWrap w:val="0"/>
            <w:vAlign w:val="top"/>
          </w:tcPr>
          <w:p>
            <w:pPr>
              <w:spacing w:line="20" w:lineRule="atLeast"/>
              <w:rPr>
                <w:rFonts w:hint="eastAsia" w:ascii="仿宋" w:hAnsi="仿宋" w:eastAsia="仿宋" w:cs="仿宋"/>
                <w:color w:val="auto"/>
                <w:sz w:val="24"/>
                <w:highlight w:val="none"/>
              </w:rPr>
            </w:pPr>
          </w:p>
        </w:tc>
        <w:tc>
          <w:tcPr>
            <w:tcW w:w="1141"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42" w:type="dxa"/>
            <w:noWrap w:val="0"/>
            <w:vAlign w:val="top"/>
          </w:tcPr>
          <w:p>
            <w:pPr>
              <w:spacing w:line="380" w:lineRule="exact"/>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1241" w:type="dxa"/>
            <w:noWrap w:val="0"/>
            <w:vAlign w:val="top"/>
          </w:tcPr>
          <w:p>
            <w:pPr>
              <w:spacing w:line="20" w:lineRule="atLeast"/>
              <w:rPr>
                <w:rFonts w:hint="eastAsia" w:ascii="仿宋" w:hAnsi="仿宋" w:eastAsia="仿宋" w:cs="仿宋"/>
                <w:color w:val="auto"/>
                <w:sz w:val="24"/>
                <w:highlight w:val="none"/>
              </w:rPr>
            </w:pPr>
          </w:p>
        </w:tc>
        <w:tc>
          <w:tcPr>
            <w:tcW w:w="1897" w:type="dxa"/>
            <w:noWrap w:val="0"/>
            <w:vAlign w:val="top"/>
          </w:tcPr>
          <w:p>
            <w:pPr>
              <w:spacing w:line="20" w:lineRule="atLeast"/>
              <w:rPr>
                <w:rFonts w:hint="eastAsia" w:ascii="仿宋" w:hAnsi="仿宋" w:eastAsia="仿宋" w:cs="仿宋"/>
                <w:color w:val="auto"/>
                <w:sz w:val="24"/>
                <w:highlight w:val="none"/>
              </w:rPr>
            </w:pPr>
          </w:p>
        </w:tc>
        <w:tc>
          <w:tcPr>
            <w:tcW w:w="1701" w:type="dxa"/>
            <w:noWrap w:val="0"/>
            <w:vAlign w:val="top"/>
          </w:tcPr>
          <w:p>
            <w:pPr>
              <w:spacing w:line="20" w:lineRule="atLeast"/>
              <w:rPr>
                <w:rFonts w:hint="eastAsia" w:ascii="仿宋" w:hAnsi="仿宋" w:eastAsia="仿宋" w:cs="仿宋"/>
                <w:color w:val="auto"/>
                <w:sz w:val="24"/>
                <w:highlight w:val="none"/>
              </w:rPr>
            </w:pPr>
          </w:p>
        </w:tc>
        <w:tc>
          <w:tcPr>
            <w:tcW w:w="871" w:type="dxa"/>
            <w:noWrap w:val="0"/>
            <w:vAlign w:val="top"/>
          </w:tcPr>
          <w:p>
            <w:pPr>
              <w:spacing w:line="20" w:lineRule="atLeast"/>
              <w:rPr>
                <w:rFonts w:hint="eastAsia" w:ascii="仿宋" w:hAnsi="仿宋" w:eastAsia="仿宋" w:cs="仿宋"/>
                <w:color w:val="auto"/>
                <w:sz w:val="24"/>
                <w:highlight w:val="none"/>
              </w:rPr>
            </w:pPr>
          </w:p>
        </w:tc>
        <w:tc>
          <w:tcPr>
            <w:tcW w:w="912" w:type="dxa"/>
            <w:noWrap w:val="0"/>
            <w:vAlign w:val="top"/>
          </w:tcPr>
          <w:p>
            <w:pPr>
              <w:spacing w:line="20" w:lineRule="atLeast"/>
              <w:rPr>
                <w:rFonts w:hint="eastAsia" w:ascii="仿宋" w:hAnsi="仿宋" w:eastAsia="仿宋" w:cs="仿宋"/>
                <w:color w:val="auto"/>
                <w:sz w:val="24"/>
                <w:highlight w:val="none"/>
              </w:rPr>
            </w:pPr>
          </w:p>
        </w:tc>
        <w:tc>
          <w:tcPr>
            <w:tcW w:w="775" w:type="dxa"/>
            <w:noWrap w:val="0"/>
            <w:vAlign w:val="top"/>
          </w:tcPr>
          <w:p>
            <w:pPr>
              <w:spacing w:line="20" w:lineRule="atLeast"/>
              <w:rPr>
                <w:rFonts w:hint="eastAsia" w:ascii="仿宋" w:hAnsi="仿宋" w:eastAsia="仿宋" w:cs="仿宋"/>
                <w:color w:val="auto"/>
                <w:sz w:val="24"/>
                <w:highlight w:val="none"/>
              </w:rPr>
            </w:pPr>
          </w:p>
        </w:tc>
        <w:tc>
          <w:tcPr>
            <w:tcW w:w="1141" w:type="dxa"/>
            <w:noWrap w:val="0"/>
            <w:vAlign w:val="top"/>
          </w:tcPr>
          <w:p>
            <w:pPr>
              <w:spacing w:line="20" w:lineRule="atLeast"/>
              <w:rPr>
                <w:rFonts w:hint="eastAsia" w:ascii="仿宋" w:hAnsi="仿宋" w:eastAsia="仿宋" w:cs="仿宋"/>
                <w:color w:val="auto"/>
                <w:sz w:val="24"/>
                <w:highlight w:val="none"/>
              </w:rPr>
            </w:pP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注：1.响应供应商必须对应比选文件中的服务要求的“★”项内容逐条响应。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“★”项为不可负偏离（劣于）的重要项。</w:t>
      </w:r>
      <w:r>
        <w:rPr>
          <w:rFonts w:hint="eastAsia" w:ascii="仿宋" w:hAnsi="仿宋" w:eastAsia="仿宋" w:cs="仿宋"/>
          <w:color w:val="auto"/>
          <w:sz w:val="24"/>
          <w:highlight w:val="none"/>
          <w:lang w:val="en-GB"/>
        </w:rPr>
        <w:t>响应供应商请在“是否响应”栏内填“是”或“否”（不得空白，空白视为“否”；若比选文件中没有做出实质性要求，则填“无”），并对照偏离情况请在“偏离说明”栏内扼要说明偏离情况，不响应视为负偏离。比选技术参数/要求必须按照比选文件的，不得作任何更改。否则视为不符合响应要求。</w:t>
      </w:r>
    </w:p>
    <w:p>
      <w:pPr>
        <w:pStyle w:val="8"/>
        <w:adjustRightInd w:val="0"/>
        <w:snapToGrid w:val="0"/>
        <w:spacing w:line="440" w:lineRule="exact"/>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2.响应供应商响应采购需求必须具体，明确。含糊不清、不确切或伪造、变造证明材料的，按照不完全响应或者不响应处理。</w:t>
      </w:r>
    </w:p>
    <w:p>
      <w:pPr>
        <w:pStyle w:val="8"/>
        <w:adjustRightInd w:val="0"/>
        <w:snapToGrid w:val="0"/>
        <w:spacing w:line="440" w:lineRule="exact"/>
        <w:ind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highlight w:val="none"/>
        </w:rPr>
        <w:t>如所响应参数与比选要求不一致的，响应供应商必须按所响应的参数进行响应参数填写（必须详细填写），不得随意复制比选文件服务要求粘贴。否则后果自负！</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hint="eastAsia"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.2非实质性</w:t>
      </w:r>
      <w:r>
        <w:rPr>
          <w:rFonts w:hint="eastAsia" w:ascii="仿宋" w:hAnsi="仿宋" w:eastAsia="仿宋" w:cs="仿宋"/>
          <w:b/>
          <w:color w:val="auto"/>
          <w:sz w:val="24"/>
          <w:highlight w:val="none"/>
          <w:lang w:eastAsia="zh-CN"/>
        </w:rPr>
        <w:t>技术</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rPr>
        <w:t>服务要求条款响应表</w:t>
      </w:r>
    </w:p>
    <w:tbl>
      <w:tblPr>
        <w:tblStyle w:val="12"/>
        <w:tblW w:w="9855" w:type="dxa"/>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025"/>
        <w:gridCol w:w="2641"/>
        <w:gridCol w:w="1764"/>
        <w:gridCol w:w="780"/>
        <w:gridCol w:w="1065"/>
        <w:gridCol w:w="66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855" w:type="dxa"/>
            <w:gridSpan w:val="8"/>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一般服务要求条款</w:t>
            </w:r>
            <w:r>
              <w:rPr>
                <w:rFonts w:hint="eastAsia" w:ascii="仿宋" w:hAnsi="仿宋" w:eastAsia="仿宋" w:cs="宋体"/>
                <w:color w:val="auto"/>
                <w:kern w:val="0"/>
                <w:sz w:val="24"/>
                <w:highlight w:val="none"/>
              </w:rPr>
              <w:t>和</w:t>
            </w:r>
            <w:r>
              <w:rPr>
                <w:rFonts w:hint="eastAsia" w:ascii="仿宋" w:hAnsi="仿宋" w:eastAsia="仿宋" w:cs="仿宋"/>
                <w:color w:val="auto"/>
                <w:sz w:val="24"/>
                <w:highlight w:val="none"/>
              </w:rPr>
              <w:t>含</w:t>
            </w:r>
            <w:r>
              <w:rPr>
                <w:rFonts w:hint="eastAsia" w:ascii="仿宋" w:hAnsi="仿宋" w:eastAsia="仿宋" w:cs="宋体"/>
                <w:color w:val="auto"/>
                <w:kern w:val="0"/>
                <w:sz w:val="24"/>
                <w:highlight w:val="none"/>
              </w:rPr>
              <w:t>“▲”的</w:t>
            </w:r>
            <w:r>
              <w:rPr>
                <w:rFonts w:ascii="仿宋" w:hAnsi="仿宋" w:eastAsia="仿宋" w:cs="宋体"/>
                <w:color w:val="auto"/>
                <w:kern w:val="0"/>
                <w:sz w:val="24"/>
                <w:highlight w:val="none"/>
              </w:rPr>
              <w:t>主要</w:t>
            </w:r>
            <w:r>
              <w:rPr>
                <w:rFonts w:hint="eastAsia" w:ascii="仿宋" w:hAnsi="仿宋" w:eastAsia="仿宋" w:cs="宋体"/>
                <w:color w:val="auto"/>
                <w:kern w:val="0"/>
                <w:sz w:val="24"/>
                <w:highlight w:val="none"/>
              </w:rPr>
              <w:t>服务要求</w:t>
            </w:r>
            <w:r>
              <w:rPr>
                <w:rFonts w:hint="eastAsia" w:ascii="仿宋" w:hAnsi="仿宋" w:eastAsia="仿宋" w:cs="仿宋"/>
                <w:color w:val="auto"/>
                <w:sz w:val="24"/>
                <w:highlight w:val="none"/>
              </w:rPr>
              <w:t>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25"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2641"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技术</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zh-CN"/>
              </w:rPr>
              <w:t>服务参数要求</w:t>
            </w:r>
          </w:p>
        </w:tc>
        <w:tc>
          <w:tcPr>
            <w:tcW w:w="1764"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响应服务参数</w:t>
            </w:r>
          </w:p>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（填写响应的具体参数）</w:t>
            </w:r>
          </w:p>
        </w:tc>
        <w:tc>
          <w:tcPr>
            <w:tcW w:w="780"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065"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w:t>
            </w:r>
          </w:p>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（正/负/无）</w:t>
            </w:r>
          </w:p>
        </w:tc>
        <w:tc>
          <w:tcPr>
            <w:tcW w:w="660"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c>
          <w:tcPr>
            <w:tcW w:w="1350" w:type="dxa"/>
            <w:shd w:val="clear" w:color="auto" w:fill="F1F1F1"/>
            <w:noWrap w:val="0"/>
            <w:vAlign w:val="top"/>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需注明对应证明</w:t>
            </w:r>
            <w:r>
              <w:rPr>
                <w:rFonts w:ascii="仿宋" w:hAnsi="仿宋" w:eastAsia="仿宋" w:cs="仿宋"/>
                <w:color w:val="auto"/>
                <w:szCs w:val="21"/>
                <w:highlight w:val="none"/>
              </w:rPr>
              <w:t>材料</w:t>
            </w:r>
            <w:r>
              <w:rPr>
                <w:rFonts w:hint="eastAsia" w:ascii="仿宋" w:hAnsi="仿宋" w:eastAsia="仿宋" w:cs="仿宋"/>
                <w:color w:val="auto"/>
                <w:szCs w:val="21"/>
                <w:highlight w:val="none"/>
              </w:rPr>
              <w:t>条款所在位置，</w:t>
            </w:r>
            <w:r>
              <w:rPr>
                <w:rFonts w:ascii="仿宋" w:hAnsi="仿宋" w:eastAsia="仿宋" w:cs="仿宋"/>
                <w:color w:val="auto"/>
                <w:szCs w:val="21"/>
                <w:highlight w:val="none"/>
              </w:rPr>
              <w:t>尤其是</w:t>
            </w:r>
            <w:r>
              <w:rPr>
                <w:rFonts w:hint="eastAsia" w:ascii="仿宋" w:hAnsi="仿宋" w:eastAsia="仿宋" w:cs="仿宋"/>
                <w:color w:val="auto"/>
                <w:szCs w:val="21"/>
                <w:highlight w:val="none"/>
              </w:rPr>
              <w:t>含</w:t>
            </w:r>
            <w:r>
              <w:rPr>
                <w:rFonts w:hint="eastAsia" w:ascii="仿宋" w:hAnsi="仿宋" w:eastAsia="仿宋" w:cs="宋体"/>
                <w:color w:val="auto"/>
                <w:kern w:val="0"/>
                <w:szCs w:val="21"/>
                <w:highlight w:val="none"/>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025"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2641"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1764" w:type="dxa"/>
            <w:noWrap w:val="0"/>
            <w:vAlign w:val="top"/>
          </w:tcPr>
          <w:p>
            <w:pPr>
              <w:spacing w:line="20" w:lineRule="atLeast"/>
              <w:rPr>
                <w:rFonts w:hint="eastAsia" w:ascii="仿宋" w:hAnsi="仿宋" w:eastAsia="仿宋" w:cs="仿宋"/>
                <w:color w:val="auto"/>
                <w:sz w:val="24"/>
                <w:highlight w:val="none"/>
              </w:rPr>
            </w:pPr>
          </w:p>
        </w:tc>
        <w:tc>
          <w:tcPr>
            <w:tcW w:w="780" w:type="dxa"/>
            <w:noWrap w:val="0"/>
            <w:vAlign w:val="top"/>
          </w:tcPr>
          <w:p>
            <w:pPr>
              <w:spacing w:line="20" w:lineRule="atLeast"/>
              <w:rPr>
                <w:rFonts w:hint="eastAsia" w:ascii="仿宋" w:hAnsi="仿宋" w:eastAsia="仿宋" w:cs="仿宋"/>
                <w:color w:val="auto"/>
                <w:sz w:val="24"/>
                <w:highlight w:val="none"/>
              </w:rPr>
            </w:pPr>
          </w:p>
        </w:tc>
        <w:tc>
          <w:tcPr>
            <w:tcW w:w="1065"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2641"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764" w:type="dxa"/>
            <w:noWrap w:val="0"/>
            <w:vAlign w:val="top"/>
          </w:tcPr>
          <w:p>
            <w:pPr>
              <w:spacing w:line="20" w:lineRule="atLeast"/>
              <w:rPr>
                <w:rFonts w:hint="eastAsia" w:ascii="仿宋" w:hAnsi="仿宋" w:eastAsia="仿宋" w:cs="仿宋"/>
                <w:color w:val="auto"/>
                <w:sz w:val="24"/>
                <w:highlight w:val="none"/>
              </w:rPr>
            </w:pPr>
          </w:p>
        </w:tc>
        <w:tc>
          <w:tcPr>
            <w:tcW w:w="780" w:type="dxa"/>
            <w:noWrap w:val="0"/>
            <w:vAlign w:val="top"/>
          </w:tcPr>
          <w:p>
            <w:pPr>
              <w:spacing w:line="20" w:lineRule="atLeast"/>
              <w:rPr>
                <w:rFonts w:hint="eastAsia" w:ascii="仿宋" w:hAnsi="仿宋" w:eastAsia="仿宋" w:cs="仿宋"/>
                <w:color w:val="auto"/>
                <w:sz w:val="24"/>
                <w:highlight w:val="none"/>
              </w:rPr>
            </w:pPr>
          </w:p>
        </w:tc>
        <w:tc>
          <w:tcPr>
            <w:tcW w:w="1065"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2641"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764" w:type="dxa"/>
            <w:noWrap w:val="0"/>
            <w:vAlign w:val="top"/>
          </w:tcPr>
          <w:p>
            <w:pPr>
              <w:spacing w:line="20" w:lineRule="atLeast"/>
              <w:rPr>
                <w:rFonts w:hint="eastAsia" w:ascii="仿宋" w:hAnsi="仿宋" w:eastAsia="仿宋" w:cs="仿宋"/>
                <w:color w:val="auto"/>
                <w:sz w:val="24"/>
                <w:highlight w:val="none"/>
              </w:rPr>
            </w:pPr>
          </w:p>
        </w:tc>
        <w:tc>
          <w:tcPr>
            <w:tcW w:w="780" w:type="dxa"/>
            <w:noWrap w:val="0"/>
            <w:vAlign w:val="top"/>
          </w:tcPr>
          <w:p>
            <w:pPr>
              <w:spacing w:line="20" w:lineRule="atLeast"/>
              <w:rPr>
                <w:rFonts w:hint="eastAsia" w:ascii="仿宋" w:hAnsi="仿宋" w:eastAsia="仿宋" w:cs="仿宋"/>
                <w:color w:val="auto"/>
                <w:sz w:val="24"/>
                <w:highlight w:val="none"/>
              </w:rPr>
            </w:pPr>
          </w:p>
        </w:tc>
        <w:tc>
          <w:tcPr>
            <w:tcW w:w="1065"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2641"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764" w:type="dxa"/>
            <w:noWrap w:val="0"/>
            <w:vAlign w:val="top"/>
          </w:tcPr>
          <w:p>
            <w:pPr>
              <w:spacing w:line="20" w:lineRule="atLeast"/>
              <w:rPr>
                <w:rFonts w:hint="eastAsia" w:ascii="仿宋" w:hAnsi="仿宋" w:eastAsia="仿宋" w:cs="仿宋"/>
                <w:color w:val="auto"/>
                <w:sz w:val="24"/>
                <w:highlight w:val="none"/>
              </w:rPr>
            </w:pPr>
          </w:p>
        </w:tc>
        <w:tc>
          <w:tcPr>
            <w:tcW w:w="780" w:type="dxa"/>
            <w:noWrap w:val="0"/>
            <w:vAlign w:val="top"/>
          </w:tcPr>
          <w:p>
            <w:pPr>
              <w:spacing w:line="20" w:lineRule="atLeast"/>
              <w:rPr>
                <w:rFonts w:hint="eastAsia" w:ascii="仿宋" w:hAnsi="仿宋" w:eastAsia="仿宋" w:cs="仿宋"/>
                <w:color w:val="auto"/>
                <w:sz w:val="24"/>
                <w:highlight w:val="none"/>
              </w:rPr>
            </w:pPr>
          </w:p>
        </w:tc>
        <w:tc>
          <w:tcPr>
            <w:tcW w:w="1065"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2641"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764" w:type="dxa"/>
            <w:noWrap w:val="0"/>
            <w:vAlign w:val="top"/>
          </w:tcPr>
          <w:p>
            <w:pPr>
              <w:spacing w:line="20" w:lineRule="atLeast"/>
              <w:rPr>
                <w:rFonts w:hint="eastAsia" w:ascii="仿宋" w:hAnsi="仿宋" w:eastAsia="仿宋" w:cs="仿宋"/>
                <w:color w:val="auto"/>
                <w:sz w:val="24"/>
                <w:highlight w:val="none"/>
              </w:rPr>
            </w:pPr>
          </w:p>
        </w:tc>
        <w:tc>
          <w:tcPr>
            <w:tcW w:w="780" w:type="dxa"/>
            <w:noWrap w:val="0"/>
            <w:vAlign w:val="top"/>
          </w:tcPr>
          <w:p>
            <w:pPr>
              <w:spacing w:line="20" w:lineRule="atLeast"/>
              <w:rPr>
                <w:rFonts w:hint="eastAsia" w:ascii="仿宋" w:hAnsi="仿宋" w:eastAsia="仿宋" w:cs="仿宋"/>
                <w:color w:val="auto"/>
                <w:sz w:val="24"/>
                <w:highlight w:val="none"/>
              </w:rPr>
            </w:pPr>
          </w:p>
        </w:tc>
        <w:tc>
          <w:tcPr>
            <w:tcW w:w="1065"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2641"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764" w:type="dxa"/>
            <w:noWrap w:val="0"/>
            <w:vAlign w:val="top"/>
          </w:tcPr>
          <w:p>
            <w:pPr>
              <w:spacing w:line="20" w:lineRule="atLeast"/>
              <w:rPr>
                <w:rFonts w:hint="eastAsia" w:ascii="仿宋" w:hAnsi="仿宋" w:eastAsia="仿宋" w:cs="仿宋"/>
                <w:color w:val="auto"/>
                <w:sz w:val="24"/>
                <w:highlight w:val="none"/>
              </w:rPr>
            </w:pPr>
          </w:p>
        </w:tc>
        <w:tc>
          <w:tcPr>
            <w:tcW w:w="780" w:type="dxa"/>
            <w:noWrap w:val="0"/>
            <w:vAlign w:val="top"/>
          </w:tcPr>
          <w:p>
            <w:pPr>
              <w:spacing w:line="20" w:lineRule="atLeast"/>
              <w:rPr>
                <w:rFonts w:hint="eastAsia" w:ascii="仿宋" w:hAnsi="仿宋" w:eastAsia="仿宋" w:cs="仿宋"/>
                <w:color w:val="auto"/>
                <w:sz w:val="24"/>
                <w:highlight w:val="none"/>
              </w:rPr>
            </w:pPr>
          </w:p>
        </w:tc>
        <w:tc>
          <w:tcPr>
            <w:tcW w:w="1065"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2641"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764" w:type="dxa"/>
            <w:noWrap w:val="0"/>
            <w:vAlign w:val="top"/>
          </w:tcPr>
          <w:p>
            <w:pPr>
              <w:spacing w:line="20" w:lineRule="atLeast"/>
              <w:rPr>
                <w:rFonts w:hint="eastAsia" w:ascii="仿宋" w:hAnsi="仿宋" w:eastAsia="仿宋" w:cs="仿宋"/>
                <w:color w:val="auto"/>
                <w:sz w:val="24"/>
                <w:highlight w:val="none"/>
              </w:rPr>
            </w:pPr>
          </w:p>
        </w:tc>
        <w:tc>
          <w:tcPr>
            <w:tcW w:w="780" w:type="dxa"/>
            <w:noWrap w:val="0"/>
            <w:vAlign w:val="top"/>
          </w:tcPr>
          <w:p>
            <w:pPr>
              <w:spacing w:line="20" w:lineRule="atLeast"/>
              <w:rPr>
                <w:rFonts w:hint="eastAsia" w:ascii="仿宋" w:hAnsi="仿宋" w:eastAsia="仿宋" w:cs="仿宋"/>
                <w:color w:val="auto"/>
                <w:sz w:val="24"/>
                <w:highlight w:val="none"/>
              </w:rPr>
            </w:pPr>
          </w:p>
        </w:tc>
        <w:tc>
          <w:tcPr>
            <w:tcW w:w="1065"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2641"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764" w:type="dxa"/>
            <w:noWrap w:val="0"/>
            <w:vAlign w:val="top"/>
          </w:tcPr>
          <w:p>
            <w:pPr>
              <w:spacing w:line="20" w:lineRule="atLeast"/>
              <w:rPr>
                <w:rFonts w:hint="eastAsia" w:ascii="仿宋" w:hAnsi="仿宋" w:eastAsia="仿宋" w:cs="仿宋"/>
                <w:color w:val="auto"/>
                <w:sz w:val="24"/>
                <w:highlight w:val="none"/>
              </w:rPr>
            </w:pPr>
          </w:p>
        </w:tc>
        <w:tc>
          <w:tcPr>
            <w:tcW w:w="780" w:type="dxa"/>
            <w:noWrap w:val="0"/>
            <w:vAlign w:val="top"/>
          </w:tcPr>
          <w:p>
            <w:pPr>
              <w:spacing w:line="20" w:lineRule="atLeast"/>
              <w:rPr>
                <w:rFonts w:hint="eastAsia" w:ascii="仿宋" w:hAnsi="仿宋" w:eastAsia="仿宋" w:cs="仿宋"/>
                <w:color w:val="auto"/>
                <w:sz w:val="24"/>
                <w:highlight w:val="none"/>
              </w:rPr>
            </w:pPr>
          </w:p>
        </w:tc>
        <w:tc>
          <w:tcPr>
            <w:tcW w:w="1065"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w:t>
            </w:r>
          </w:p>
        </w:tc>
        <w:tc>
          <w:tcPr>
            <w:tcW w:w="1025"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2641"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1764" w:type="dxa"/>
            <w:noWrap w:val="0"/>
            <w:vAlign w:val="top"/>
          </w:tcPr>
          <w:p>
            <w:pPr>
              <w:spacing w:line="20" w:lineRule="atLeast"/>
              <w:rPr>
                <w:rFonts w:hint="eastAsia" w:ascii="仿宋" w:hAnsi="仿宋" w:eastAsia="仿宋" w:cs="仿宋"/>
                <w:color w:val="auto"/>
                <w:sz w:val="24"/>
                <w:highlight w:val="none"/>
              </w:rPr>
            </w:pPr>
          </w:p>
        </w:tc>
        <w:tc>
          <w:tcPr>
            <w:tcW w:w="780" w:type="dxa"/>
            <w:noWrap w:val="0"/>
            <w:vAlign w:val="top"/>
          </w:tcPr>
          <w:p>
            <w:pPr>
              <w:spacing w:line="20" w:lineRule="atLeast"/>
              <w:rPr>
                <w:rFonts w:hint="eastAsia" w:ascii="仿宋" w:hAnsi="仿宋" w:eastAsia="仿宋" w:cs="仿宋"/>
                <w:color w:val="auto"/>
                <w:sz w:val="24"/>
                <w:highlight w:val="none"/>
              </w:rPr>
            </w:pPr>
          </w:p>
        </w:tc>
        <w:tc>
          <w:tcPr>
            <w:tcW w:w="1065"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2641"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764" w:type="dxa"/>
            <w:noWrap w:val="0"/>
            <w:vAlign w:val="top"/>
          </w:tcPr>
          <w:p>
            <w:pPr>
              <w:spacing w:line="20" w:lineRule="atLeast"/>
              <w:rPr>
                <w:rFonts w:hint="eastAsia" w:ascii="仿宋" w:hAnsi="仿宋" w:eastAsia="仿宋" w:cs="仿宋"/>
                <w:color w:val="auto"/>
                <w:sz w:val="24"/>
                <w:highlight w:val="none"/>
              </w:rPr>
            </w:pPr>
          </w:p>
        </w:tc>
        <w:tc>
          <w:tcPr>
            <w:tcW w:w="780" w:type="dxa"/>
            <w:noWrap w:val="0"/>
            <w:vAlign w:val="top"/>
          </w:tcPr>
          <w:p>
            <w:pPr>
              <w:spacing w:line="20" w:lineRule="atLeast"/>
              <w:rPr>
                <w:rFonts w:hint="eastAsia" w:ascii="仿宋" w:hAnsi="仿宋" w:eastAsia="仿宋" w:cs="仿宋"/>
                <w:color w:val="auto"/>
                <w:sz w:val="24"/>
                <w:highlight w:val="none"/>
              </w:rPr>
            </w:pPr>
          </w:p>
        </w:tc>
        <w:tc>
          <w:tcPr>
            <w:tcW w:w="1065"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eastAsia" w:ascii="仿宋" w:hAnsi="仿宋" w:eastAsia="仿宋" w:cs="仿宋"/>
                <w:color w:val="auto"/>
                <w:szCs w:val="21"/>
                <w:highlight w:val="none"/>
                <w:lang w:val="en-US" w:eastAsia="zh-CN"/>
              </w:rPr>
            </w:pP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2641"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1764" w:type="dxa"/>
            <w:noWrap w:val="0"/>
            <w:vAlign w:val="top"/>
          </w:tcPr>
          <w:p>
            <w:pPr>
              <w:spacing w:line="20" w:lineRule="atLeast"/>
              <w:rPr>
                <w:rFonts w:hint="eastAsia" w:ascii="仿宋" w:hAnsi="仿宋" w:eastAsia="仿宋" w:cs="仿宋"/>
                <w:color w:val="auto"/>
                <w:sz w:val="24"/>
                <w:highlight w:val="none"/>
              </w:rPr>
            </w:pPr>
          </w:p>
        </w:tc>
        <w:tc>
          <w:tcPr>
            <w:tcW w:w="780" w:type="dxa"/>
            <w:noWrap w:val="0"/>
            <w:vAlign w:val="top"/>
          </w:tcPr>
          <w:p>
            <w:pPr>
              <w:spacing w:line="20" w:lineRule="atLeast"/>
              <w:rPr>
                <w:rFonts w:hint="eastAsia" w:ascii="仿宋" w:hAnsi="仿宋" w:eastAsia="仿宋" w:cs="仿宋"/>
                <w:color w:val="auto"/>
                <w:sz w:val="24"/>
                <w:highlight w:val="none"/>
              </w:rPr>
            </w:pPr>
          </w:p>
        </w:tc>
        <w:tc>
          <w:tcPr>
            <w:tcW w:w="1065"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w:t>
      </w:r>
      <w:r>
        <w:rPr>
          <w:rFonts w:ascii="仿宋" w:hAnsi="仿宋" w:eastAsia="仿宋" w:cs="仿宋"/>
          <w:color w:val="auto"/>
          <w:sz w:val="24"/>
          <w:highlight w:val="none"/>
        </w:rPr>
        <w:t>的</w:t>
      </w:r>
      <w:r>
        <w:rPr>
          <w:rFonts w:hint="eastAsia" w:ascii="仿宋" w:hAnsi="仿宋" w:eastAsia="仿宋" w:cs="仿宋"/>
          <w:color w:val="auto"/>
          <w:sz w:val="24"/>
          <w:highlight w:val="none"/>
        </w:rPr>
        <w:t>服务要求的内容逐条响应。</w:t>
      </w:r>
      <w:r>
        <w:rPr>
          <w:rFonts w:hint="eastAsia" w:ascii="仿宋" w:hAnsi="仿宋" w:eastAsia="仿宋" w:cs="仿宋"/>
          <w:b/>
          <w:bCs/>
          <w:color w:val="auto"/>
          <w:sz w:val="24"/>
          <w:highlight w:val="none"/>
        </w:rPr>
        <w:t>如有缺漏项视同不符合对应服务要求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服务要求必须按照比选文件的，不得作任何更改。否则视为不符合响应要求。</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w:t>
      </w:r>
      <w:r>
        <w:rPr>
          <w:rFonts w:hint="eastAsia" w:ascii="仿宋" w:hAnsi="仿宋" w:eastAsia="仿宋" w:cs="仿宋"/>
          <w:color w:val="auto"/>
          <w:sz w:val="24"/>
          <w:highlight w:val="none"/>
        </w:rPr>
        <w:t>响应供应商响应采购需求应具体、明确，含糊不清、不确切或伪造、变造证明材料的，按照不完全响应或者完全不响应处理。</w:t>
      </w:r>
    </w:p>
    <w:p>
      <w:pPr>
        <w:adjustRightInd w:val="0"/>
        <w:snapToGrid w:val="0"/>
        <w:spacing w:line="300" w:lineRule="auto"/>
        <w:rPr>
          <w:rFonts w:ascii="仿宋" w:hAnsi="仿宋" w:eastAsia="仿宋" w:cs="仿宋"/>
          <w:b/>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hint="eastAsia" w:ascii="仿宋" w:hAnsi="仿宋" w:eastAsia="仿宋" w:cs="仿宋"/>
          <w:color w:val="auto"/>
          <w:sz w:val="24"/>
          <w:highlight w:val="none"/>
        </w:rPr>
      </w:pPr>
    </w:p>
    <w:p>
      <w:pPr>
        <w:pStyle w:val="7"/>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7"/>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7"/>
        <w:rPr>
          <w:rFonts w:hint="eastAsia" w:ascii="仿宋" w:hAnsi="仿宋" w:eastAsia="仿宋" w:cs="仿宋"/>
          <w:color w:val="auto"/>
          <w:sz w:val="24"/>
          <w:highlight w:val="none"/>
        </w:rPr>
      </w:pPr>
    </w:p>
    <w:p>
      <w:pP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6.价格部分</w:t>
      </w:r>
    </w:p>
    <w:p>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报价单</w:t>
      </w:r>
    </w:p>
    <w:p>
      <w:pPr>
        <w:rPr>
          <w:rFonts w:hint="eastAsia" w:ascii="仿宋" w:hAnsi="仿宋" w:eastAsia="仿宋" w:cs="仿宋"/>
          <w:color w:val="auto"/>
          <w:spacing w:val="20"/>
          <w:szCs w:val="21"/>
          <w:highlight w:val="none"/>
        </w:rPr>
      </w:pPr>
    </w:p>
    <w:tbl>
      <w:tblPr>
        <w:tblStyle w:val="12"/>
        <w:tblW w:w="882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3"/>
        <w:gridCol w:w="3255"/>
        <w:gridCol w:w="1125"/>
        <w:gridCol w:w="1110"/>
        <w:gridCol w:w="1110"/>
        <w:gridCol w:w="151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42" w:hRule="atLeast"/>
        </w:trPr>
        <w:tc>
          <w:tcPr>
            <w:tcW w:w="713" w:type="dxa"/>
            <w:noWrap w:val="0"/>
            <w:vAlign w:val="center"/>
          </w:tcPr>
          <w:p>
            <w:pPr>
              <w:widowControl/>
              <w:spacing w:line="340" w:lineRule="exact"/>
              <w:jc w:val="center"/>
              <w:rPr>
                <w:rFonts w:hint="eastAsia" w:ascii="仿宋" w:hAnsi="仿宋" w:eastAsia="仿宋" w:cs="仿宋"/>
                <w:color w:val="auto"/>
                <w:spacing w:val="20"/>
                <w:szCs w:val="21"/>
                <w:highlight w:val="none"/>
              </w:rPr>
            </w:pPr>
            <w:r>
              <w:rPr>
                <w:rFonts w:hint="eastAsia" w:ascii="仿宋" w:hAnsi="仿宋" w:eastAsia="仿宋" w:cs="仿宋"/>
                <w:color w:val="auto"/>
                <w:kern w:val="0"/>
                <w:sz w:val="24"/>
                <w:highlight w:val="none"/>
              </w:rPr>
              <w:t>序号</w:t>
            </w:r>
          </w:p>
        </w:tc>
        <w:tc>
          <w:tcPr>
            <w:tcW w:w="3255" w:type="dxa"/>
            <w:noWrap w:val="0"/>
            <w:vAlign w:val="center"/>
          </w:tcPr>
          <w:p>
            <w:pPr>
              <w:widowControl/>
              <w:spacing w:line="34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项目名称</w:t>
            </w:r>
          </w:p>
        </w:tc>
        <w:tc>
          <w:tcPr>
            <w:tcW w:w="1125" w:type="dxa"/>
            <w:noWrap w:val="0"/>
            <w:vAlign w:val="center"/>
          </w:tcPr>
          <w:p>
            <w:pPr>
              <w:widowControl/>
              <w:spacing w:line="34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单位</w:t>
            </w:r>
          </w:p>
        </w:tc>
        <w:tc>
          <w:tcPr>
            <w:tcW w:w="1110" w:type="dxa"/>
            <w:noWrap w:val="0"/>
            <w:vAlign w:val="center"/>
          </w:tcPr>
          <w:p>
            <w:pPr>
              <w:widowControl/>
              <w:spacing w:line="34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数量</w:t>
            </w:r>
          </w:p>
        </w:tc>
        <w:tc>
          <w:tcPr>
            <w:tcW w:w="1110" w:type="dxa"/>
            <w:noWrap w:val="0"/>
            <w:vAlign w:val="center"/>
          </w:tcPr>
          <w:p>
            <w:pPr>
              <w:widowControl/>
              <w:spacing w:line="34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金额</w:t>
            </w:r>
          </w:p>
        </w:tc>
        <w:tc>
          <w:tcPr>
            <w:tcW w:w="1515" w:type="dxa"/>
            <w:noWrap w:val="0"/>
            <w:vAlign w:val="center"/>
          </w:tcPr>
          <w:p>
            <w:pPr>
              <w:widowControl/>
              <w:spacing w:line="34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0" w:hRule="atLeast"/>
        </w:trPr>
        <w:tc>
          <w:tcPr>
            <w:tcW w:w="713" w:type="dxa"/>
            <w:noWrap w:val="0"/>
            <w:vAlign w:val="center"/>
          </w:tcPr>
          <w:p>
            <w:pPr>
              <w:widowControl/>
              <w:spacing w:line="340" w:lineRule="exact"/>
              <w:jc w:val="center"/>
              <w:rPr>
                <w:rFonts w:hint="eastAsia" w:ascii="仿宋" w:hAnsi="仿宋" w:eastAsia="仿宋" w:cs="仿宋"/>
                <w:color w:val="auto"/>
                <w:spacing w:val="20"/>
                <w:szCs w:val="21"/>
                <w:highlight w:val="none"/>
              </w:rPr>
            </w:pPr>
            <w:r>
              <w:rPr>
                <w:rFonts w:hint="eastAsia" w:ascii="仿宋" w:hAnsi="仿宋" w:eastAsia="仿宋" w:cs="仿宋"/>
                <w:color w:val="auto"/>
                <w:spacing w:val="20"/>
                <w:szCs w:val="21"/>
                <w:highlight w:val="none"/>
              </w:rPr>
              <w:t>1</w:t>
            </w:r>
          </w:p>
        </w:tc>
        <w:tc>
          <w:tcPr>
            <w:tcW w:w="3255" w:type="dxa"/>
            <w:noWrap w:val="0"/>
            <w:vAlign w:val="center"/>
          </w:tcPr>
          <w:p>
            <w:pPr>
              <w:widowControl/>
              <w:spacing w:line="340" w:lineRule="exact"/>
              <w:jc w:val="center"/>
              <w:rPr>
                <w:rFonts w:hint="eastAsia" w:ascii="仿宋" w:hAnsi="仿宋" w:eastAsia="仿宋" w:cs="仿宋"/>
                <w:color w:val="auto"/>
                <w:kern w:val="0"/>
                <w:sz w:val="24"/>
                <w:highlight w:val="none"/>
                <w:lang w:val="en-US" w:eastAsia="zh-CN"/>
              </w:rPr>
            </w:pPr>
          </w:p>
        </w:tc>
        <w:tc>
          <w:tcPr>
            <w:tcW w:w="1125" w:type="dxa"/>
            <w:noWrap w:val="0"/>
            <w:vAlign w:val="center"/>
          </w:tcPr>
          <w:p>
            <w:pPr>
              <w:widowControl/>
              <w:spacing w:line="340" w:lineRule="exact"/>
              <w:jc w:val="center"/>
              <w:rPr>
                <w:rFonts w:hint="eastAsia" w:ascii="仿宋" w:hAnsi="仿宋" w:eastAsia="仿宋" w:cs="仿宋"/>
                <w:color w:val="auto"/>
                <w:spacing w:val="20"/>
                <w:szCs w:val="21"/>
                <w:highlight w:val="none"/>
                <w:lang w:val="en-US" w:eastAsia="zh-CN"/>
              </w:rPr>
            </w:pPr>
          </w:p>
        </w:tc>
        <w:tc>
          <w:tcPr>
            <w:tcW w:w="1110" w:type="dxa"/>
            <w:noWrap w:val="0"/>
            <w:vAlign w:val="center"/>
          </w:tcPr>
          <w:p>
            <w:pPr>
              <w:widowControl/>
              <w:spacing w:line="340" w:lineRule="exact"/>
              <w:jc w:val="center"/>
              <w:rPr>
                <w:rFonts w:hint="eastAsia" w:ascii="仿宋" w:hAnsi="仿宋" w:eastAsia="仿宋" w:cs="仿宋"/>
                <w:color w:val="auto"/>
                <w:spacing w:val="20"/>
                <w:szCs w:val="21"/>
                <w:highlight w:val="none"/>
                <w:lang w:val="en-US" w:eastAsia="zh-CN"/>
              </w:rPr>
            </w:pPr>
          </w:p>
        </w:tc>
        <w:tc>
          <w:tcPr>
            <w:tcW w:w="1110" w:type="dxa"/>
            <w:noWrap w:val="0"/>
            <w:vAlign w:val="center"/>
          </w:tcPr>
          <w:p>
            <w:pPr>
              <w:widowControl/>
              <w:spacing w:line="340" w:lineRule="exact"/>
              <w:jc w:val="left"/>
              <w:rPr>
                <w:rFonts w:hint="eastAsia" w:ascii="仿宋" w:hAnsi="仿宋" w:eastAsia="仿宋" w:cs="仿宋"/>
                <w:color w:val="auto"/>
                <w:spacing w:val="20"/>
                <w:szCs w:val="21"/>
                <w:highlight w:val="none"/>
              </w:rPr>
            </w:pPr>
          </w:p>
        </w:tc>
        <w:tc>
          <w:tcPr>
            <w:tcW w:w="1515" w:type="dxa"/>
            <w:noWrap w:val="0"/>
            <w:vAlign w:val="center"/>
          </w:tcPr>
          <w:p>
            <w:pPr>
              <w:jc w:val="center"/>
              <w:rPr>
                <w:rFonts w:hint="eastAsia" w:ascii="仿宋" w:hAnsi="仿宋" w:eastAsia="仿宋" w:cs="仿宋"/>
                <w:color w:val="auto"/>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00" w:hRule="atLeast"/>
        </w:trPr>
        <w:tc>
          <w:tcPr>
            <w:tcW w:w="713" w:type="dxa"/>
            <w:noWrap w:val="0"/>
            <w:vAlign w:val="center"/>
          </w:tcPr>
          <w:p>
            <w:pPr>
              <w:widowControl/>
              <w:spacing w:line="340" w:lineRule="exact"/>
              <w:jc w:val="center"/>
              <w:rPr>
                <w:rFonts w:hint="eastAsia" w:ascii="仿宋" w:hAnsi="仿宋" w:eastAsia="仿宋" w:cs="仿宋"/>
                <w:color w:val="auto"/>
                <w:spacing w:val="20"/>
                <w:szCs w:val="21"/>
                <w:highlight w:val="none"/>
              </w:rPr>
            </w:pPr>
          </w:p>
        </w:tc>
        <w:tc>
          <w:tcPr>
            <w:tcW w:w="3255" w:type="dxa"/>
            <w:noWrap w:val="0"/>
            <w:vAlign w:val="center"/>
          </w:tcPr>
          <w:p>
            <w:pPr>
              <w:widowControl/>
              <w:spacing w:line="340" w:lineRule="exact"/>
              <w:jc w:val="center"/>
              <w:rPr>
                <w:rFonts w:hint="eastAsia" w:ascii="仿宋" w:hAnsi="仿宋" w:eastAsia="仿宋" w:cs="仿宋"/>
                <w:color w:val="auto"/>
                <w:spacing w:val="20"/>
                <w:szCs w:val="21"/>
                <w:highlight w:val="none"/>
              </w:rPr>
            </w:pPr>
          </w:p>
        </w:tc>
        <w:tc>
          <w:tcPr>
            <w:tcW w:w="1125" w:type="dxa"/>
            <w:noWrap w:val="0"/>
            <w:vAlign w:val="center"/>
          </w:tcPr>
          <w:p>
            <w:pPr>
              <w:widowControl/>
              <w:spacing w:line="340" w:lineRule="exact"/>
              <w:jc w:val="center"/>
              <w:rPr>
                <w:rFonts w:hint="eastAsia" w:ascii="仿宋" w:hAnsi="仿宋" w:eastAsia="仿宋" w:cs="仿宋"/>
                <w:color w:val="auto"/>
                <w:spacing w:val="20"/>
                <w:szCs w:val="21"/>
                <w:highlight w:val="none"/>
              </w:rPr>
            </w:pPr>
          </w:p>
        </w:tc>
        <w:tc>
          <w:tcPr>
            <w:tcW w:w="1110" w:type="dxa"/>
            <w:noWrap w:val="0"/>
            <w:vAlign w:val="center"/>
          </w:tcPr>
          <w:p>
            <w:pPr>
              <w:widowControl/>
              <w:spacing w:line="340" w:lineRule="exact"/>
              <w:jc w:val="center"/>
              <w:rPr>
                <w:rFonts w:hint="eastAsia" w:ascii="仿宋" w:hAnsi="仿宋" w:eastAsia="仿宋" w:cs="仿宋"/>
                <w:color w:val="auto"/>
                <w:spacing w:val="20"/>
                <w:szCs w:val="21"/>
                <w:highlight w:val="none"/>
              </w:rPr>
            </w:pPr>
          </w:p>
        </w:tc>
        <w:tc>
          <w:tcPr>
            <w:tcW w:w="1110" w:type="dxa"/>
            <w:noWrap w:val="0"/>
            <w:vAlign w:val="center"/>
          </w:tcPr>
          <w:p>
            <w:pPr>
              <w:widowControl/>
              <w:spacing w:line="340" w:lineRule="exact"/>
              <w:jc w:val="left"/>
              <w:rPr>
                <w:rFonts w:hint="eastAsia" w:ascii="仿宋" w:hAnsi="仿宋" w:eastAsia="仿宋" w:cs="仿宋"/>
                <w:color w:val="auto"/>
                <w:spacing w:val="20"/>
                <w:szCs w:val="21"/>
                <w:highlight w:val="none"/>
              </w:rPr>
            </w:pPr>
          </w:p>
        </w:tc>
        <w:tc>
          <w:tcPr>
            <w:tcW w:w="1515" w:type="dxa"/>
            <w:noWrap w:val="0"/>
            <w:vAlign w:val="center"/>
          </w:tcPr>
          <w:p>
            <w:pPr>
              <w:jc w:val="center"/>
              <w:rPr>
                <w:rFonts w:hint="eastAsia" w:ascii="仿宋" w:hAnsi="仿宋" w:eastAsia="仿宋" w:cs="仿宋"/>
                <w:color w:val="auto"/>
                <w:spacing w:val="20"/>
                <w:szCs w:val="21"/>
                <w:highlight w:val="none"/>
              </w:rPr>
            </w:pP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备注：报价内容均涵盖报价要求之一切费用和伴随服务及税金等其他所有费用。</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名称（盖章）：</w:t>
      </w:r>
      <w:r>
        <w:rPr>
          <w:rFonts w:hint="eastAsia" w:ascii="仿宋" w:hAnsi="仿宋" w:eastAsia="仿宋" w:cs="仿宋"/>
          <w:color w:val="auto"/>
          <w:sz w:val="24"/>
          <w:highlight w:val="none"/>
          <w:u w:val="single"/>
        </w:rPr>
        <w:t xml:space="preserve">                        </w:t>
      </w:r>
    </w:p>
    <w:p>
      <w:pPr>
        <w:rPr>
          <w:rFonts w:hint="eastAsia" w:ascii="仿宋" w:hAnsi="仿宋" w:eastAsia="仿宋" w:cs="仿宋"/>
          <w:b/>
          <w:bCs/>
          <w:color w:val="auto"/>
          <w:sz w:val="28"/>
          <w:szCs w:val="28"/>
          <w:highlight w:val="none"/>
        </w:rPr>
      </w:pPr>
      <w:r>
        <w:rPr>
          <w:rFonts w:hint="eastAsia" w:ascii="仿宋" w:hAnsi="仿宋" w:eastAsia="仿宋" w:cs="仿宋"/>
          <w:color w:val="auto"/>
          <w:sz w:val="24"/>
          <w:highlight w:val="none"/>
        </w:rPr>
        <w:t>日期：   年   月   日</w:t>
      </w:r>
    </w:p>
    <w:p>
      <w:pPr>
        <w:rPr>
          <w:color w:val="auto"/>
          <w:highlight w:val="none"/>
        </w:rPr>
      </w:pPr>
    </w:p>
    <w:p>
      <w:pPr>
        <w:rPr>
          <w:b/>
          <w:bCs/>
          <w:color w:val="auto"/>
          <w:highlight w:val="none"/>
        </w:rPr>
      </w:pPr>
    </w:p>
    <w:p>
      <w:pPr>
        <w:rPr>
          <w:color w:val="auto"/>
          <w:highlight w:val="none"/>
        </w:rPr>
      </w:pPr>
    </w:p>
    <w:p>
      <w:pPr>
        <w:rPr>
          <w:color w:val="auto"/>
          <w:highlight w:val="none"/>
        </w:rPr>
      </w:pPr>
    </w:p>
    <w:p>
      <w:pPr>
        <w:rPr>
          <w:color w:val="auto"/>
          <w:highlight w:val="none"/>
        </w:rPr>
      </w:pPr>
    </w:p>
    <w:bookmarkEnd w:id="0"/>
    <w:p>
      <w:pPr>
        <w:rPr>
          <w:b w:val="0"/>
          <w:bCs w:val="0"/>
          <w:color w:val="auto"/>
          <w:highlight w:val="none"/>
        </w:rPr>
      </w:pPr>
    </w:p>
    <w:sectPr>
      <w:footerReference r:id="rId6"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FangSong_GB2312-Identity-H">
    <w:altName w:val="宋体"/>
    <w:panose1 w:val="00000000000000000000"/>
    <w:charset w:val="86"/>
    <w:family w:val="auto"/>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52</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52</w:t>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433A09"/>
    <w:multiLevelType w:val="singleLevel"/>
    <w:tmpl w:val="FD433A09"/>
    <w:lvl w:ilvl="0" w:tentative="0">
      <w:start w:val="1"/>
      <w:numFmt w:val="chineseCounting"/>
      <w:suff w:val="nothing"/>
      <w:lvlText w:val="%1、"/>
      <w:lvlJc w:val="left"/>
      <w:rPr>
        <w:rFonts w:hint="eastAsia"/>
      </w:rPr>
    </w:lvl>
  </w:abstractNum>
  <w:abstractNum w:abstractNumId="1">
    <w:nsid w:val="569C8C25"/>
    <w:multiLevelType w:val="singleLevel"/>
    <w:tmpl w:val="569C8C25"/>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E64EE9"/>
    <w:rsid w:val="243E7DA0"/>
    <w:rsid w:val="39E57926"/>
    <w:rsid w:val="407B3DD7"/>
    <w:rsid w:val="45BF4D40"/>
    <w:rsid w:val="472D68F7"/>
    <w:rsid w:val="56B706F4"/>
    <w:rsid w:val="588614D8"/>
    <w:rsid w:val="68643EEB"/>
    <w:rsid w:val="6C3D5E0A"/>
    <w:rsid w:val="7B847416"/>
    <w:rsid w:val="7B941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caption"/>
    <w:basedOn w:val="1"/>
    <w:next w:val="1"/>
    <w:qFormat/>
    <w:uiPriority w:val="0"/>
    <w:rPr>
      <w:rFonts w:ascii="Cambria" w:hAnsi="Cambria" w:eastAsia="黑体" w:cs="Times New Roman"/>
      <w:sz w:val="20"/>
      <w:szCs w:val="20"/>
    </w:rPr>
  </w:style>
  <w:style w:type="paragraph" w:styleId="5">
    <w:name w:val="annotation text"/>
    <w:basedOn w:val="1"/>
    <w:qFormat/>
    <w:uiPriority w:val="0"/>
    <w:pPr>
      <w:jc w:val="left"/>
    </w:pPr>
  </w:style>
  <w:style w:type="paragraph" w:styleId="6">
    <w:name w:val="Body Text 3"/>
    <w:basedOn w:val="1"/>
    <w:qFormat/>
    <w:uiPriority w:val="0"/>
    <w:pPr>
      <w:spacing w:after="120"/>
    </w:pPr>
    <w:rPr>
      <w:sz w:val="16"/>
      <w:szCs w:val="16"/>
    </w:rPr>
  </w:style>
  <w:style w:type="paragraph" w:styleId="7">
    <w:name w:val="Body Text"/>
    <w:basedOn w:val="1"/>
    <w:next w:val="1"/>
    <w:qFormat/>
    <w:uiPriority w:val="0"/>
    <w:pPr>
      <w:spacing w:after="120"/>
    </w:pPr>
  </w:style>
  <w:style w:type="paragraph" w:styleId="8">
    <w:name w:val="Plain Text"/>
    <w:basedOn w:val="1"/>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qFormat/>
    <w:uiPriority w:val="0"/>
  </w:style>
  <w:style w:type="paragraph" w:customStyle="1" w:styleId="14">
    <w:name w:val="样式 样式 左侧:  2 字符 + 左侧:  0.85 厘米 首行缩进:  2 字符1"/>
    <w:qFormat/>
    <w:uiPriority w:val="0"/>
    <w:pPr>
      <w:widowControl w:val="0"/>
      <w:ind w:left="482" w:firstLine="200" w:firstLineChars="200"/>
      <w:jc w:val="both"/>
    </w:pPr>
    <w:rPr>
      <w:rFonts w:ascii="Times New Roman" w:hAnsi="Times New Roman" w:eastAsia="宋体" w:cs="宋体"/>
      <w:kern w:val="2"/>
      <w:sz w:val="21"/>
      <w:szCs w:val="24"/>
      <w:lang w:val="en-US" w:eastAsia="zh-CN" w:bidi="ar-SA"/>
    </w:rPr>
  </w:style>
  <w:style w:type="paragraph" w:customStyle="1" w:styleId="15">
    <w:name w:val="无间隔1"/>
    <w:qFormat/>
    <w:uiPriority w:val="0"/>
    <w:rPr>
      <w:rFonts w:ascii="Calibri" w:hAnsi="Calibri" w:eastAsia="宋体" w:cs="Times New Roman"/>
      <w:sz w:val="22"/>
      <w:szCs w:val="22"/>
      <w:lang w:val="en-US" w:eastAsia="zh-CN" w:bidi="ar-SA"/>
    </w:rPr>
  </w:style>
  <w:style w:type="paragraph" w:customStyle="1" w:styleId="16">
    <w:name w:val="No Spacing1"/>
    <w:qFormat/>
    <w:uiPriority w:val="0"/>
    <w:pPr>
      <w:adjustRightInd w:val="0"/>
      <w:snapToGrid w:val="0"/>
    </w:pPr>
    <w:rPr>
      <w:rFonts w:ascii="Tahoma" w:hAnsi="Tahoma" w:eastAsia="微软雅黑" w:cs="Tahoma"/>
      <w:sz w:val="22"/>
      <w:szCs w:val="22"/>
      <w:lang w:val="en-US" w:eastAsia="zh-CN" w:bidi="ar-SA"/>
    </w:rPr>
  </w:style>
  <w:style w:type="paragraph" w:customStyle="1" w:styleId="17">
    <w:name w:val="null3"/>
    <w:qFormat/>
    <w:uiPriority w:val="0"/>
    <w:rPr>
      <w:rFonts w:hint="eastAsia" w:ascii="Calibri" w:hAnsi="Calibri" w:eastAsia="宋体" w:cs="Times New Roman"/>
      <w:lang w:val="en-US" w:eastAsia="zh-Hans"/>
    </w:rPr>
  </w:style>
  <w:style w:type="paragraph" w:customStyle="1" w:styleId="1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9">
    <w:name w:val="题注4"/>
    <w:basedOn w:val="1"/>
    <w:next w:val="4"/>
    <w:qFormat/>
    <w:uiPriority w:val="0"/>
    <w:pPr>
      <w:ind w:left="-132" w:leftChars="-64" w:right="-105" w:rightChars="-50" w:hanging="2"/>
      <w:jc w:val="center"/>
    </w:pPr>
    <w:rPr>
      <w:b/>
      <w:color w:val="FF0000"/>
      <w:szCs w:val="21"/>
      <w:lang w:val="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2025-03-19T00:46:00Z</dcterms:created>
  <dc:creator>Administrator.FY-202308300715</dc:creator>
  <cp:lastModifiedBy>Mao</cp:lastModifiedBy>
  <dcterms:modified xsi:type="dcterms:W3CDTF">2025-03-28T01:01:34Z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