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ZCB-YN-2025026</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ab/>
      </w:r>
      <w:r>
        <w:rPr>
          <w:rFonts w:hint="eastAsia" w:ascii="仿宋" w:hAnsi="仿宋" w:eastAsia="仿宋" w:cs="仿宋"/>
          <w:b/>
          <w:color w:val="auto"/>
          <w:sz w:val="28"/>
          <w:szCs w:val="28"/>
          <w:highlight w:val="none"/>
          <w:lang w:eastAsia="zh-CN"/>
        </w:rPr>
        <w:t>惠州市第一妇幼保健院2025年合理用药系统接口开发及维保服务采购项目（二次）</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2"/>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9"/>
        <w:rPr>
          <w:rFonts w:hint="eastAsia"/>
          <w:color w:val="auto"/>
          <w:highlight w:val="none"/>
          <w:lang w:eastAsia="zh-CN"/>
        </w:rPr>
      </w:pPr>
    </w:p>
    <w:p>
      <w:pPr>
        <w:pStyle w:val="14"/>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惠州市第一妇幼保健院2025年合理用药系统接口开发及维保服务采购项目（二次）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ZCB-YN-2025026</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惠州市第一妇幼保健院2025年合理用药系统接口开发及维保服务采购项目（二次）</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8"/>
        <w:tblW w:w="8171" w:type="dxa"/>
        <w:jc w:val="center"/>
        <w:tblLayout w:type="fixed"/>
        <w:tblCellMar>
          <w:top w:w="0" w:type="dxa"/>
          <w:left w:w="108" w:type="dxa"/>
          <w:bottom w:w="0" w:type="dxa"/>
          <w:right w:w="108" w:type="dxa"/>
        </w:tblCellMar>
      </w:tblPr>
      <w:tblGrid>
        <w:gridCol w:w="775"/>
        <w:gridCol w:w="2535"/>
        <w:gridCol w:w="755"/>
        <w:gridCol w:w="700"/>
        <w:gridCol w:w="1420"/>
        <w:gridCol w:w="1986"/>
      </w:tblGrid>
      <w:tr>
        <w:tblPrEx>
          <w:tblCellMar>
            <w:top w:w="0" w:type="dxa"/>
            <w:left w:w="108" w:type="dxa"/>
            <w:bottom w:w="0" w:type="dxa"/>
            <w:right w:w="108" w:type="dxa"/>
          </w:tblCellMar>
        </w:tblPrEx>
        <w:trPr>
          <w:trHeight w:val="645"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tblPrEx>
          <w:tblCellMar>
            <w:top w:w="0" w:type="dxa"/>
            <w:left w:w="108" w:type="dxa"/>
            <w:bottom w:w="0" w:type="dxa"/>
            <w:right w:w="108" w:type="dxa"/>
          </w:tblCellMar>
        </w:tblPrEx>
        <w:trPr>
          <w:trHeight w:val="971"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惠州市第一妇幼保健院2025年合理用药系统接口开发及维保服务采购项目</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92000.00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详细</w:t>
            </w:r>
            <w:r>
              <w:rPr>
                <w:rFonts w:hint="eastAsia" w:ascii="仿宋" w:hAnsi="仿宋" w:eastAsia="仿宋" w:cs="仿宋"/>
                <w:color w:val="auto"/>
                <w:kern w:val="0"/>
                <w:sz w:val="24"/>
                <w:szCs w:val="24"/>
                <w:highlight w:val="none"/>
                <w:lang w:eastAsia="zh-CN"/>
              </w:rPr>
              <w:t>技术要求</w:t>
            </w:r>
            <w:r>
              <w:rPr>
                <w:rFonts w:hint="eastAsia" w:ascii="仿宋" w:hAnsi="仿宋" w:eastAsia="仿宋" w:cs="仿宋"/>
                <w:color w:val="auto"/>
                <w:kern w:val="0"/>
                <w:sz w:val="24"/>
                <w:szCs w:val="24"/>
                <w:highlight w:val="none"/>
              </w:rPr>
              <w:t>请参阅</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bookmarkStart w:id="0" w:name="_GoBack"/>
      <w:bookmarkEnd w:id="0"/>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w:t>
      </w:r>
      <w:r>
        <w:rPr>
          <w:rFonts w:hint="eastAsia" w:ascii="仿宋" w:hAnsi="仿宋" w:eastAsia="仿宋" w:cs="仿宋"/>
          <w:color w:val="auto"/>
          <w:sz w:val="24"/>
          <w:szCs w:val="24"/>
          <w:highlight w:val="none"/>
          <w:lang w:eastAsia="zh-CN"/>
        </w:rPr>
        <w:t>2022年</w:t>
      </w:r>
      <w:r>
        <w:rPr>
          <w:rFonts w:hint="eastAsia" w:ascii="仿宋" w:hAnsi="仿宋" w:eastAsia="仿宋" w:cs="仿宋"/>
          <w:color w:val="auto"/>
          <w:sz w:val="24"/>
          <w:szCs w:val="24"/>
          <w:highlight w:val="none"/>
        </w:rPr>
        <w:t>至今任意一年经审计的审计报告复印件（包含审计报告中所涉及的财务报表和报表附注）；或②</w:t>
      </w:r>
      <w:r>
        <w:rPr>
          <w:rFonts w:hint="eastAsia" w:ascii="仿宋" w:hAnsi="仿宋" w:eastAsia="仿宋" w:cs="仿宋"/>
          <w:color w:val="auto"/>
          <w:sz w:val="24"/>
          <w:szCs w:val="24"/>
          <w:highlight w:val="none"/>
          <w:lang w:eastAsia="zh-CN"/>
        </w:rPr>
        <w:t>2022年</w:t>
      </w:r>
      <w:r>
        <w:rPr>
          <w:rFonts w:hint="eastAsia" w:ascii="仿宋" w:hAnsi="仿宋" w:eastAsia="仿宋" w:cs="仿宋"/>
          <w:color w:val="auto"/>
          <w:sz w:val="24"/>
          <w:szCs w:val="24"/>
          <w:highlight w:val="none"/>
        </w:rPr>
        <w:t>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lang w:eastAsia="zh-CN"/>
        </w:rPr>
        <w:t>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b w:val="0"/>
          <w:bCs w:val="0"/>
          <w:strike w:val="0"/>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lang w:eastAsia="zh-CN"/>
        </w:rPr>
        <w:t>本项目是专门面向中小企业采购的项目，供应商应为中小微企业。（提供《中小企业声明函》,具体格式文件见比选文件</w:t>
      </w:r>
      <w:r>
        <w:rPr>
          <w:rFonts w:hint="eastAsia" w:ascii="仿宋" w:hAnsi="仿宋" w:eastAsia="仿宋" w:cs="仿宋"/>
          <w:b/>
          <w:bCs/>
          <w:strike w:val="0"/>
          <w:color w:val="auto"/>
          <w:sz w:val="24"/>
          <w:highlight w:val="none"/>
          <w:lang w:eastAsia="zh-CN"/>
        </w:rPr>
        <w:t>P</w:t>
      </w:r>
      <w:r>
        <w:rPr>
          <w:rFonts w:hint="eastAsia" w:ascii="仿宋" w:hAnsi="仿宋" w:eastAsia="仿宋" w:cs="仿宋"/>
          <w:b/>
          <w:bCs/>
          <w:strike w:val="0"/>
          <w:color w:val="auto"/>
          <w:sz w:val="24"/>
          <w:highlight w:val="none"/>
          <w:lang w:val="en-US" w:eastAsia="zh-CN"/>
        </w:rPr>
        <w:t>52</w:t>
      </w:r>
      <w:r>
        <w:rPr>
          <w:rFonts w:hint="eastAsia" w:ascii="仿宋" w:hAnsi="仿宋" w:eastAsia="仿宋" w:cs="仿宋"/>
          <w:strike w:val="0"/>
          <w:color w:val="auto"/>
          <w:sz w:val="24"/>
          <w:highlight w:val="none"/>
          <w:lang w:eastAsia="zh-CN"/>
        </w:rPr>
        <w:t>中小企业声明函，未按要求提供声明函的将导致响应无效）。</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color w:val="auto"/>
          <w:sz w:val="24"/>
          <w:highlight w:val="none"/>
          <w:lang w:bidi="ar"/>
        </w:rPr>
        <w:t>软件和信息技术服务业</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color w:val="auto"/>
          <w:sz w:val="24"/>
          <w:highlight w:val="none"/>
          <w:lang w:eastAsia="zh-CN"/>
        </w:rPr>
        <w:t>项目概况</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根据医院业务需求，需对接合理用药系统及HIS系统，计划采购开发服务；同时为保障合理用药系统稳定运行，计划采购维保服务一年。</w:t>
      </w:r>
    </w:p>
    <w:p>
      <w:pPr>
        <w:numPr>
          <w:ilvl w:val="0"/>
          <w:numId w:val="0"/>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lang w:val="zh-CN" w:eastAsia="zh-CN"/>
        </w:rPr>
        <w:t>项目内容：</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1.基本内容</w:t>
      </w:r>
    </w:p>
    <w:tbl>
      <w:tblPr>
        <w:tblStyle w:val="18"/>
        <w:tblW w:w="9334" w:type="dxa"/>
        <w:jc w:val="center"/>
        <w:tblLayout w:type="fixed"/>
        <w:tblCellMar>
          <w:top w:w="0" w:type="dxa"/>
          <w:left w:w="108" w:type="dxa"/>
          <w:bottom w:w="0" w:type="dxa"/>
          <w:right w:w="108" w:type="dxa"/>
        </w:tblCellMar>
      </w:tblPr>
      <w:tblGrid>
        <w:gridCol w:w="769"/>
        <w:gridCol w:w="1846"/>
        <w:gridCol w:w="855"/>
        <w:gridCol w:w="915"/>
        <w:gridCol w:w="1680"/>
        <w:gridCol w:w="3269"/>
      </w:tblGrid>
      <w:tr>
        <w:tblPrEx>
          <w:tblCellMar>
            <w:top w:w="0" w:type="dxa"/>
            <w:left w:w="108" w:type="dxa"/>
            <w:bottom w:w="0" w:type="dxa"/>
            <w:right w:w="108" w:type="dxa"/>
          </w:tblCellMar>
        </w:tblPrEx>
        <w:trPr>
          <w:trHeight w:val="64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具体内容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最高限价（元）</w:t>
            </w:r>
          </w:p>
        </w:tc>
        <w:tc>
          <w:tcPr>
            <w:tcW w:w="3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内容描述</w:t>
            </w:r>
          </w:p>
        </w:tc>
      </w:tr>
      <w:tr>
        <w:tblPrEx>
          <w:tblCellMar>
            <w:top w:w="0" w:type="dxa"/>
            <w:left w:w="108" w:type="dxa"/>
            <w:bottom w:w="0" w:type="dxa"/>
            <w:right w:w="10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接口开发服务</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50000.00</w:t>
            </w:r>
          </w:p>
        </w:tc>
        <w:tc>
          <w:tcPr>
            <w:tcW w:w="326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为采购人提供合理用药系统基础日常维护及系统优化服务，并定期回访、提供运维记录、新HIS对接等服务。</w:t>
            </w:r>
          </w:p>
        </w:tc>
      </w:tr>
      <w:tr>
        <w:tblPrEx>
          <w:tblCellMar>
            <w:top w:w="0" w:type="dxa"/>
            <w:left w:w="108" w:type="dxa"/>
            <w:bottom w:w="0" w:type="dxa"/>
            <w:right w:w="108" w:type="dxa"/>
          </w:tblCellMar>
        </w:tblPrEx>
        <w:trPr>
          <w:trHeight w:val="46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维保服务</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项</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42000.00</w:t>
            </w:r>
          </w:p>
        </w:tc>
        <w:tc>
          <w:tcPr>
            <w:tcW w:w="326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bl>
    <w:p>
      <w:pPr>
        <w:numPr>
          <w:ilvl w:val="0"/>
          <w:numId w:val="0"/>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lang w:val="zh-CN" w:eastAsia="zh-CN"/>
        </w:rPr>
        <w:t>服务要求</w:t>
      </w:r>
    </w:p>
    <w:p>
      <w:pPr>
        <w:numPr>
          <w:ilvl w:val="0"/>
          <w:numId w:val="0"/>
        </w:numPr>
        <w:autoSpaceDE w:val="0"/>
        <w:autoSpaceDN w:val="0"/>
        <w:spacing w:line="360" w:lineRule="auto"/>
        <w:ind w:firstLine="240" w:firstLineChars="1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（1）项目技术要求清单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289"/>
        <w:gridCol w:w="6438"/>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5"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模块名称</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2" w:type="dxa"/>
            <w:gridSpan w:val="4"/>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系统审查功能要求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处方（医嘱）用药审查功能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住院医嘱支持用药天数预警，提醒医生及时调整用药方案。</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超多日用量审查可结合退费情况，管控提前取药患者药量累计持有天数。</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利用大数据分析，自动生成药品品种单次异常剂量审查规则。</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相互作用联合审查可排除已服用完毕的药品。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药品信息提示功能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快捷查看药品相关重要信息；药品厂家说明书，并可查看药监局发布的说明书修订勘误，修改和新增药品说明书内容；</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查</w:t>
            </w:r>
            <w:r>
              <w:rPr>
                <w:rFonts w:hint="eastAsia" w:ascii="仿宋" w:hAnsi="仿宋" w:eastAsia="仿宋" w:cs="仿宋"/>
                <w:color w:val="auto"/>
                <w:sz w:val="24"/>
                <w:szCs w:val="24"/>
                <w:highlight w:val="none"/>
              </w:rPr>
              <w:t>询相应药品的中药材专论信息。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3</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质子泵抑制药专项管控</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医生开具质子泵抑制剂药品时，需填写用药评估单。提供评估单专项统计分析。系统可评估患者病</w:t>
            </w:r>
            <w:r>
              <w:rPr>
                <w:rFonts w:hint="eastAsia" w:ascii="仿宋" w:hAnsi="仿宋" w:eastAsia="仿宋" w:cs="仿宋"/>
                <w:color w:val="auto"/>
                <w:sz w:val="24"/>
                <w:szCs w:val="24"/>
                <w:highlight w:val="none"/>
                <w:lang w:eastAsia="zh-CN"/>
              </w:rPr>
              <w:t>理</w:t>
            </w:r>
            <w:r>
              <w:rPr>
                <w:rFonts w:hint="eastAsia" w:ascii="仿宋" w:hAnsi="仿宋" w:eastAsia="仿宋" w:cs="仿宋"/>
                <w:color w:val="auto"/>
                <w:sz w:val="24"/>
                <w:szCs w:val="24"/>
                <w:highlight w:val="none"/>
              </w:rPr>
              <w:t>生</w:t>
            </w:r>
            <w:r>
              <w:rPr>
                <w:rFonts w:hint="eastAsia" w:ascii="仿宋" w:hAnsi="仿宋" w:eastAsia="仿宋" w:cs="仿宋"/>
                <w:color w:val="auto"/>
                <w:sz w:val="24"/>
                <w:szCs w:val="24"/>
                <w:highlight w:val="none"/>
                <w:lang w:eastAsia="zh-CN"/>
              </w:rPr>
              <w:t>理</w:t>
            </w:r>
            <w:r>
              <w:rPr>
                <w:rFonts w:hint="eastAsia" w:ascii="仿宋" w:hAnsi="仿宋" w:eastAsia="仿宋" w:cs="仿宋"/>
                <w:color w:val="auto"/>
                <w:sz w:val="24"/>
                <w:szCs w:val="24"/>
                <w:highlight w:val="none"/>
              </w:rPr>
              <w:t>状态，若存在应激性溃疡风险，提供质子泵抑制剂用药建议。围术期不合理使用质子泵抑制剂时，系统可警示医生</w:t>
            </w:r>
            <w:r>
              <w:rPr>
                <w:rFonts w:hint="eastAsia" w:ascii="仿宋" w:hAnsi="仿宋" w:eastAsia="仿宋" w:cs="仿宋"/>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协定方专项管控</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系统提供医院中药协定方证型适宜性审查。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5</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经验性用药专项管控</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系统提供抗肿瘤药物过敏反应预处理用药合理性审查。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6</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抗菌药物专项管控</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医生开具预防用抗菌药物时，需填写用药评估单，评估单区分非手术预防用药和手术预防用药。</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系统提供抗菌药物用药指征审查。医生开具抗菌药物必须有用药指征，否则系统将予以警示。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7</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审查提示屏蔽功能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8</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审查规则自定义功能（医院专家知识库）</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系统可以提供多种自定义方式：</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基于系统审查数据自定义方式，节省药师工作量；</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②可完全由用户新建审查规则包括审查要素和审查逻辑。</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③用户可自定义药品警示、拦截规则，被拦截的问题处方必须返回修改，否则不可进行下一步操作。用户可设置已执行的长期医嘱是否拦截。</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④其中部分审查项目可支持以下功能：</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剂量：可显示某个药品在本院近一个月医嘱用量统计，查看不同科室的剂量使用情况。用户只需维护药品一种给药单位的剂量审查规则，系统可自动将规则匹配到该药品其余给药单位。</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体外注射剂配伍：可设置小剂量胰岛素不参与体外配伍审查，具体剂量标准可由用户自行设置。</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妊娠用药：提供多元化妊娠状态判断方式，可设置妊娠状态判断优先级。</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可设置应激性溃疡风险的预警规则；设置可预防使用质子泵抑制剂的手术、质子泵抑制剂药品及术后质子泵抑制剂用药疗程；</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用户可维护医院协定方及对应证型；</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用户可设置抗肿瘤药物过敏反应预防药品品种。</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用户可设置质子泵抑制药、抗菌药物用药评估单模板。</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规则复制功能：系统支持将其它药品已有的自定义规则分模块复制到被选择的药品上。</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豁免对象：可根据药品、医生、科室、患者年龄、手术信息、医嘱备注等条件设置特定对象不参与某些模块审查，并可按照模块查看对各种豁免情况的统计。</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自定义规则查询：可查询药品、科室以及各模块的自定义规则。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9</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统计分析功能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问题处方（医嘱）保存、查询，以及不合理问题统计分析。</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提供不合理问题评估功能，便于药师在做回顾性分析时对已评估的问题做记录。</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用药理由统计</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10</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系统应提供药师和医生的在线沟通平台，提供截图、发送图片、文件传输、消息撤回、消息已读提示功能。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处方点评系统功能要求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智慧中心</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系统主页应能显示门诊/住院点评率、合理率、住院抗菌药物使用强度、门诊基本药物占比、住院静脉输液使用率等指标。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读取和查看病人信息</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系统应能筛选患者并查看患者基本信息、医嘱、诊断、检查、检验、手术、费用、会诊、病程等信息，同时能提供EMR、PACS、LIS超链接功能，帮助药师快速切换。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处方点评</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应结合国家处方点评相关政策要求，实现对处方（医嘱）电子化评价功能。应能提供程序点评功能，包括对处方（医嘱）用药进行以下程序点评：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系统应提供双盲点评设置、医生处理点评结果逾期设置、增补处方或病人、高亮显示被点评药品功能，方便药师点评。 系统应能自定义点评模板及点评点，实现个性化点评需求。系统应能自动生成住院患者用药联用图、时序图，并支持自定义。住院患者时序图包含患者体征、用药、手术和检验信息等内容。系统应能自动生成点评相关报表及任务完成情况等管理报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系统应包含全处方点评、全医嘱点评、门急诊/住院抗菌药物专项点评、围手术期抗菌药物专项点评、门急诊/住院专项药品点评、门急诊/住院抗肿瘤药物专项点评、住院病人特殊级抗菌药物专项点评、住院病人碳青霉烯类及替加环素专项点评、住院病人人血白蛋白专项点评、门（急）诊/住院中药饮片专项点评、门（急）诊中成药处方专项点评、用药排名医嘱点评、住院用药医嘱点评、出院带药医嘱点评、门（急）诊基本药物专项点评、住院病人肠外营养专项点评、住院病人自备药专项点评、门（急）诊外延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抗菌药物临床应用监测</w:t>
            </w:r>
          </w:p>
        </w:tc>
        <w:tc>
          <w:tcPr>
            <w:tcW w:w="6488" w:type="dxa"/>
            <w:gridSpan w:val="2"/>
            <w:noWrap w:val="0"/>
            <w:vAlign w:val="center"/>
          </w:tcPr>
          <w:p>
            <w:pPr>
              <w:keepNext w:val="0"/>
              <w:keepLines w:val="0"/>
              <w:numPr>
                <w:ilvl w:val="0"/>
                <w:numId w:val="0"/>
              </w:numPr>
              <w:suppressLineNumbers w:val="0"/>
              <w:spacing w:before="0" w:beforeAutospacing="0" w:after="0" w:afterAutospacing="0"/>
              <w:ind w:leftChars="0" w:right="0" w:rightChars="0"/>
              <w:rPr>
                <w:color w:val="auto"/>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系统应根据卫生部《抗菌药物临床应用监测方案》中的相关规定，完成抗菌药物临床应用监测网要求的抗菌药物使用情况统计及上报工作。</w:t>
            </w:r>
          </w:p>
          <w:p>
            <w:pPr>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系统应提供手术/非手术抗菌药物使用情况调查表、门诊/急诊处方用药情况、住院患者抗菌药物使用情况统计报表的离线上报功能，可直接上传文档至监测网完成填报工作，避免二次填写。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电子药历</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系统应提供工作药历、教学药历、查房记录填写模块，同时允许用户自定义药历的显示内容。系统应提供药历提交、审阅、退回、导出流程。应提供工作量统计，按时间段分别统计药历书写量及药历审阅量。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统计分析</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系统应提供对医院合理用药指标及药品使用情况的统计分析，并能自定义显示和导出。同时提供关键字检索功能，便于快速查询指标。</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应能实现抗菌药物使用强度、抗菌药物使用率、抗菌药物使用量、I类切口手术预防用抗菌药物百分率、国家基本药物药占比同比、环比分析。</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自定义合理用药指标</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系统应提供自定义合理用药指标功能，可自行设置指标分子、分母进行统计。自定义要素包含药品、治疗金额、药品金额、处方数、病人数、药品品种数、使用量DDDs、人天数、用药医嘱条目数。</w:t>
            </w:r>
            <w:r>
              <w:rPr>
                <w:rFonts w:hint="eastAsia" w:ascii="仿宋" w:hAnsi="仿宋" w:eastAsia="仿宋" w:cs="仿宋"/>
                <w:color w:val="auto"/>
                <w:sz w:val="24"/>
                <w:szCs w:val="24"/>
                <w:highlight w:val="none"/>
                <w:lang w:eastAsia="zh-CN"/>
              </w:rPr>
              <w:t>包括：</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药品使用强度统计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药品金额、数量、DDDs统计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药品使用人次统计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注射剂/大容量注射液统计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药品品种/费用构成统计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门（急）诊大处方分析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抗菌药物使用清单及统计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基本药物使用清单及统计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重点监控合理用药药品监测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麻精药品管理处方登记表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国家三级公立医院绩效考核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药事管理专业医疗质量控制指标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全国抗菌药物临床应用管理数据统计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国家卫生健康委抗菌药物临床应用管理数据上报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全国合理用药监测系统数据统计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医疗机构药品使用监测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抗肿瘤药物临床应用情况调查表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静脉输液使用情况调查表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省、市报表中心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广东省医疗机构阳光用药信息上报</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自维护功能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系统应对医院药品属性、给药途径、给药频次、感染疾病类型、检验申请/结果/收费项目类型、手术分类、科室类型、医生抗菌药物权限、围术期用药等基础数据进行程序自动维护。权限管理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系统应对各项功能设置严格的权限管理，包括处方点评权限、报表的统计权限、打印/导出权限等。系统应提供用户操作日志、版本更新内容查询功能</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591" w:hRule="atLeast"/>
        </w:trPr>
        <w:tc>
          <w:tcPr>
            <w:tcW w:w="8472" w:type="dxa"/>
            <w:gridSpan w:val="3"/>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药物信息查询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药物信息参考</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内外上市药品的详细临床用药信息，内容包括药物的各种名称、临床应用、用法与用量、注意事项、不良反应、药物相互作用、给药说明、药理、制剂与规格等信息。应可查看特殊人群（老人、儿童、妊娠期妇女、哺乳期妇女）及特殊疾病状态（如肝功能不全、肾功能不全、心力衰竭等）患者用药的注意事项。应提供与药物临床应用密切相关的信息如不良反应处理方法、药物对检验值或诊断的影响等。 应提供高警讯药物、国外专科信息供临床参考。所有信息均应提供参考文献</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1018"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药品说明书</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“系统”应提供国家药品监督管理局（NMPA）批准的厂家药品说明书，应可查看NMPA发布的说明书修订通知。还应提供高级检索的功能。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▲妊娠哺乳用药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基于循证医学原则评价国内外药品说明书、专业数据库、专著、研究文献，对妊娠期和哺乳期药物暴露风险进行评估，提出用药建议。提供药代动力学、文献报道等供临床参考。所有信息均应提供参考文献</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用药教育</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“系统”应为专业人员提供便于辅导病人用药的信息，以通俗易懂的语言，借助图片等形式描述药品的用途、副作用、用药期间注意事项、特殊给药方式图示等信息。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ICD</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“系统”应提供ICD10、ICD-9-CM-3、肿瘤形态学编码、ICD-11和国家医疗保障DRG分组的查询功能。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ATC编码与DDD值</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“系统”应提供国内外权威机构发布的药物ATC编码与DDD值，应可查看药物对应的上市药品信息。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检验值</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“系统”应提供常用检验项目信息，应包含检验项目正常参考值范围、结果及临床意义、药物对检验结果的影响等内容。可按检验类别查询，也可按检验名称查询检验值信息。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药品基本信息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家药品监督管理局（NMPA）批准上市药品的信息，包括药品的通用名、商品名、剂型、规格、批准文号/药品编码、生产厂家，并标注基本药物、社保品种、OTC药物、兴奋药品、精神类药品、麻醉类药品、原研药、仿制药等。可查询药品生产企业获批生产的药品信息，并可查看药品说明书。可查询国家集采药品数据及替代药品参考监测范围、兴奋剂目录、国家重点监控合理用药药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临床路径</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“系统”应提供国家卫健委发布的临床路径，应覆盖临床常见疾病品种。可按临床科室分类浏览，也可按疾病关键词检索临床路径。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医药公式</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“系统”应提供常用医药公式、评分、分级标准量表等，内容涵盖了内科、外科、妇产科、儿科、神经科等，公式应提供计算功能。可按临床科室分类浏览，也可按公式名称检索。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医药时讯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“系统”应提供国内外政府网站和医药学专业数据库、核心期刊发布的最新药物研究成果、药物警戒信息、新药研发和上市资讯等内容。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医药法规</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国家基本药物</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5"/>
              </w:numPr>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“系统”应提供最新版《国家基本药物目录》中的信息，包括目录中的化学药品、生物制品以及中成药品种。</w:t>
            </w:r>
          </w:p>
          <w:p>
            <w:pPr>
              <w:keepNext w:val="0"/>
              <w:keepLines w:val="0"/>
              <w:numPr>
                <w:ilvl w:val="0"/>
                <w:numId w:val="5"/>
              </w:numPr>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▲应可查看国家基本药物目录对应的上市药品品种的信息（包括生产厂家、批准文号等）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FDA妊娠用药安全性分级</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“系统”应提供美国食品药品监督管理局（FDA）根据药物对动物和妊娠期妇女致畸危险而作的妊娠期用药安全性分级，可通过药理分类或药名检索的方式实现，查询范围为临床各科室常用药物。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▲中医药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中药材、中医方剂、中医诊疗方案、中医临床路径、中医标准术语、中医病证分类与代码等中医药信息内容。中药材：应包含权威专著中的品种信息，内容应侧重于中药材的基本属性和临床应用指导，应可便捷的查看毒性药材和妊娠期禁慎用药材。中医方剂：应包括临床常用方、中医经典方等方剂，应可查看方剂相关的附方及中成药信息。中医诊疗方案：应收录国家中医药管理局发布的诊疗方案。中医临床路径：应收录国家中医药管理局发布的临床路径。中医标准术语：应收录国家中医药管理局发布的各种临床标准术语。中医病症分类与代码：应收录国家中医药管理局发布中医病证分类与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▲EMA药品说明书</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“系统”应提供欧洲药品管理局（EMA）发布的英文原文药品说明书，英文说明书应提供中文翻译，并可便捷的查看对应的中文药品说明书</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▲FDA药品说明书</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“系统”应提供美国食品药品监督管理局(FDA)发布的英文原文药品说明书，英文说明书应提供中文翻译，并可便捷的查看对应的中文药品说明书</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▲超说明用药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“系统”应提供权威的超说明书用药信息，内容应包括用药类型、适应症、用法用量、循证医学证据等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▲儿童用药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“系统”应提供婴幼儿或儿童的用药相关信息，内容应包括儿童用药的注意事项、用法用量、药代动力学等。并提供婴幼儿或儿童用药剂量计算功能</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药物相互作用审查</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药物-药物、药物-食物、药物-咖啡因、药物-酒精、药物-保健品、保健品-保健品之间的相互作用信息，应提供西药和西药、中药和中药、中药和西药的相互作用信息。内容应包括药物相互作用的结果、机制、临床处理、严重级别、案例评价及讨论等内容。应可实现单药相互作用分析及多药相互作用审查。参考文献应包含国内外的期刊文献、数据库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注射剂配伍审查</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6"/>
              </w:numPr>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“系统”应提供注射药物配伍的信息，内容包括了注射药物配伍的物理化学变化及药效学变化、支持配伍结论的实验数据等。</w:t>
            </w:r>
          </w:p>
          <w:p>
            <w:pPr>
              <w:keepNext w:val="0"/>
              <w:keepLines w:val="0"/>
              <w:numPr>
                <w:ilvl w:val="0"/>
                <w:numId w:val="6"/>
              </w:numPr>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应可实现单药注射剂配伍分析及多药注射配伍进行审查。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其他功能</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系统应支持分类浏览、关键词检索，可通过适应症、禁忌症、不良反应、全文检索等方式检索，支持名称及拼音简码检索，支持单数据库检索及多数据库检索。</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系统应支持对药物信息进行比较。</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系统应支持数据库之间相互关联和快速跳转。</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支持手机APP在线访问。</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定期更新，更新频率应不少于10次/年。</w:t>
            </w:r>
          </w:p>
        </w:tc>
      </w:tr>
    </w:tbl>
    <w:p>
      <w:pPr>
        <w:numPr>
          <w:ilvl w:val="0"/>
          <w:numId w:val="0"/>
        </w:numPr>
        <w:autoSpaceDE w:val="0"/>
        <w:autoSpaceDN w:val="0"/>
        <w:spacing w:line="360" w:lineRule="auto"/>
        <w:ind w:firstLine="240" w:firstLineChars="1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）技术要求</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①为采购人提供的服务方式包括远程服务、电话服务和上门服务三种服务方式，7×24小时技术响应，远程和电话均不能解决时，供应商在双方约定时间内到达现场进行技术支持服务。</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②选派具有相关实施经验的技术人员负责维护工作。在维护期间，将为采购人医院设立技术档案，用于记录系统维护</w:t>
      </w:r>
      <w:r>
        <w:rPr>
          <w:rFonts w:hint="eastAsia" w:ascii="仿宋" w:hAnsi="仿宋" w:eastAsia="仿宋" w:cs="仿宋"/>
          <w:color w:val="auto"/>
          <w:sz w:val="24"/>
          <w:highlight w:val="none"/>
          <w:lang w:val="zh-CN" w:eastAsia="zh-Hans"/>
        </w:rPr>
        <w:t>记录</w:t>
      </w:r>
      <w:r>
        <w:rPr>
          <w:rFonts w:hint="eastAsia" w:ascii="仿宋" w:hAnsi="仿宋" w:eastAsia="仿宋" w:cs="仿宋"/>
          <w:color w:val="auto"/>
          <w:sz w:val="24"/>
          <w:highlight w:val="none"/>
          <w:lang w:val="zh-CN" w:eastAsia="zh-CN"/>
        </w:rPr>
        <w:t>。</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③对采购人医院所发生的Bug问题，由维护工程师进行处理，让采购人可随时追踪问题的处理状态，避免同类问题的重复发生。</w:t>
      </w:r>
    </w:p>
    <w:p>
      <w:pPr>
        <w:numPr>
          <w:ilvl w:val="0"/>
          <w:numId w:val="0"/>
        </w:numPr>
        <w:autoSpaceDE w:val="0"/>
        <w:autoSpaceDN w:val="0"/>
        <w:spacing w:line="360" w:lineRule="auto"/>
        <w:ind w:firstLine="420" w:firstLineChars="200"/>
        <w:rPr>
          <w:rFonts w:hint="eastAsia" w:ascii="仿宋" w:hAnsi="仿宋" w:eastAsia="仿宋" w:cs="仿宋"/>
          <w:b w:val="0"/>
          <w:bCs w:val="0"/>
          <w:color w:val="auto"/>
          <w:sz w:val="24"/>
          <w:highlight w:val="none"/>
          <w:lang w:val="en-US" w:eastAsia="zh-CN"/>
        </w:rPr>
      </w:pPr>
      <w:r>
        <w:rPr>
          <w:rFonts w:hint="eastAsia"/>
          <w:color w:val="auto"/>
          <w:highlight w:val="none"/>
          <w:lang w:eastAsia="zh-CN"/>
        </w:rPr>
        <w:t>④</w:t>
      </w:r>
      <w:r>
        <w:rPr>
          <w:rFonts w:hint="eastAsia" w:ascii="仿宋" w:hAnsi="仿宋" w:eastAsia="仿宋" w:cs="仿宋"/>
          <w:b w:val="0"/>
          <w:bCs w:val="0"/>
          <w:color w:val="auto"/>
          <w:sz w:val="24"/>
          <w:highlight w:val="none"/>
          <w:lang w:val="en-US" w:eastAsia="zh-CN"/>
        </w:rPr>
        <w:t>供应商应提供客服热线及网络（邮件、QQ）等渠道受理采购人问题反馈。</w:t>
      </w:r>
    </w:p>
    <w:p>
      <w:pPr>
        <w:numPr>
          <w:ilvl w:val="0"/>
          <w:numId w:val="0"/>
        </w:numPr>
        <w:autoSpaceDE w:val="0"/>
        <w:autoSpaceDN w:val="0"/>
        <w:spacing w:line="360" w:lineRule="auto"/>
        <w:ind w:firstLine="0"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对系统使用科室提出的关于系统使用、操作流程等问题进行解释和答复。</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⑤为采购人在用的合理用药信息支持系统网络版提供1年软件使用许可，并及时更新数据。</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⑥为采购人提供已有合理用药系统（合理用药监测系统V4.3、PASS临床药学管理系统V3.0、合理用药信息支持系统网络版V3.4）与新HIS对接的服务，包括产品安装部署、接口联调，科室试运行及全面上线，实现上述项目技术要求清单功能。</w:t>
      </w:r>
    </w:p>
    <w:p>
      <w:pPr>
        <w:numPr>
          <w:ilvl w:val="0"/>
          <w:numId w:val="0"/>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val="zh-CN" w:eastAsia="zh-CN"/>
        </w:rPr>
        <w:t>商务要求</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报价要求：</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）报价方式为供应商以总价及分项报价的方式进行报价，需提供维保服务和</w:t>
      </w:r>
      <w:r>
        <w:rPr>
          <w:rFonts w:hint="eastAsia" w:ascii="仿宋" w:hAnsi="仿宋" w:eastAsia="仿宋" w:cs="仿宋"/>
          <w:color w:val="auto"/>
          <w:sz w:val="24"/>
          <w:highlight w:val="none"/>
          <w:lang w:val="en-US" w:eastAsia="zh-CN"/>
        </w:rPr>
        <w:t>与新HIS对接</w:t>
      </w:r>
      <w:r>
        <w:rPr>
          <w:rFonts w:hint="eastAsia" w:ascii="仿宋" w:hAnsi="仿宋" w:eastAsia="仿宋" w:cs="仿宋"/>
          <w:color w:val="auto"/>
          <w:sz w:val="24"/>
          <w:highlight w:val="none"/>
          <w:lang w:val="zh-CN" w:eastAsia="zh-CN"/>
        </w:rPr>
        <w:t>服务的分项报价，为整体项目包干价。</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）报价中必须包括服务过程产生的但不限于人工、工具使用、各项税费及合同实施过程中的应预见和不可预见费用等完成合同规定责任和义务、达到合同目的的一切费用及企业利润。</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供应商必须自行考虑本项目在实施期间的一切可能产生的费用。在合同执行过程中，采购人将不再另行支付与本项目相关的任何费用。</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2.服务期限及</w:t>
      </w:r>
      <w:r>
        <w:rPr>
          <w:rFonts w:hint="eastAsia" w:ascii="仿宋" w:hAnsi="仿宋" w:eastAsia="仿宋" w:cs="仿宋"/>
          <w:color w:val="auto"/>
          <w:sz w:val="24"/>
          <w:highlight w:val="none"/>
          <w:lang w:val="zh-CN" w:eastAsia="zh-CN"/>
        </w:rPr>
        <w:t>维保</w:t>
      </w:r>
      <w:r>
        <w:rPr>
          <w:rFonts w:hint="eastAsia" w:ascii="仿宋" w:hAnsi="仿宋" w:eastAsia="仿宋" w:cs="仿宋"/>
          <w:color w:val="auto"/>
          <w:sz w:val="24"/>
          <w:highlight w:val="none"/>
          <w:lang w:val="en-US" w:eastAsia="zh-CN"/>
        </w:rPr>
        <w:t>服务期：</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strike w:val="0"/>
          <w:dstrike w:val="0"/>
          <w:color w:val="auto"/>
          <w:sz w:val="24"/>
          <w:szCs w:val="24"/>
          <w:highlight w:val="none"/>
          <w:lang w:val="zh-CN" w:eastAsia="zh-CN"/>
        </w:rPr>
        <w:t>接口开发服务期：自合同签订后</w:t>
      </w:r>
      <w:r>
        <w:rPr>
          <w:rFonts w:hint="eastAsia" w:ascii="仿宋" w:hAnsi="仿宋" w:eastAsia="仿宋" w:cs="仿宋"/>
          <w:strike w:val="0"/>
          <w:dstrike w:val="0"/>
          <w:color w:val="auto"/>
          <w:sz w:val="24"/>
          <w:szCs w:val="24"/>
          <w:highlight w:val="none"/>
          <w:lang w:val="en-US" w:eastAsia="zh-CN"/>
        </w:rPr>
        <w:t>30个工作日</w:t>
      </w:r>
      <w:r>
        <w:rPr>
          <w:rFonts w:hint="eastAsia" w:ascii="仿宋" w:hAnsi="仿宋" w:eastAsia="仿宋" w:cs="仿宋"/>
          <w:strike w:val="0"/>
          <w:dstrike w:val="0"/>
          <w:color w:val="auto"/>
          <w:sz w:val="24"/>
          <w:szCs w:val="24"/>
          <w:highlight w:val="none"/>
          <w:lang w:val="zh-CN" w:eastAsia="zh-CN"/>
        </w:rPr>
        <w:t>内完成实施、上线及验收。</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维保服务维护期：自合同签订后一年。</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zh-CN" w:eastAsia="zh-CN"/>
        </w:rPr>
        <w:t>付款方式：</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（1）第一期：本期金额为与新HIS对接服务金额的30%及维护服务金额的30%。合同签订后20个工作日内支付当期金额。 </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（2）第二期：本期金额为与新HIS对接服务金额的70%。服务完成并通过验收后20个工作日内支付当期金额。</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第三期：本期金额为维护服务金额的70%。维护服务期结束，按两次考核平均结果，20个工作日内支付当期金额。具体如下：90分及以上，不扣除服务费用；低于90分但高于等于60分，扣除当期服务费用20％；低于60分，扣除当期服务费用50%。</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（4）支付方式采用银行转账方式。</w:t>
      </w:r>
    </w:p>
    <w:p>
      <w:pPr>
        <w:numPr>
          <w:ilvl w:val="0"/>
          <w:numId w:val="0"/>
        </w:numPr>
        <w:autoSpaceDE w:val="0"/>
        <w:autoSpaceDN w:val="0"/>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（5）供应商必须向采购人出具合法有效完整的完税发票及凭证进行支付结算。</w:t>
      </w:r>
    </w:p>
    <w:p>
      <w:pPr>
        <w:numPr>
          <w:ilvl w:val="0"/>
          <w:numId w:val="0"/>
        </w:numPr>
        <w:autoSpaceDE w:val="0"/>
        <w:autoSpaceDN w:val="0"/>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val="zh-CN" w:eastAsia="zh-CN"/>
        </w:rPr>
        <w:t>验收</w:t>
      </w:r>
    </w:p>
    <w:p>
      <w:pPr>
        <w:pStyle w:val="7"/>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验收标准：以本项目的采购文件、响应文件、合同等作为验收依据。</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总体验收：供应商应为验收提供所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在采购人的监督下，服务过程中的各项工作和文档，须达到采购文件中技术要求的标准。</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val="zh-CN" w:eastAsia="zh-CN"/>
        </w:rPr>
        <w:t>保密条款</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供应商必须严格保守对因本项目的服务从采购人所获取的信息秘密，在未取得采购人书面同意的情况下，不得以任何形式向第三方披露。在依法必须披露的情况下，供应商应当立即通知采购人，除非按照法律规定或生效命令不得为之。</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）保密义务不因合同履行完毕或解除而终止，除非保密信息已经对外披露或者公众所知。</w:t>
      </w:r>
    </w:p>
    <w:p>
      <w:pPr>
        <w:numPr>
          <w:ilvl w:val="0"/>
          <w:numId w:val="0"/>
        </w:numPr>
        <w:autoSpaceDE w:val="0"/>
        <w:autoSpaceDN w:val="0"/>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r>
        <w:rPr>
          <w:rFonts w:hint="default" w:ascii="仿宋" w:hAnsi="仿宋" w:eastAsia="仿宋" w:cs="仿宋"/>
          <w:b w:val="0"/>
          <w:bCs w:val="0"/>
          <w:color w:val="auto"/>
          <w:sz w:val="24"/>
          <w:highlight w:val="none"/>
          <w:lang w:val="en-US" w:eastAsia="zh-CN"/>
        </w:rPr>
        <w:t>其它要求</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要求供应商</w:t>
      </w:r>
      <w:r>
        <w:rPr>
          <w:rFonts w:hint="default" w:ascii="仿宋" w:hAnsi="仿宋" w:eastAsia="仿宋" w:cs="仿宋"/>
          <w:color w:val="auto"/>
          <w:kern w:val="0"/>
          <w:sz w:val="24"/>
          <w:szCs w:val="24"/>
          <w:highlight w:val="none"/>
          <w:lang w:val="en-US" w:eastAsia="zh-CN"/>
        </w:rPr>
        <w:t>提供完善的培训体系及培训方案，</w:t>
      </w:r>
      <w:r>
        <w:rPr>
          <w:rFonts w:hint="default" w:ascii="仿宋" w:hAnsi="仿宋" w:eastAsia="仿宋" w:cs="仿宋"/>
          <w:color w:val="auto"/>
          <w:sz w:val="24"/>
          <w:highlight w:val="none"/>
          <w:lang w:val="en-US" w:eastAsia="zh-CN"/>
        </w:rPr>
        <w:t>能够为采购人提供专业的培训。</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要求供应商提供科学性、合理性、实施可行性、可靠性等的项目方案；</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要求供应商提供</w:t>
      </w:r>
      <w:r>
        <w:rPr>
          <w:rFonts w:hint="eastAsia" w:ascii="仿宋" w:hAnsi="仿宋" w:eastAsia="仿宋" w:cs="仿宋"/>
          <w:color w:val="auto"/>
          <w:kern w:val="0"/>
          <w:sz w:val="24"/>
          <w:highlight w:val="none"/>
          <w:lang w:eastAsia="zh-Hans"/>
        </w:rPr>
        <w:t>企业技术和服务保障实力</w:t>
      </w:r>
      <w:r>
        <w:rPr>
          <w:rFonts w:hint="default" w:ascii="仿宋" w:hAnsi="仿宋" w:eastAsia="仿宋" w:cs="仿宋"/>
          <w:color w:val="auto"/>
          <w:sz w:val="24"/>
          <w:highlight w:val="none"/>
          <w:lang w:val="en-US" w:eastAsia="zh-CN"/>
        </w:rPr>
        <w:t>；</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default" w:ascii="仿宋" w:hAnsi="仿宋" w:eastAsia="仿宋" w:cs="仿宋"/>
          <w:color w:val="auto"/>
          <w:sz w:val="24"/>
          <w:highlight w:val="none"/>
          <w:lang w:val="en-US" w:eastAsia="zh-CN"/>
        </w:rPr>
        <w:t>要求供应商提供</w:t>
      </w:r>
      <w:r>
        <w:rPr>
          <w:rFonts w:hint="eastAsia" w:ascii="仿宋" w:hAnsi="仿宋" w:eastAsia="仿宋" w:cs="仿宋"/>
          <w:color w:val="auto"/>
          <w:sz w:val="24"/>
          <w:highlight w:val="none"/>
          <w:lang w:val="en-US" w:eastAsia="zh-CN"/>
        </w:rPr>
        <w:t>2022年</w:t>
      </w:r>
      <w:r>
        <w:rPr>
          <w:rFonts w:hint="default" w:ascii="仿宋" w:hAnsi="仿宋" w:eastAsia="仿宋" w:cs="仿宋"/>
          <w:color w:val="auto"/>
          <w:sz w:val="24"/>
          <w:highlight w:val="none"/>
          <w:lang w:val="en-US" w:eastAsia="zh-CN"/>
        </w:rPr>
        <w:t>1月1日至今（以合同签订时间为准）的同类项目业绩数量情况；</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要求供应商提供</w:t>
      </w:r>
      <w:r>
        <w:rPr>
          <w:rFonts w:hint="eastAsia" w:ascii="仿宋" w:hAnsi="仿宋" w:eastAsia="仿宋" w:cs="仿宋"/>
          <w:color w:val="auto"/>
          <w:sz w:val="24"/>
          <w:szCs w:val="24"/>
          <w:highlight w:val="none"/>
        </w:rPr>
        <w:t>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w:t>
      </w:r>
      <w:r>
        <w:rPr>
          <w:rFonts w:hint="eastAsia" w:ascii="仿宋" w:hAnsi="仿宋" w:eastAsia="仿宋" w:cs="仿宋"/>
          <w:color w:val="auto"/>
          <w:sz w:val="24"/>
          <w:szCs w:val="24"/>
          <w:highlight w:val="none"/>
          <w:lang w:eastAsia="zh-CN"/>
        </w:rPr>
        <w:t>括但不限于</w:t>
      </w:r>
      <w:r>
        <w:rPr>
          <w:rFonts w:hint="eastAsia" w:ascii="仿宋" w:hAnsi="仿宋" w:eastAsia="仿宋" w:cs="仿宋"/>
          <w:color w:val="auto"/>
          <w:sz w:val="24"/>
          <w:szCs w:val="24"/>
          <w:highlight w:val="none"/>
        </w:rPr>
        <w:t>质保期、维护保养方案、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的及时性、安排的合理性等</w:t>
      </w:r>
      <w:r>
        <w:rPr>
          <w:rFonts w:hint="eastAsia" w:ascii="仿宋" w:hAnsi="仿宋" w:eastAsia="仿宋" w:cs="仿宋"/>
          <w:color w:val="auto"/>
          <w:sz w:val="24"/>
          <w:szCs w:val="24"/>
          <w:highlight w:val="none"/>
          <w:lang w:eastAsia="zh-CN"/>
        </w:rPr>
        <w:t>；</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（6）要求供应商具备履约能力（包括为本项目投入的项目团队、人员构成、分工等各方面）</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7.考核方式</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每半年进行一次服务考核评估，考核不合格可要求更换技术人员或终止合作。</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0"/>
        <w:gridCol w:w="2520"/>
        <w:gridCol w:w="1580"/>
        <w:gridCol w:w="107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指标（分值）</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具体考评内容</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扣分规则</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科室评分（40%）</w:t>
            </w: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信息部评分（60%））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员工形象（10分）</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着装整洁、文明用语，行为端正，驻场人员佩戴工牌上岗，不在院内抽烟。</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2.服务的工程师均经过公司的专业培训认证及资质认证，符合合同要求。</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每发现1例不符合扣5分，扣完为止。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服务态度（10分）</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用心聆听，不推卸责任，不推诿工作。</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每发现1例不符合扣5分，扣完为止。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工作纪律（10</w:t>
            </w:r>
            <w:r>
              <w:rPr>
                <w:rFonts w:hint="eastAsia" w:ascii="仿宋" w:hAnsi="仿宋" w:eastAsia="仿宋" w:cs="仿宋"/>
                <w:color w:val="auto"/>
                <w:highlight w:val="none"/>
                <w:lang w:eastAsia="zh-CN"/>
              </w:rPr>
              <w:t>分</w:t>
            </w:r>
            <w:r>
              <w:rPr>
                <w:rFonts w:hint="eastAsia" w:ascii="仿宋" w:hAnsi="仿宋" w:eastAsia="仿宋" w:cs="仿宋"/>
                <w:color w:val="auto"/>
                <w:highlight w:val="none"/>
              </w:rPr>
              <w:t>）</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1.如遇可能影响业务正常运行的特殊情况，应当及时与信息部人员联系。</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2.进入临床业务科室前需告知信息部人员。</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kern w:val="0"/>
                <w:highlight w:val="none"/>
              </w:rPr>
              <w:t>不得违反实时政策要求、院内管理规定等。</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每发现1例不符合扣5分，扣完为止。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服务响应及处理（20分）</w:t>
            </w:r>
          </w:p>
        </w:tc>
        <w:tc>
          <w:tcPr>
            <w:tcW w:w="2520" w:type="dxa"/>
            <w:noWrap w:val="0"/>
            <w:vAlign w:val="center"/>
          </w:tcPr>
          <w:p>
            <w:pPr>
              <w:pStyle w:val="21"/>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1.维护电话24小时保持畅通。</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2.按合同约定时限及时派出技术人员进行故障处理。</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对当次服务相应及处理不满意并提出书面投诉，经由双方调查核实后，每次投诉扣5分，扣完为止。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320" w:type="dxa"/>
            <w:noWrap w:val="0"/>
            <w:vAlign w:val="center"/>
          </w:tcPr>
          <w:p>
            <w:pPr>
              <w:keepNext w:val="0"/>
              <w:keepLines w:val="0"/>
              <w:suppressLineNumbers w:val="0"/>
              <w:tabs>
                <w:tab w:val="left" w:pos="8085"/>
              </w:tabs>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跟踪维护支持（20分）</w:t>
            </w:r>
          </w:p>
        </w:tc>
        <w:tc>
          <w:tcPr>
            <w:tcW w:w="2520" w:type="dxa"/>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1.应及时和医院沟通了解是否运行正常，及时告知可能造成系统软件故障的潜在问题并提供解决方案。</w:t>
            </w:r>
          </w:p>
          <w:p>
            <w:pPr>
              <w:keepNext w:val="0"/>
              <w:keepLines w:val="0"/>
              <w:suppressLineNumbers w:val="0"/>
              <w:tabs>
                <w:tab w:val="left" w:pos="8085"/>
              </w:tabs>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2.与业务科室、信息部沟通系统使用效果。</w:t>
            </w:r>
          </w:p>
        </w:tc>
        <w:tc>
          <w:tcPr>
            <w:tcW w:w="1580" w:type="dxa"/>
            <w:noWrap w:val="0"/>
            <w:vAlign w:val="center"/>
          </w:tcPr>
          <w:p>
            <w:pPr>
              <w:keepNext w:val="0"/>
              <w:keepLines w:val="0"/>
              <w:suppressLineNumbers w:val="0"/>
              <w:tabs>
                <w:tab w:val="left" w:pos="8085"/>
              </w:tabs>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对跟踪维护支持不满意并提出书面投诉，经由双方调查核实后，每次扣5分，扣完为止。</w:t>
            </w:r>
          </w:p>
        </w:tc>
        <w:tc>
          <w:tcPr>
            <w:tcW w:w="1076" w:type="dxa"/>
            <w:noWrap w:val="0"/>
            <w:vAlign w:val="center"/>
          </w:tcPr>
          <w:p>
            <w:pPr>
              <w:keepNext w:val="0"/>
              <w:keepLines w:val="0"/>
              <w:suppressLineNumbers w:val="0"/>
              <w:tabs>
                <w:tab w:val="left" w:pos="8085"/>
              </w:tabs>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tabs>
                <w:tab w:val="left" w:pos="8085"/>
              </w:tabs>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服务质量（30分）</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1.避免引起系统故障、部分功能失常等情况。</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rPr>
              <w:t>2.提供的服务有效，即故障处理后不会反复出现，功能实现后不因乙方原因反复修改等。</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rPr>
              <w:t>3.在服务过程中准确记录时间、事件经过、处理方法及对接人员，按规范要求进行归档，以便事后进行查验。</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对当次服务质量不满意并提出书面投诉，经由双方调查核实后，每次扣5分，扣完为止。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135" w:type="dxa"/>
            <w:gridSpan w:val="4"/>
            <w:noWrap w:val="0"/>
            <w:vAlign w:val="center"/>
          </w:tcPr>
          <w:p>
            <w:pPr>
              <w:keepNext w:val="0"/>
              <w:keepLines w:val="0"/>
              <w:suppressLineNumbers w:val="0"/>
              <w:snapToGrid w:val="0"/>
              <w:spacing w:before="0" w:beforeAutospacing="0" w:after="0" w:afterAutospacing="0" w:line="240" w:lineRule="auto"/>
              <w:ind w:left="0" w:right="0"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得分</w:t>
            </w:r>
          </w:p>
        </w:tc>
        <w:tc>
          <w:tcPr>
            <w:tcW w:w="2393" w:type="dxa"/>
            <w:gridSpan w:val="2"/>
            <w:noWrap w:val="0"/>
            <w:vAlign w:val="center"/>
          </w:tcPr>
          <w:p>
            <w:pPr>
              <w:keepNext w:val="0"/>
              <w:keepLines w:val="0"/>
              <w:suppressLineNumbers w:val="0"/>
              <w:snapToGrid w:val="0"/>
              <w:spacing w:before="0" w:beforeAutospacing="0" w:after="0" w:afterAutospacing="0" w:line="240" w:lineRule="auto"/>
              <w:ind w:left="0" w:right="0" w:firstLine="480"/>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8" w:type="dxa"/>
            <w:gridSpan w:val="6"/>
            <w:noWrap w:val="0"/>
            <w:vAlign w:val="center"/>
          </w:tcPr>
          <w:p>
            <w:pPr>
              <w:keepNext w:val="0"/>
              <w:keepLines w:val="0"/>
              <w:suppressLineNumbers w:val="0"/>
              <w:tabs>
                <w:tab w:val="left" w:pos="312"/>
              </w:tabs>
              <w:snapToGrid w:val="0"/>
              <w:spacing w:before="0" w:beforeAutospacing="0" w:after="0" w:afterAutospacing="0" w:line="240" w:lineRule="auto"/>
              <w:ind w:left="0" w:right="0"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扣分事项需附加材料</w:t>
            </w:r>
          </w:p>
        </w:tc>
      </w:tr>
    </w:tbl>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pPr>
        <w:pStyle w:val="11"/>
        <w:adjustRightInd w:val="0"/>
        <w:snapToGrid w:val="0"/>
        <w:spacing w:line="380" w:lineRule="exact"/>
        <w:rPr>
          <w:rFonts w:hint="eastAsia" w:ascii="仿宋" w:hAnsi="仿宋" w:eastAsia="仿宋" w:cs="仿宋"/>
          <w:color w:val="auto"/>
          <w:sz w:val="28"/>
          <w:szCs w:val="28"/>
          <w:highlight w:val="none"/>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11"/>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11"/>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11"/>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11"/>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11"/>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11"/>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1"/>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1"/>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11"/>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11"/>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残疾人福利性单位视同小型、微型企业，享受评审中价格扣除。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11"/>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1"/>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11"/>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11"/>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11"/>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11"/>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11"/>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11"/>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11"/>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11"/>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11"/>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11"/>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11"/>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11"/>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11"/>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1"/>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11"/>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2.1</w:t>
      </w:r>
      <w:r>
        <w:rPr>
          <w:rFonts w:hint="eastAsia" w:ascii="仿宋" w:hAnsi="仿宋" w:eastAsia="仿宋" w:cs="仿宋"/>
          <w:b/>
          <w:color w:val="auto"/>
          <w:sz w:val="24"/>
          <w:szCs w:val="24"/>
          <w:highlight w:val="none"/>
        </w:rPr>
        <w:t>评审方法</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2.2</w:t>
      </w:r>
      <w:r>
        <w:rPr>
          <w:rFonts w:hint="eastAsia" w:ascii="仿宋" w:hAnsi="仿宋" w:eastAsia="仿宋" w:cs="仿宋"/>
          <w:b/>
          <w:color w:val="auto"/>
          <w:sz w:val="24"/>
          <w:szCs w:val="24"/>
          <w:highlight w:val="none"/>
        </w:rPr>
        <w:t>评审步骤</w:t>
      </w:r>
    </w:p>
    <w:p>
      <w:pPr>
        <w:pStyle w:val="11"/>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宣读评审纪律</w:t>
      </w:r>
    </w:p>
    <w:p>
      <w:pPr>
        <w:pStyle w:val="11"/>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11"/>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响应文件的资格性、符合性审查</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1"/>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8"/>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keepNext w:val="0"/>
              <w:keepLines w:val="0"/>
              <w:suppressLineNumbers w:val="0"/>
              <w:spacing w:before="0" w:beforeAutospacing="0" w:after="0" w:afterAutospacing="0" w:line="380" w:lineRule="exact"/>
              <w:ind w:left="0" w:right="0"/>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keepNext w:val="0"/>
              <w:keepLines w:val="0"/>
              <w:suppressLineNumbers w:val="0"/>
              <w:spacing w:before="0" w:beforeAutospacing="0" w:after="0" w:afterAutospacing="0" w:line="380" w:lineRule="exact"/>
              <w:ind w:left="-171" w:right="0"/>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2022年</w:t>
            </w:r>
            <w:r>
              <w:rPr>
                <w:rFonts w:hint="eastAsia" w:ascii="仿宋" w:hAnsi="仿宋" w:eastAsia="仿宋" w:cs="仿宋"/>
                <w:color w:val="auto"/>
                <w:highlight w:val="none"/>
              </w:rPr>
              <w:t>至今任意一年经审计的审计报告复印件（包含审计报告中所涉及的财务报表和报表附注）；或②</w:t>
            </w:r>
            <w:r>
              <w:rPr>
                <w:rFonts w:hint="eastAsia" w:ascii="仿宋" w:hAnsi="仿宋" w:eastAsia="仿宋" w:cs="仿宋"/>
                <w:color w:val="auto"/>
                <w:highlight w:val="none"/>
                <w:lang w:eastAsia="zh-CN"/>
              </w:rPr>
              <w:t>2022年</w:t>
            </w:r>
            <w:r>
              <w:rPr>
                <w:rFonts w:hint="eastAsia" w:ascii="仿宋" w:hAnsi="仿宋" w:eastAsia="仿宋" w:cs="仿宋"/>
                <w:color w:val="auto"/>
                <w:highlight w:val="none"/>
              </w:rPr>
              <w:t>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w:t>
            </w:r>
            <w:r>
              <w:rPr>
                <w:rFonts w:hint="eastAsia" w:ascii="仿宋" w:hAnsi="仿宋" w:eastAsia="仿宋" w:cs="仿宋"/>
                <w:color w:val="auto"/>
                <w:szCs w:val="21"/>
                <w:highlight w:val="none"/>
              </w:rPr>
              <w:t>要缴纳）</w:t>
            </w:r>
            <w:r>
              <w:rPr>
                <w:rFonts w:hint="eastAsia" w:ascii="仿宋" w:hAnsi="仿宋" w:eastAsia="仿宋" w:cs="仿宋"/>
                <w:color w:val="auto"/>
                <w:szCs w:val="21"/>
                <w:highlight w:val="none"/>
                <w:lang w:eastAsia="zh-CN"/>
              </w:rPr>
              <w:t>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11.落实政府采购政策需满足的资格要求</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本项目是专门面向中小企业采购的项目，供应商应为中小微企业。（提供《中小企业声明函》,具体格式文件见比选文件</w:t>
            </w:r>
            <w:r>
              <w:rPr>
                <w:rFonts w:hint="eastAsia" w:ascii="仿宋" w:hAnsi="仿宋" w:eastAsia="仿宋" w:cs="仿宋"/>
                <w:b/>
                <w:bCs/>
                <w:color w:val="auto"/>
                <w:szCs w:val="21"/>
                <w:highlight w:val="none"/>
              </w:rPr>
              <w:t>P</w:t>
            </w:r>
            <w:r>
              <w:rPr>
                <w:rFonts w:hint="eastAsia" w:ascii="仿宋" w:hAnsi="仿宋" w:eastAsia="仿宋" w:cs="仿宋"/>
                <w:b/>
                <w:bCs/>
                <w:color w:val="auto"/>
                <w:szCs w:val="21"/>
                <w:highlight w:val="none"/>
                <w:lang w:val="en-US" w:eastAsia="zh-CN"/>
              </w:rPr>
              <w:t>52</w:t>
            </w:r>
            <w:r>
              <w:rPr>
                <w:rFonts w:hint="eastAsia" w:ascii="仿宋" w:hAnsi="仿宋" w:eastAsia="仿宋" w:cs="仿宋"/>
                <w:color w:val="auto"/>
                <w:szCs w:val="21"/>
                <w:highlight w:val="none"/>
              </w:rPr>
              <w:t>中小企业声明函，未按要求提供声明函的将导致响应无效）。本项目中小企业划分标准所属行业为：软件和信息技术服务业</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12.报名</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61" w:type="dxa"/>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keepNext w:val="0"/>
              <w:keepLines w:val="0"/>
              <w:suppressLineNumbers w:val="0"/>
              <w:tabs>
                <w:tab w:val="left" w:pos="2880"/>
              </w:tabs>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11"/>
        <w:adjustRightInd w:val="0"/>
        <w:snapToGrid w:val="0"/>
        <w:spacing w:line="360" w:lineRule="auto"/>
        <w:ind w:right="32"/>
        <w:rPr>
          <w:rFonts w:hint="eastAsia" w:ascii="仿宋" w:hAnsi="仿宋" w:eastAsia="仿宋" w:cs="仿宋"/>
          <w:b w:val="0"/>
          <w:bCs/>
          <w:color w:val="auto"/>
          <w:sz w:val="24"/>
          <w:szCs w:val="24"/>
          <w:highlight w:val="none"/>
        </w:rPr>
      </w:pPr>
    </w:p>
    <w:p>
      <w:pPr>
        <w:pStyle w:val="11"/>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①</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②评审小组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11"/>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③评审小组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11"/>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8"/>
        <w:tblW w:w="8729" w:type="dxa"/>
        <w:tblInd w:w="0" w:type="dxa"/>
        <w:tblLayout w:type="fixed"/>
        <w:tblCellMar>
          <w:top w:w="0" w:type="dxa"/>
          <w:left w:w="108" w:type="dxa"/>
          <w:bottom w:w="0" w:type="dxa"/>
          <w:right w:w="108" w:type="dxa"/>
        </w:tblCellMar>
      </w:tblPr>
      <w:tblGrid>
        <w:gridCol w:w="750"/>
        <w:gridCol w:w="1794"/>
        <w:gridCol w:w="71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对“技术标准与要求”的响应程度(▲号条款)(</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trike w:val="0"/>
                <w:color w:val="auto"/>
                <w:kern w:val="0"/>
                <w:sz w:val="24"/>
                <w:szCs w:val="24"/>
                <w:highlight w:val="none"/>
                <w:lang w:val="en-US" w:eastAsia="zh-CN"/>
              </w:rPr>
              <w:t>30</w:t>
            </w:r>
            <w:r>
              <w:rPr>
                <w:rFonts w:hint="eastAsia" w:ascii="仿宋" w:hAnsi="仿宋" w:eastAsia="仿宋" w:cs="仿宋"/>
                <w:color w:val="auto"/>
                <w:kern w:val="0"/>
                <w:sz w:val="24"/>
                <w:szCs w:val="24"/>
                <w:highlight w:val="none"/>
                <w:lang w:val="en-US" w:eastAsia="zh-CN"/>
              </w:rPr>
              <w:t>分)</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strike w:val="0"/>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对用户服务需求中带▲号的响应程度进行评分：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完全满足带▲号的一般技术参数，得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有一项带▲号条款负偏离，得</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 xml:space="preserve">分；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有二项带▲号条款负偏离，得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以此类推，当带▲号条款负偏离达到</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项（含）以上时，视为严重偏离此评分项不得分。</w:t>
            </w:r>
          </w:p>
          <w:p>
            <w:pPr>
              <w:keepNext w:val="0"/>
              <w:keepLines w:val="0"/>
              <w:widowControl/>
              <w:spacing w:before="0" w:after="0"/>
              <w:jc w:val="left"/>
              <w:rPr>
                <w:rFonts w:hint="eastAsia"/>
                <w:color w:val="auto"/>
                <w:highlight w:val="none"/>
                <w:lang w:val="en-US" w:eastAsia="zh-CN"/>
              </w:rPr>
            </w:pPr>
            <w:r>
              <w:rPr>
                <w:rFonts w:hint="eastAsia" w:ascii="仿宋" w:hAnsi="仿宋" w:eastAsia="仿宋" w:cs="仿宋"/>
                <w:color w:val="auto"/>
                <w:sz w:val="24"/>
                <w:szCs w:val="24"/>
                <w:highlight w:val="none"/>
                <w:lang w:eastAsia="zh-CN"/>
              </w:rPr>
              <w:t>注：在每项带“▲”号的技术条款中，若要求提供佐证材料的则须按要求提供，未按采购文件要求提供证明材料的技术参数，以响应文件格式技术和服务要求响应表为准。</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对“技术标准与要求”的响应程度(非▲号条款)(1</w:t>
            </w:r>
            <w:r>
              <w:rPr>
                <w:rFonts w:hint="eastAsia" w:ascii="仿宋" w:hAnsi="仿宋" w:eastAsia="仿宋" w:cs="仿宋"/>
                <w:strike w:val="0"/>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US" w:eastAsia="zh-CN"/>
              </w:rPr>
              <w:t>分)</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对用户服务需求中不带▲号的响应程度进行评分：</w:t>
            </w:r>
          </w:p>
          <w:p>
            <w:pPr>
              <w:keepNext w:val="0"/>
              <w:keepLines w:val="0"/>
              <w:widowControl/>
              <w:spacing w:before="0" w:after="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完全满足技术参数要求中不带▲号的一般技术参数，得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w:t>
            </w:r>
          </w:p>
          <w:p>
            <w:pPr>
              <w:keepNext w:val="0"/>
              <w:keepLines w:val="0"/>
              <w:widowControl/>
              <w:spacing w:before="0" w:after="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有一项不带▲号条款负偏离，得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分；</w:t>
            </w:r>
          </w:p>
          <w:p>
            <w:pPr>
              <w:keepNext w:val="0"/>
              <w:keepLines w:val="0"/>
              <w:widowControl/>
              <w:spacing w:before="0" w:after="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有二项不带▲号条款负偏离，得</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分；</w:t>
            </w:r>
          </w:p>
          <w:p>
            <w:pPr>
              <w:keepNext w:val="0"/>
              <w:keepLines w:val="0"/>
              <w:widowControl/>
              <w:spacing w:before="0" w:after="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有三项不带▲号条款负偏离，得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分；</w:t>
            </w:r>
          </w:p>
          <w:p>
            <w:pPr>
              <w:keepNext w:val="0"/>
              <w:keepLines w:val="0"/>
              <w:widowControl/>
              <w:spacing w:before="0" w:after="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以此类推，当不带▲号条款负偏离达到</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项（含）以上时，视为严重偏离此评分项不得分。</w:t>
            </w:r>
          </w:p>
          <w:p>
            <w:pPr>
              <w:keepNext w:val="0"/>
              <w:keepLines w:val="0"/>
              <w:widowControl/>
              <w:spacing w:before="0" w:after="0"/>
              <w:jc w:val="left"/>
              <w:rPr>
                <w:rFonts w:hint="eastAsia"/>
                <w:color w:val="auto"/>
                <w:highlight w:val="none"/>
                <w:lang w:eastAsia="zh-CN"/>
              </w:rPr>
            </w:pPr>
            <w:r>
              <w:rPr>
                <w:rFonts w:hint="eastAsia" w:ascii="仿宋" w:hAnsi="仿宋" w:eastAsia="仿宋" w:cs="仿宋"/>
                <w:color w:val="auto"/>
                <w:sz w:val="24"/>
                <w:szCs w:val="24"/>
                <w:highlight w:val="none"/>
                <w:lang w:eastAsia="zh-CN"/>
              </w:rPr>
              <w:t>注：采购文件未要求提供证明材料的技术参数，以响应文件格式技术要求响应表为准。</w:t>
            </w:r>
          </w:p>
        </w:tc>
      </w:tr>
      <w:tr>
        <w:tblPrEx>
          <w:tblCellMar>
            <w:top w:w="0" w:type="dxa"/>
            <w:left w:w="108" w:type="dxa"/>
            <w:bottom w:w="0" w:type="dxa"/>
            <w:right w:w="108" w:type="dxa"/>
          </w:tblCellMar>
        </w:tblPrEx>
        <w:trPr>
          <w:trHeight w:val="379"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项目服务方案</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根据响应供应商所提供的技术方案内容进行评价：</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方案详细周全、科学合理、针对性强的，得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方案基本合理、清晰可行的，得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方案较简略、针对性不强的，得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未提供方案的，得0分。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eastAsia="zh-Hans"/>
              </w:rPr>
              <w:t>企业技术和服务保障实力</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响应供应商具备以下有效证书的，每提供一项得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分，最高得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具有质量管理体系认证证书；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具有环境管理体系认证证书；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具有职业健康安全管理体系认证证书。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 xml:space="preserve">注：响应供应商需提供证书扫描件及在全国认证认可信息公共服务平台上对证书的查询结果截图为证明材料，并加盖响应供应商公章，否则不得分。 </w:t>
            </w:r>
          </w:p>
        </w:tc>
      </w:tr>
      <w:tr>
        <w:tblPrEx>
          <w:tblCellMar>
            <w:top w:w="0" w:type="dxa"/>
            <w:left w:w="108" w:type="dxa"/>
            <w:bottom w:w="0" w:type="dxa"/>
            <w:right w:w="108" w:type="dxa"/>
          </w:tblCellMar>
        </w:tblPrEx>
        <w:trPr>
          <w:trHeight w:val="24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履约能力</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rPr>
                <w:rFonts w:hint="eastAsia"/>
                <w:color w:val="auto"/>
                <w:highlight w:val="none"/>
                <w:lang w:val="en-US" w:eastAsia="zh-CN"/>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US" w:eastAsia="zh-CN"/>
              </w:rPr>
              <w:t>为本项目投入的项目团队、人员构成、分工、等各方面进行综合评比：</w:t>
            </w:r>
          </w:p>
          <w:p>
            <w:pPr>
              <w:keepNext w:val="0"/>
              <w:keepLines w:val="0"/>
              <w:widowControl/>
              <w:numPr>
                <w:ilvl w:val="0"/>
                <w:numId w:val="7"/>
              </w:numPr>
              <w:suppressLineNumbers w:val="0"/>
              <w:spacing w:before="0" w:beforeAutospacing="0" w:after="0" w:afterAutospacing="0"/>
              <w:ind w:left="0"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人员岗位职责明确、技术服务团队专业结构合理、人员岗位计划安排合理的，得5分；</w:t>
            </w:r>
          </w:p>
          <w:p>
            <w:pPr>
              <w:keepNext w:val="0"/>
              <w:keepLines w:val="0"/>
              <w:widowControl/>
              <w:numPr>
                <w:ilvl w:val="0"/>
                <w:numId w:val="7"/>
              </w:numPr>
              <w:suppressLineNumbers w:val="0"/>
              <w:spacing w:before="0" w:beforeAutospacing="0" w:after="0" w:afterAutospacing="0"/>
              <w:ind w:left="0" w:right="0" w:rightChars="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人员岗位职责较明确、技术服务团队专业结构较合理、人员岗位计划安排较合理，得3分。</w:t>
            </w:r>
          </w:p>
          <w:p>
            <w:pPr>
              <w:keepNext w:val="0"/>
              <w:keepLines w:val="0"/>
              <w:widowControl/>
              <w:numPr>
                <w:ilvl w:val="0"/>
                <w:numId w:val="7"/>
              </w:numPr>
              <w:suppressLineNumbers w:val="0"/>
              <w:spacing w:before="0" w:beforeAutospacing="0" w:after="0" w:afterAutospacing="0"/>
              <w:ind w:left="0" w:right="0" w:rightChars="0"/>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US" w:eastAsia="zh-CN"/>
              </w:rPr>
              <w:t>人员岗位职责基本明确、技术服务团队专业结构基本合理、人员岗位计划安排基本合理，得1分。</w:t>
            </w:r>
          </w:p>
        </w:tc>
      </w:tr>
      <w:tr>
        <w:tblPrEx>
          <w:tblCellMar>
            <w:top w:w="0" w:type="dxa"/>
            <w:left w:w="108" w:type="dxa"/>
            <w:bottom w:w="0" w:type="dxa"/>
            <w:right w:w="108" w:type="dxa"/>
          </w:tblCellMar>
        </w:tblPrEx>
        <w:trPr>
          <w:trHeight w:val="219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拟投入项目团队人员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US" w:eastAsia="zh-CN"/>
              </w:rPr>
              <w:t>针对本项目安排的人员进行评分：</w:t>
            </w:r>
          </w:p>
          <w:p>
            <w:pPr>
              <w:keepNext w:val="0"/>
              <w:keepLines w:val="0"/>
              <w:widowControl/>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项目团队成员具有系统集成项目管理工程师或数据库管理工程师证书，每提供1个得2.5分，此项最多得5分。</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注：响应供应商须提供比选截止时间</w:t>
            </w:r>
            <w:r>
              <w:rPr>
                <w:rFonts w:hint="eastAsia" w:ascii="仿宋" w:hAnsi="仿宋" w:eastAsia="仿宋" w:cs="仿宋"/>
                <w:b w:val="0"/>
                <w:bCs w:val="0"/>
                <w:color w:val="auto"/>
                <w:kern w:val="0"/>
                <w:sz w:val="24"/>
                <w:szCs w:val="24"/>
                <w:highlight w:val="none"/>
                <w:lang w:val="en-US" w:eastAsia="zh-CN" w:bidi="ar-SA"/>
              </w:rPr>
              <w:t>半年内缴纳的社保明细（若公司成立未到半年，按公司成立实际时间提供），并由公司盖章</w:t>
            </w:r>
            <w:r>
              <w:rPr>
                <w:rFonts w:hint="eastAsia" w:ascii="仿宋" w:hAnsi="仿宋" w:eastAsia="仿宋" w:cs="仿宋"/>
                <w:color w:val="auto"/>
                <w:kern w:val="0"/>
                <w:sz w:val="24"/>
                <w:highlight w:val="none"/>
                <w:lang w:eastAsia="zh-CN"/>
              </w:rPr>
              <w:t>；提供</w:t>
            </w:r>
            <w:r>
              <w:rPr>
                <w:rFonts w:hint="eastAsia" w:ascii="仿宋" w:hAnsi="仿宋" w:eastAsia="仿宋" w:cs="仿宋"/>
                <w:color w:val="auto"/>
                <w:kern w:val="0"/>
                <w:sz w:val="24"/>
                <w:highlight w:val="none"/>
              </w:rPr>
              <w:t>具有人力资源和社会保障部门颁发的工程师职称证书复印件作为佐证材料，无提供不得分。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CN" w:bidi="ar-SA"/>
              </w:rPr>
              <w:t>售后服务方案</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kern w:val="0"/>
                <w:sz w:val="24"/>
                <w:szCs w:val="24"/>
                <w:highlight w:val="none"/>
                <w:lang w:val="en-US" w:eastAsia="zh-CN"/>
              </w:rPr>
              <w:t>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szCs w:val="24"/>
                <w:highlight w:val="none"/>
              </w:rPr>
              <w:t>提供的售后服务方案（包括质保期、维护保养方案、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的及时性、安排的合理性等）是否完善具体，各阶段服务计划是否详尽进行综合评审：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方案详细周全、科学合理、针对性强的，得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方案基本合理、清晰可行的，得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方案较简略、针对性不强的，得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leftChars="0" w:right="0" w:rightChars="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未提供方案的，得0分。</w:t>
            </w:r>
          </w:p>
        </w:tc>
      </w:tr>
      <w:tr>
        <w:tblPrEx>
          <w:tblCellMar>
            <w:top w:w="0" w:type="dxa"/>
            <w:left w:w="108" w:type="dxa"/>
            <w:bottom w:w="0" w:type="dxa"/>
            <w:right w:w="108" w:type="dxa"/>
          </w:tblCellMar>
        </w:tblPrEx>
        <w:trPr>
          <w:trHeight w:val="32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US" w:eastAsia="zh-CN" w:bidi="ar-SA"/>
              </w:rPr>
              <w:t>培训方案</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响应供应商</w:t>
            </w:r>
            <w:r>
              <w:rPr>
                <w:rFonts w:hint="default" w:ascii="仿宋" w:hAnsi="仿宋" w:eastAsia="仿宋" w:cs="仿宋"/>
                <w:color w:val="auto"/>
                <w:kern w:val="0"/>
                <w:sz w:val="24"/>
                <w:szCs w:val="24"/>
                <w:highlight w:val="none"/>
                <w:lang w:val="en-US" w:eastAsia="zh-CN"/>
              </w:rPr>
              <w:t>能够针对本次项目提供出完善的培训体系及培训方案，能够为采购人提供专业的培训。</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培训方案详细</w:t>
            </w:r>
            <w:r>
              <w:rPr>
                <w:rFonts w:hint="eastAsia" w:ascii="仿宋" w:hAnsi="仿宋" w:eastAsia="仿宋" w:cs="仿宋"/>
                <w:color w:val="auto"/>
                <w:kern w:val="0"/>
                <w:sz w:val="24"/>
                <w:szCs w:val="24"/>
                <w:highlight w:val="none"/>
                <w:lang w:val="en-US" w:eastAsia="zh-CN"/>
              </w:rPr>
              <w:t>，可操作性强，</w:t>
            </w:r>
            <w:r>
              <w:rPr>
                <w:rFonts w:hint="default"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lang w:val="en-US" w:eastAsia="zh-CN"/>
              </w:rPr>
              <w:t>5</w:t>
            </w:r>
            <w:r>
              <w:rPr>
                <w:rFonts w:hint="default" w:ascii="仿宋" w:hAnsi="仿宋" w:eastAsia="仿宋" w:cs="仿宋"/>
                <w:color w:val="auto"/>
                <w:kern w:val="0"/>
                <w:sz w:val="24"/>
                <w:szCs w:val="24"/>
                <w:highlight w:val="none"/>
                <w:lang w:val="en-US" w:eastAsia="zh-CN"/>
              </w:rPr>
              <w:t>分；</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val="en-US" w:eastAsia="zh-CN"/>
              </w:rPr>
              <w:t>培训方案较详细</w:t>
            </w:r>
            <w:r>
              <w:rPr>
                <w:rFonts w:hint="eastAsia" w:ascii="仿宋" w:hAnsi="仿宋" w:eastAsia="仿宋" w:cs="仿宋"/>
                <w:color w:val="auto"/>
                <w:kern w:val="0"/>
                <w:sz w:val="24"/>
                <w:szCs w:val="24"/>
                <w:highlight w:val="none"/>
                <w:lang w:val="en-US" w:eastAsia="zh-CN"/>
              </w:rPr>
              <w:t>，有一定的操作性，</w:t>
            </w:r>
            <w:r>
              <w:rPr>
                <w:rFonts w:hint="default"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val="en-US" w:eastAsia="zh-CN"/>
              </w:rPr>
              <w:t>分；</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val="en-US" w:eastAsia="zh-CN"/>
              </w:rPr>
              <w:t>培训方案较粗略</w:t>
            </w:r>
            <w:r>
              <w:rPr>
                <w:rFonts w:hint="eastAsia" w:ascii="仿宋" w:hAnsi="仿宋" w:eastAsia="仿宋" w:cs="仿宋"/>
                <w:color w:val="auto"/>
                <w:kern w:val="0"/>
                <w:sz w:val="24"/>
                <w:szCs w:val="24"/>
                <w:highlight w:val="none"/>
                <w:lang w:val="en-US" w:eastAsia="zh-CN"/>
              </w:rPr>
              <w:t>，可操作性不强，</w:t>
            </w:r>
            <w:r>
              <w:rPr>
                <w:rFonts w:hint="default"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lang w:val="en-US" w:eastAsia="zh-CN"/>
              </w:rPr>
              <w:t>4.无提供不得分</w:t>
            </w:r>
            <w:r>
              <w:rPr>
                <w:rFonts w:hint="default" w:ascii="仿宋" w:hAnsi="仿宋" w:eastAsia="仿宋" w:cs="仿宋"/>
                <w:color w:val="auto"/>
                <w:kern w:val="0"/>
                <w:sz w:val="24"/>
                <w:szCs w:val="24"/>
                <w:highlight w:val="none"/>
                <w:lang w:val="en-US" w:eastAsia="zh-CN"/>
              </w:rPr>
              <w:t>。</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Hans" w:bidi="ar-SA"/>
              </w:rPr>
              <w:t>同类项目业绩</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US" w:eastAsia="zh-CN"/>
              </w:rPr>
              <w:t>提供2022年1月1日至今承担过的同类业绩情况进行评分，提供一个得2分，满分6分。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同类业绩证明文件是中标/成交通知书或合同关键页的复印件或扫描件（合同关键页是指包括：①能显示服务内容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响应</w:t>
            </w:r>
            <w:r>
              <w:rPr>
                <w:rFonts w:hint="eastAsia" w:ascii="仿宋" w:hAnsi="仿宋" w:eastAsia="仿宋" w:cs="仿宋"/>
                <w:color w:val="auto"/>
                <w:kern w:val="0"/>
                <w:sz w:val="24"/>
                <w:szCs w:val="24"/>
                <w:highlight w:val="none"/>
                <w:lang w:val="en-US" w:eastAsia="zh-Hans" w:bidi="ar-SA"/>
              </w:rPr>
              <w:t>报价得分</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响应报价得分＝（评审基准价/响应报价）×价格分值</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【注：满足比选文件要求且响应价格最低的响应报价为评审基准价。】最低报价不是成交的唯一依据。因落实政府采购政策进行价格调整的，以调整后的价格计算评审基准价和响应报价。</w:t>
            </w:r>
          </w:p>
        </w:tc>
      </w:tr>
    </w:tbl>
    <w:p>
      <w:pPr>
        <w:widowControl/>
        <w:jc w:val="center"/>
        <w:rPr>
          <w:rFonts w:hint="eastAsia" w:ascii="仿宋" w:hAnsi="仿宋" w:eastAsia="仿宋" w:cs="仿宋"/>
          <w:color w:val="auto"/>
          <w:kern w:val="0"/>
          <w:sz w:val="24"/>
          <w:szCs w:val="24"/>
          <w:highlight w:val="none"/>
        </w:rPr>
      </w:pPr>
    </w:p>
    <w:p>
      <w:pPr>
        <w:pStyle w:val="11"/>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11"/>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11"/>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）对采购过程、成交结果的质疑和处理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11"/>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）供应商提出质疑应当提交质疑函和必要的证明材料(包括证明材料清单、证明文件及获取途径说明)。质疑函应当包括下列内容：</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11"/>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rPr>
        <w:t>）投诉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rPr>
        <w:t>）质疑供应商未按以上规定进行质疑的，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（七）供应商捏造事实、提供虚假材料或者以非法手段取得证明材料进行质疑或投诉的，予以驳回，并列入黑名单。</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九</w:t>
      </w:r>
      <w:r>
        <w:rPr>
          <w:rFonts w:hint="eastAsia" w:ascii="仿宋" w:hAnsi="仿宋" w:eastAsia="仿宋" w:cs="仿宋"/>
          <w:color w:val="auto"/>
          <w:sz w:val="24"/>
          <w:highlight w:val="none"/>
        </w:rPr>
        <w:t>）同一供应商不能对同一事项重复质疑。</w:t>
      </w:r>
    </w:p>
    <w:p>
      <w:pPr>
        <w:pStyle w:val="11"/>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11"/>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第四部分  合同书范本格式</w:t>
      </w:r>
      <w:r>
        <w:rPr>
          <w:rFonts w:hint="eastAsia" w:ascii="仿宋" w:hAnsi="仿宋" w:eastAsia="仿宋" w:cs="仿宋"/>
          <w:b/>
          <w:color w:val="auto"/>
          <w:sz w:val="28"/>
          <w:szCs w:val="28"/>
          <w:highlight w:val="none"/>
          <w:lang w:eastAsia="zh-CN"/>
        </w:rPr>
        <w:t>（参考）</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jc w:val="center"/>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技术服务合同</w:t>
      </w:r>
    </w:p>
    <w:p>
      <w:pPr>
        <w:spacing w:line="360" w:lineRule="auto"/>
        <w:ind w:right="480"/>
        <w:jc w:val="center"/>
        <w:rPr>
          <w:rFonts w:ascii="宋体"/>
          <w:bCs/>
          <w:color w:val="auto"/>
          <w:sz w:val="24"/>
          <w:highlight w:val="none"/>
        </w:rPr>
      </w:pPr>
    </w:p>
    <w:tbl>
      <w:tblPr>
        <w:tblStyle w:val="18"/>
        <w:tblpPr w:leftFromText="180" w:rightFromText="180" w:vertAnchor="text" w:horzAnchor="page" w:tblpX="2875" w:tblpY="1610"/>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p>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r>
              <w:rPr>
                <w:rFonts w:hint="eastAsia" w:hAnsi="宋体"/>
                <w:b/>
                <w:color w:val="auto"/>
                <w:sz w:val="30"/>
                <w:szCs w:val="30"/>
                <w:highlight w:val="none"/>
              </w:rPr>
              <w:t>采购编号：</w:t>
            </w:r>
          </w:p>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r>
              <w:rPr>
                <w:rFonts w:hint="eastAsia" w:hAnsi="宋体"/>
                <w:b/>
                <w:color w:val="auto"/>
                <w:sz w:val="30"/>
                <w:szCs w:val="30"/>
                <w:highlight w:val="none"/>
              </w:rPr>
              <w:t>项目名称：</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甲方：惠州市第一妇幼保健院</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乙方：</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签订地点：惠州市第一妇幼保健院</w:t>
            </w:r>
          </w:p>
          <w:p>
            <w:pPr>
              <w:keepNext w:val="0"/>
              <w:keepLines w:val="0"/>
              <w:suppressLineNumbers w:val="0"/>
              <w:tabs>
                <w:tab w:val="left" w:pos="720"/>
              </w:tabs>
              <w:spacing w:before="0" w:beforeAutospacing="0" w:after="0" w:afterAutospacing="0" w:line="360" w:lineRule="auto"/>
              <w:ind w:left="0" w:right="0"/>
              <w:rPr>
                <w:rFonts w:hint="default" w:ascii="宋体"/>
                <w:b/>
                <w:color w:val="auto"/>
                <w:sz w:val="30"/>
                <w:szCs w:val="30"/>
                <w:highlight w:val="none"/>
              </w:rPr>
            </w:pPr>
          </w:p>
        </w:tc>
      </w:tr>
    </w:tbl>
    <w:p>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pPr>
        <w:spacing w:line="360" w:lineRule="auto"/>
        <w:jc w:val="center"/>
        <w:rPr>
          <w:rFonts w:ascii="宋体"/>
          <w:b/>
          <w:color w:val="auto"/>
          <w:sz w:val="44"/>
          <w:szCs w:val="44"/>
          <w:highlight w:val="none"/>
        </w:rPr>
      </w:pPr>
    </w:p>
    <w:p>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pPr>
        <w:pStyle w:val="23"/>
        <w:numPr>
          <w:ilvl w:val="0"/>
          <w:numId w:val="8"/>
        </w:numPr>
        <w:tabs>
          <w:tab w:val="left" w:pos="960"/>
        </w:tabs>
        <w:spacing w:line="360" w:lineRule="auto"/>
        <w:ind w:firstLine="482"/>
        <w:rPr>
          <w:rFonts w:ascii="宋体" w:hAnsi="宋体"/>
          <w:b/>
          <w:color w:val="auto"/>
          <w:sz w:val="24"/>
          <w:highlight w:val="none"/>
        </w:rPr>
      </w:pPr>
      <w:r>
        <w:rPr>
          <w:rFonts w:hint="eastAsia" w:ascii="宋体" w:hAnsi="宋体"/>
          <w:b/>
          <w:color w:val="auto"/>
          <w:sz w:val="24"/>
          <w:highlight w:val="none"/>
        </w:rPr>
        <w:t>服务内容</w:t>
      </w:r>
    </w:p>
    <w:p>
      <w:pPr>
        <w:pStyle w:val="23"/>
        <w:tabs>
          <w:tab w:val="left" w:pos="960"/>
        </w:tabs>
        <w:spacing w:line="360" w:lineRule="auto"/>
        <w:ind w:firstLine="481" w:firstLineChars="0"/>
        <w:rPr>
          <w:rFonts w:ascii="宋体" w:hAnsi="宋体"/>
          <w:color w:val="auto"/>
          <w:sz w:val="24"/>
          <w:highlight w:val="none"/>
        </w:rPr>
      </w:pPr>
      <w:r>
        <w:rPr>
          <w:rFonts w:hint="eastAsia" w:ascii="宋体" w:hAnsi="宋体"/>
          <w:color w:val="auto"/>
          <w:sz w:val="24"/>
          <w:highlight w:val="none"/>
        </w:rPr>
        <w:t>本合同甲方委托乙方承当</w:t>
      </w:r>
      <w:r>
        <w:rPr>
          <w:rFonts w:hint="eastAsia" w:ascii="宋体" w:hAnsi="宋体"/>
          <w:color w:val="auto"/>
          <w:sz w:val="24"/>
          <w:highlight w:val="none"/>
          <w:u w:val="single"/>
        </w:rPr>
        <w:t xml:space="preserve">                                </w:t>
      </w:r>
      <w:r>
        <w:rPr>
          <w:rFonts w:hint="eastAsia" w:ascii="宋体" w:hAnsi="宋体"/>
          <w:color w:val="auto"/>
          <w:sz w:val="24"/>
          <w:highlight w:val="none"/>
        </w:rPr>
        <w:t>项目，并支付研究开发经费和报酬，乙方接受委托并进行此项研究开发工作。</w:t>
      </w:r>
    </w:p>
    <w:tbl>
      <w:tblPr>
        <w:tblStyle w:val="18"/>
        <w:tblW w:w="4996" w:type="pct"/>
        <w:tblInd w:w="0" w:type="dxa"/>
        <w:tblLayout w:type="autofit"/>
        <w:tblCellMar>
          <w:top w:w="0" w:type="dxa"/>
          <w:left w:w="108" w:type="dxa"/>
          <w:bottom w:w="0" w:type="dxa"/>
          <w:right w:w="108" w:type="dxa"/>
        </w:tblCellMar>
      </w:tblPr>
      <w:tblGrid>
        <w:gridCol w:w="856"/>
        <w:gridCol w:w="1369"/>
        <w:gridCol w:w="2216"/>
        <w:gridCol w:w="831"/>
        <w:gridCol w:w="1320"/>
        <w:gridCol w:w="1923"/>
      </w:tblGrid>
      <w:tr>
        <w:tblPrEx>
          <w:tblCellMar>
            <w:top w:w="0" w:type="dxa"/>
            <w:left w:w="108" w:type="dxa"/>
            <w:bottom w:w="0" w:type="dxa"/>
            <w:right w:w="108" w:type="dxa"/>
          </w:tblCellMar>
        </w:tblPrEx>
        <w:trPr>
          <w:trHeight w:val="480"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序号</w:t>
            </w:r>
          </w:p>
        </w:tc>
        <w:tc>
          <w:tcPr>
            <w:tcW w:w="804"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产品编码</w:t>
            </w:r>
          </w:p>
        </w:tc>
        <w:tc>
          <w:tcPr>
            <w:tcW w:w="130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项目名称</w:t>
            </w:r>
          </w:p>
        </w:tc>
        <w:tc>
          <w:tcPr>
            <w:tcW w:w="488"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数量</w:t>
            </w:r>
          </w:p>
        </w:tc>
        <w:tc>
          <w:tcPr>
            <w:tcW w:w="7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单价（元）</w:t>
            </w:r>
          </w:p>
        </w:tc>
        <w:tc>
          <w:tcPr>
            <w:tcW w:w="1127"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总金额（元）</w:t>
            </w:r>
          </w:p>
        </w:tc>
      </w:tr>
      <w:tr>
        <w:tblPrEx>
          <w:tblCellMar>
            <w:top w:w="0" w:type="dxa"/>
            <w:left w:w="108" w:type="dxa"/>
            <w:bottom w:w="0" w:type="dxa"/>
            <w:right w:w="108" w:type="dxa"/>
          </w:tblCellMar>
        </w:tblPrEx>
        <w:trPr>
          <w:trHeight w:val="630" w:hRule="atLeast"/>
        </w:trPr>
        <w:tc>
          <w:tcPr>
            <w:tcW w:w="503" w:type="pc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p>
        </w:tc>
        <w:tc>
          <w:tcPr>
            <w:tcW w:w="804" w:type="pct"/>
            <w:tcBorders>
              <w:top w:val="nil"/>
              <w:left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 xml:space="preserve"> </w:t>
            </w:r>
          </w:p>
        </w:tc>
        <w:tc>
          <w:tcPr>
            <w:tcW w:w="1301"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 xml:space="preserve"> </w:t>
            </w:r>
          </w:p>
        </w:tc>
        <w:tc>
          <w:tcPr>
            <w:tcW w:w="488"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 xml:space="preserve"> </w:t>
            </w:r>
          </w:p>
        </w:tc>
        <w:tc>
          <w:tcPr>
            <w:tcW w:w="775"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127"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r>
      <w:tr>
        <w:tblPrEx>
          <w:tblCellMar>
            <w:top w:w="0" w:type="dxa"/>
            <w:left w:w="108" w:type="dxa"/>
            <w:bottom w:w="0" w:type="dxa"/>
            <w:right w:w="108" w:type="dxa"/>
          </w:tblCellMar>
        </w:tblPrEx>
        <w:trPr>
          <w:trHeight w:val="72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olor w:val="auto"/>
                <w:sz w:val="24"/>
                <w:highlight w:val="none"/>
              </w:rPr>
            </w:pP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r>
              <w:rPr>
                <w:rFonts w:hint="eastAsia" w:ascii="宋体" w:hAnsi="宋体"/>
                <w:color w:val="auto"/>
                <w:sz w:val="24"/>
                <w:highlight w:val="none"/>
              </w:rPr>
              <w:t>发票名称：</w:t>
            </w: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r>
              <w:rPr>
                <w:rFonts w:hint="eastAsia" w:ascii="宋体" w:hAnsi="宋体"/>
                <w:color w:val="auto"/>
                <w:sz w:val="24"/>
                <w:highlight w:val="none"/>
              </w:rPr>
              <w:t xml:space="preserve">合计：（大写）人民币        元整；¥         元                       </w:t>
            </w:r>
          </w:p>
        </w:tc>
      </w:tr>
    </w:tbl>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Ansi="宋体" w:cs="宋体"/>
          <w:color w:val="auto"/>
          <w:kern w:val="0"/>
          <w:sz w:val="24"/>
          <w:szCs w:val="21"/>
          <w:highlight w:val="none"/>
        </w:rPr>
      </w:pPr>
      <w:r>
        <w:rPr>
          <w:rFonts w:hint="eastAsia" w:hAnsi="宋体"/>
          <w:color w:val="auto"/>
          <w:sz w:val="24"/>
          <w:highlight w:val="none"/>
        </w:rPr>
        <w:t>合同金额为：（大写）</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元整；（小写）¥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szCs w:val="21"/>
          <w:highlight w:val="none"/>
          <w:u w:val="single"/>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rPr>
        <w:t>。</w:t>
      </w:r>
    </w:p>
    <w:p>
      <w:pPr>
        <w:spacing w:line="360" w:lineRule="auto"/>
        <w:ind w:firstLine="480" w:firstLineChars="200"/>
        <w:rPr>
          <w:rFonts w:hAnsi="宋体"/>
          <w:color w:val="auto"/>
          <w:sz w:val="24"/>
          <w:highlight w:val="none"/>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三、服务要求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本合同项下所安装软件版本乙方提供自验收报告次日起为期</w:t>
      </w:r>
      <w:r>
        <w:rPr>
          <w:rFonts w:hint="eastAsia" w:ascii="宋体" w:hAnsi="宋体"/>
          <w:color w:val="auto"/>
          <w:sz w:val="24"/>
          <w:highlight w:val="none"/>
          <w:u w:val="single"/>
        </w:rPr>
        <w:t>壹年</w:t>
      </w:r>
      <w:r>
        <w:rPr>
          <w:rFonts w:hint="eastAsia" w:ascii="宋体" w:hAnsi="宋体"/>
          <w:color w:val="auto"/>
          <w:sz w:val="24"/>
          <w:highlight w:val="none"/>
        </w:rPr>
        <w:t>的免费纠错性维护。免费维护期内，乙方提供给甲方软件应用的支持和培训服务，包括</w:t>
      </w:r>
      <w:r>
        <w:rPr>
          <w:rFonts w:hint="eastAsia" w:ascii="宋体" w:hAnsi="宋体"/>
          <w:color w:val="auto"/>
          <w:sz w:val="24"/>
          <w:highlight w:val="none"/>
          <w:u w:val="single"/>
        </w:rPr>
        <w:t>软件远程电话支持、用户培训、故障维护</w:t>
      </w:r>
      <w:r>
        <w:rPr>
          <w:rFonts w:hint="eastAsia" w:ascii="宋体" w:hAnsi="宋体"/>
          <w:color w:val="auto"/>
          <w:sz w:val="24"/>
          <w:highlight w:val="none"/>
        </w:rPr>
        <w:t>等，具体说明如下：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1.乙方保障软件的正常运行，对软件中存在的缺陷进行升级和优化，确保软件的正常使用；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乙方配合甲方解决系统运行过程中由于网络、服务器、计算机、操作系统等原因所产生的软件无法正常运行的情况，保障系统的正常运行，并在完成故障处理后出具产品维护报告，包含问题的原因、解决办法及建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3.乙方负责软件操作的使用培训，培训对象为甲方的医生、护士、技术工程师、业务科室的关键用户。乙方同时向甲方提供使用说明文档。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4.乙方提供7×24小时电话支持服务，解答甲方在产品使用、维护过程中遇到的问题，及时提出解决问题的建议和操作方法。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5.若产品出现相关故障，在甲方报修后30分钟内，乙方予以远程支持或提供解决方案。若措施无效，乙方应立即启动更高级别的响应措施，包括但不限于派出客户服务工程师上门现场服务。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6.软件运行过程中新发现的软件错误，乙方负责维护并及时改进，同时向甲方提供软件维护说明。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7.系统在运行过程中，乙方不定期地向甲方提供科室软件建设建议方案。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8.经甲方许可，乙方每季度进行一次定期现场巡检，对甲方应用软件的软硬件环境进行检查，发现系统稳定运行的隐患因素并及时排除。乙方向甲方出具系统巡检报告，内容包含巡检范围、结果及巡检建议。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9.由甲方操作引起的系统问题，相同问题出现三次以上的，乙方将其排除在免费维护项目以外。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本合同软件产品在免费维护期结束后，如需乙方继续向甲方提供软件维护服务，甲方需每年向乙方另行支付维护费用，金额为本合同软件部分的总金额的10%以内，乙方提供该年度本合同中软件产品的维护、技术支持等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11.如果甲方未来有新的功能需求则另行协商。</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四、交货期、交货方式和交货地点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1.合同生效汇款后</w:t>
      </w:r>
      <w:r>
        <w:rPr>
          <w:rFonts w:hint="eastAsia" w:ascii="宋体" w:hAnsi="宋体"/>
          <w:color w:val="auto"/>
          <w:sz w:val="24"/>
          <w:highlight w:val="none"/>
          <w:u w:val="single"/>
        </w:rPr>
        <w:t xml:space="preserve">     </w:t>
      </w:r>
      <w:r>
        <w:rPr>
          <w:rFonts w:hint="eastAsia" w:ascii="宋体" w:hAnsi="宋体"/>
          <w:color w:val="auto"/>
          <w:sz w:val="24"/>
          <w:highlight w:val="none"/>
        </w:rPr>
        <w:t>个工作日内。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甲方通知乙方实施之前，必须确认实施地点已经具备本合同下产品的安装所需达到的相关条件，如未经确认或场地未达到安装所需条件，导致乙方安装人员到达现场后又无法安装而产生的差旅、住宿等所有费用均由甲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3.产品安转站点数量及地点：</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五、付款方式</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1.（支付工作安排以用户需求书为准。）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2.支付方式采用银行转账支付。</w:t>
      </w:r>
    </w:p>
    <w:p>
      <w:pPr>
        <w:pStyle w:val="9"/>
        <w:ind w:firstLine="480" w:firstLineChars="200"/>
        <w:rPr>
          <w:rFonts w:ascii="宋体" w:hAnsi="宋体"/>
          <w:color w:val="auto"/>
          <w:sz w:val="24"/>
          <w:highlight w:val="none"/>
        </w:rPr>
      </w:pPr>
      <w:r>
        <w:rPr>
          <w:rFonts w:hint="eastAsia" w:ascii="宋体" w:hAnsi="宋体"/>
          <w:color w:val="auto"/>
          <w:sz w:val="24"/>
          <w:highlight w:val="none"/>
        </w:rPr>
        <w:t>乙方账户信息如下：</w:t>
      </w:r>
    </w:p>
    <w:p>
      <w:pPr>
        <w:pStyle w:val="9"/>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pStyle w:val="9"/>
        <w:ind w:firstLine="480" w:firstLineChars="200"/>
        <w:rPr>
          <w:rFonts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rPr>
        <w:t xml:space="preserve">                                        </w:t>
      </w:r>
    </w:p>
    <w:p>
      <w:pPr>
        <w:pStyle w:val="9"/>
        <w:ind w:firstLine="480" w:firstLineChars="200"/>
        <w:rPr>
          <w:rFonts w:ascii="宋体" w:hAnsi="宋体"/>
          <w:color w:val="auto"/>
          <w:sz w:val="24"/>
          <w:highlight w:val="none"/>
        </w:rPr>
      </w:pPr>
      <w:r>
        <w:rPr>
          <w:rFonts w:hint="eastAsia" w:ascii="宋体" w:hAnsi="宋体"/>
          <w:color w:val="auto"/>
          <w:sz w:val="24"/>
          <w:highlight w:val="none"/>
        </w:rPr>
        <w:t>银行账户：</w:t>
      </w:r>
      <w:r>
        <w:rPr>
          <w:rFonts w:hint="eastAsia" w:ascii="宋体" w:hAnsi="宋体"/>
          <w:color w:val="auto"/>
          <w:sz w:val="24"/>
          <w:highlight w:val="none"/>
          <w:u w:val="single"/>
        </w:rPr>
        <w:t xml:space="preserve">                                        </w:t>
      </w:r>
    </w:p>
    <w:p>
      <w:pPr>
        <w:pStyle w:val="9"/>
        <w:ind w:firstLine="480" w:firstLineChars="200"/>
        <w:rPr>
          <w:rFonts w:ascii="宋体" w:hAnsi="宋体"/>
          <w:color w:val="auto"/>
          <w:sz w:val="24"/>
          <w:highlight w:val="none"/>
        </w:rPr>
      </w:pPr>
      <w:r>
        <w:rPr>
          <w:rFonts w:hint="eastAsia" w:ascii="宋体" w:hAnsi="宋体"/>
          <w:color w:val="auto"/>
          <w:sz w:val="24"/>
          <w:highlight w:val="none"/>
        </w:rPr>
        <w:t>税号：</w:t>
      </w:r>
      <w:r>
        <w:rPr>
          <w:rFonts w:hint="eastAsia" w:ascii="宋体" w:hAnsi="宋体"/>
          <w:color w:val="auto"/>
          <w:sz w:val="24"/>
          <w:highlight w:val="none"/>
          <w:u w:val="single"/>
        </w:rPr>
        <w:t xml:space="preserve">                                            </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六、质保期及售后服务要求</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1.质保期自验收合格次日起保修期为12个月。</w:t>
      </w:r>
    </w:p>
    <w:p>
      <w:pPr>
        <w:spacing w:line="460" w:lineRule="exact"/>
        <w:ind w:firstLine="480" w:firstLineChars="200"/>
        <w:rPr>
          <w:rFonts w:ascii="宋体" w:hAnsi="宋体"/>
          <w:b/>
          <w:bCs/>
          <w:color w:val="auto"/>
          <w:sz w:val="24"/>
          <w:highlight w:val="none"/>
        </w:rPr>
      </w:pPr>
      <w:r>
        <w:rPr>
          <w:rFonts w:hint="eastAsia" w:ascii="宋体" w:hAnsi="宋体"/>
          <w:color w:val="auto"/>
          <w:sz w:val="24"/>
          <w:highlight w:val="none"/>
        </w:rPr>
        <w:t>2.售后服务要求</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七、验收</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验收时间：安装后</w:t>
      </w:r>
      <w:r>
        <w:rPr>
          <w:rFonts w:hint="eastAsia" w:ascii="宋体" w:hAnsi="宋体"/>
          <w:color w:val="auto"/>
          <w:sz w:val="24"/>
          <w:highlight w:val="none"/>
          <w:u w:val="single"/>
        </w:rPr>
        <w:t xml:space="preserve">    </w:t>
      </w:r>
      <w:r>
        <w:rPr>
          <w:rFonts w:hint="eastAsia" w:ascii="宋体" w:hAnsi="宋体"/>
          <w:color w:val="auto"/>
          <w:sz w:val="24"/>
          <w:highlight w:val="none"/>
        </w:rPr>
        <w:t>个工作日内完成验收。</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验收流程：</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①签订项目验收报告（详见附件一</w:t>
      </w:r>
      <w:r>
        <w:rPr>
          <w:rFonts w:hint="eastAsia" w:ascii="宋体" w:hAnsi="宋体"/>
          <w:color w:val="auto"/>
          <w:sz w:val="24"/>
          <w:highlight w:val="none"/>
          <w:lang w:eastAsia="zh-CN"/>
        </w:rPr>
        <w:t>）；</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②甲方使用科室主任及信息科责任工程师、信息科主任签字确认</w:t>
      </w:r>
      <w:r>
        <w:rPr>
          <w:rFonts w:hint="eastAsia" w:ascii="宋体" w:hAnsi="宋体"/>
          <w:color w:val="auto"/>
          <w:sz w:val="24"/>
          <w:highlight w:val="none"/>
          <w:lang w:eastAsia="zh-CN"/>
        </w:rPr>
        <w:t>；</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③乙方工程师签字确认</w:t>
      </w:r>
      <w:r>
        <w:rPr>
          <w:rFonts w:hint="eastAsia" w:ascii="宋体" w:hAnsi="宋体"/>
          <w:color w:val="auto"/>
          <w:sz w:val="24"/>
          <w:highlight w:val="none"/>
          <w:lang w:eastAsia="zh-CN"/>
        </w:rPr>
        <w:t>；</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④甲方乙双方盖章确认。</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八、</w:t>
      </w:r>
      <w:r>
        <w:rPr>
          <w:rFonts w:hint="eastAsia" w:ascii="宋体" w:hAnsi="宋体"/>
          <w:b/>
          <w:color w:val="auto"/>
          <w:sz w:val="24"/>
          <w:highlight w:val="none"/>
        </w:rPr>
        <w:t>违约责任与赔偿损失</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1.乙方交付的货物、工程、提供的服务不符合采购文件、报价文件或本合同规定的，甲方有权拒收，并且乙方须向甲方支付本合同金额5%的违约金。</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3.甲方无正当理由拒收货物、接受服务，到期拒付货物、工程、提供服务款项的，甲方向乙方偿付本合同金额的5%的违约金。甲方逾期付款，则每日按本合同金额的3‰向乙方偿付违约金。</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九、争议的解决</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ascii="宋体" w:hAnsi="宋体"/>
          <w:color w:val="auto"/>
          <w:sz w:val="24"/>
          <w:highlight w:val="none"/>
        </w:rPr>
        <w:t>。</w:t>
      </w:r>
    </w:p>
    <w:p>
      <w:pPr>
        <w:tabs>
          <w:tab w:val="left" w:pos="824"/>
        </w:tabs>
        <w:spacing w:line="460" w:lineRule="exact"/>
        <w:ind w:firstLine="482" w:firstLineChars="200"/>
        <w:rPr>
          <w:color w:val="auto"/>
          <w:highlight w:val="none"/>
        </w:rPr>
      </w:pPr>
      <w:r>
        <w:rPr>
          <w:rFonts w:hint="eastAsia" w:ascii="宋体" w:hAnsi="宋体"/>
          <w:b/>
          <w:bCs/>
          <w:color w:val="auto"/>
          <w:sz w:val="24"/>
          <w:highlight w:val="none"/>
        </w:rPr>
        <w:t>十、保密条款</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1.甲方和乙方承诺对合同相关资料保密，在未取得另一方同意之前，不得向第三方披露或为履行合同以外的目的使用这些资料。</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2.乙方遵循相应职业道德对开发过程中涉及甲方的有关数据机密进行严格保密。</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3.一方在未得到另一方事先同意前，任何一方均不得发布、寄送与本合同有关之公告、新闻稿、通讯或通函〔除非法律或法规要求〕。</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4.合同终止后，该保密条款仍然有效。</w:t>
      </w:r>
    </w:p>
    <w:p>
      <w:pPr>
        <w:tabs>
          <w:tab w:val="left" w:pos="824"/>
        </w:tabs>
        <w:spacing w:line="460" w:lineRule="exact"/>
        <w:ind w:firstLine="482" w:firstLineChars="200"/>
        <w:rPr>
          <w:rFonts w:ascii="宋体" w:hAnsi="宋体"/>
          <w:b/>
          <w:color w:val="auto"/>
          <w:sz w:val="24"/>
          <w:highlight w:val="none"/>
        </w:rPr>
      </w:pPr>
      <w:r>
        <w:rPr>
          <w:rFonts w:hint="eastAsia" w:ascii="宋体" w:hAnsi="宋体"/>
          <w:b/>
          <w:bCs/>
          <w:color w:val="auto"/>
          <w:sz w:val="24"/>
          <w:highlight w:val="none"/>
        </w:rPr>
        <w:t>十一、</w:t>
      </w:r>
      <w:r>
        <w:rPr>
          <w:rFonts w:hint="eastAsia" w:ascii="宋体" w:hAnsi="宋体"/>
          <w:b/>
          <w:color w:val="auto"/>
          <w:sz w:val="24"/>
          <w:highlight w:val="none"/>
        </w:rPr>
        <w:t>不可抗力</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1.由于不可预见、不可避免、不可克服等不可抗力的原因，一方不能履行合同义务的，应当在不可抗力发生之日起</w:t>
      </w:r>
      <w:r>
        <w:rPr>
          <w:rFonts w:ascii="宋体" w:hAnsi="宋体"/>
          <w:color w:val="auto"/>
          <w:sz w:val="24"/>
          <w:highlight w:val="none"/>
          <w:u w:val="single"/>
        </w:rPr>
        <w:t xml:space="preserve">     </w:t>
      </w:r>
      <w:r>
        <w:rPr>
          <w:rFonts w:ascii="宋体" w:hAnsi="宋体"/>
          <w:color w:val="auto"/>
          <w:sz w:val="24"/>
          <w:highlight w:val="none"/>
        </w:rPr>
        <w:t>天内以书面形式通知对方，证明不可抗力事件的存在。</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2.不可抗力事件发生后，甲方和乙方应当积极寻求以合理的方式履行本合同。如不可抗力无法消除，致使合同目的无法实现的</w:t>
      </w:r>
      <w:r>
        <w:rPr>
          <w:rFonts w:hint="eastAsia" w:ascii="宋体" w:hAnsi="宋体"/>
          <w:color w:val="auto"/>
          <w:sz w:val="24"/>
          <w:highlight w:val="none"/>
        </w:rPr>
        <w:t>，允许延期履行或修订合同，并根据情况可部分或全部免于承担违约责任。</w:t>
      </w:r>
      <w:r>
        <w:rPr>
          <w:rFonts w:ascii="宋体" w:hAnsi="宋体"/>
          <w:color w:val="auto"/>
          <w:sz w:val="24"/>
          <w:highlight w:val="none"/>
        </w:rPr>
        <w:t>双方均有权解除合同，且均不互相索赔。</w:t>
      </w:r>
    </w:p>
    <w:p>
      <w:pPr>
        <w:tabs>
          <w:tab w:val="left" w:pos="824"/>
        </w:tabs>
        <w:spacing w:line="460" w:lineRule="exact"/>
        <w:ind w:firstLine="480" w:firstLineChars="200"/>
        <w:rPr>
          <w:color w:val="auto"/>
          <w:highlight w:val="none"/>
        </w:rPr>
      </w:pPr>
      <w:r>
        <w:rPr>
          <w:rFonts w:hint="eastAsia" w:ascii="宋体" w:hAnsi="宋体"/>
          <w:color w:val="auto"/>
          <w:sz w:val="24"/>
          <w:highlight w:val="none"/>
        </w:rPr>
        <w:t xml:space="preserve">3.除不可抗力事件，任何一方不得违反本合同条款。 </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十二、税费</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rPr>
        <w:t>1.本合同所有附件、采购文件、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通知书均为合同的有效组成部分，与本合同具有同等法律效力，乙方除按本合同约定的履行合同义务外，还应按其提供的</w:t>
      </w:r>
      <w:r>
        <w:rPr>
          <w:rFonts w:hint="eastAsia" w:ascii="宋体" w:hAnsi="宋体"/>
          <w:color w:val="auto"/>
          <w:sz w:val="24"/>
          <w:highlight w:val="none"/>
          <w:lang w:eastAsia="zh-CN"/>
        </w:rPr>
        <w:t>响应</w:t>
      </w:r>
      <w:r>
        <w:rPr>
          <w:rFonts w:hint="eastAsia" w:ascii="宋体" w:hAnsi="宋体"/>
          <w:color w:val="auto"/>
          <w:sz w:val="24"/>
          <w:highlight w:val="none"/>
        </w:rPr>
        <w:t>文件中的承诺履行相关义务。</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3.如一方地址、电话、传真号码有变更，应在变更当日内书面通知对方，否则，应承担相应责任。</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4.除甲方事先书面同意外，乙方不得部分或全部转让其应履行的合同项下的义务。</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十四、廉洁自律及其他条款</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甲乙双方应自觉遵守廉洁自律制度，严禁商业贿赂行为。如有违反，按照国家法律法规及医院规章制度进行处理。</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十五、合同生效</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2.一式伍份，具有同等效力，甲方持肆份，乙方持壹份。</w:t>
      </w:r>
    </w:p>
    <w:p>
      <w:pPr>
        <w:spacing w:line="460" w:lineRule="exact"/>
        <w:ind w:left="5519" w:leftChars="228" w:hanging="5040"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pPr>
        <w:spacing w:line="460" w:lineRule="exact"/>
        <w:ind w:firstLine="360" w:firstLineChars="150"/>
        <w:jc w:val="left"/>
        <w:rPr>
          <w:rFonts w:ascii="宋体"/>
          <w:color w:val="auto"/>
          <w:sz w:val="24"/>
          <w:highlight w:val="none"/>
        </w:rPr>
      </w:pPr>
      <w:r>
        <w:rPr>
          <w:rFonts w:hint="eastAsia" w:ascii="宋体"/>
          <w:color w:val="auto"/>
          <w:sz w:val="24"/>
          <w:highlight w:val="none"/>
        </w:rPr>
        <w:t>（20万及以上）法人代表或委托代表：    法人代表或委托代表：</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签约代表：                            签约代表：</w:t>
      </w:r>
    </w:p>
    <w:p>
      <w:pPr>
        <w:spacing w:line="460" w:lineRule="exact"/>
        <w:ind w:left="5519" w:leftChars="228" w:hanging="5040"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pPr>
        <w:autoSpaceDE w:val="0"/>
        <w:autoSpaceDN w:val="0"/>
        <w:adjustRightInd w:val="0"/>
        <w:spacing w:line="460" w:lineRule="exact"/>
        <w:ind w:right="246" w:firstLine="480" w:firstLineChars="200"/>
        <w:rPr>
          <w:rFonts w:ascii="宋体" w:hAnsi="宋体" w:cs="宋体"/>
          <w:color w:val="auto"/>
          <w:sz w:val="24"/>
          <w:highlight w:val="none"/>
        </w:rPr>
      </w:pPr>
      <w:r>
        <w:rPr>
          <w:rFonts w:hint="eastAsia" w:ascii="宋体" w:hAnsi="宋体" w:cs="宋体"/>
          <w:color w:val="auto"/>
          <w:sz w:val="24"/>
          <w:highlight w:val="none"/>
        </w:rPr>
        <w:t xml:space="preserve">电话：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 0752-7806733                   传真：</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日期：   年    月   日                日期：    年    月    日</w:t>
      </w:r>
    </w:p>
    <w:p>
      <w:pPr>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3"/>
        <w:numPr>
          <w:ilvl w:val="0"/>
          <w:numId w:val="0"/>
        </w:numPr>
        <w:jc w:val="left"/>
        <w:rPr>
          <w:rFonts w:hint="eastAsia"/>
          <w:color w:val="auto"/>
          <w:sz w:val="28"/>
          <w:szCs w:val="30"/>
          <w:highlight w:val="none"/>
        </w:rPr>
      </w:pPr>
    </w:p>
    <w:p>
      <w:pPr>
        <w:pStyle w:val="3"/>
        <w:numPr>
          <w:ilvl w:val="0"/>
          <w:numId w:val="0"/>
        </w:numPr>
        <w:jc w:val="left"/>
        <w:rPr>
          <w:rFonts w:hint="eastAsia"/>
          <w:color w:val="auto"/>
          <w:sz w:val="28"/>
          <w:szCs w:val="30"/>
          <w:highlight w:val="none"/>
        </w:rPr>
      </w:pPr>
    </w:p>
    <w:p>
      <w:pPr>
        <w:pStyle w:val="3"/>
        <w:numPr>
          <w:ilvl w:val="0"/>
          <w:numId w:val="0"/>
        </w:numPr>
        <w:jc w:val="left"/>
        <w:rPr>
          <w:rFonts w:hint="eastAsia"/>
          <w:color w:val="auto"/>
          <w:sz w:val="28"/>
          <w:szCs w:val="30"/>
          <w:highlight w:val="none"/>
        </w:rPr>
      </w:pPr>
    </w:p>
    <w:p>
      <w:pPr>
        <w:pStyle w:val="3"/>
        <w:numPr>
          <w:ilvl w:val="0"/>
          <w:numId w:val="0"/>
        </w:numPr>
        <w:jc w:val="left"/>
        <w:rPr>
          <w:rFonts w:hint="eastAsia"/>
          <w:color w:val="auto"/>
          <w:sz w:val="28"/>
          <w:szCs w:val="30"/>
          <w:highlight w:val="none"/>
        </w:rPr>
      </w:pPr>
    </w:p>
    <w:p>
      <w:pPr>
        <w:pStyle w:val="3"/>
        <w:numPr>
          <w:ilvl w:val="0"/>
          <w:numId w:val="0"/>
        </w:numPr>
        <w:jc w:val="left"/>
        <w:rPr>
          <w:color w:val="auto"/>
          <w:sz w:val="28"/>
          <w:szCs w:val="30"/>
          <w:highlight w:val="none"/>
        </w:rPr>
      </w:pPr>
      <w:r>
        <w:rPr>
          <w:rFonts w:hint="eastAsia"/>
          <w:color w:val="auto"/>
          <w:sz w:val="28"/>
          <w:szCs w:val="30"/>
          <w:highlight w:val="none"/>
        </w:rPr>
        <w:t>附件一：项目验收报告</w:t>
      </w:r>
    </w:p>
    <w:p>
      <w:pPr>
        <w:adjustRightInd w:val="0"/>
        <w:snapToGrid w:val="0"/>
        <w:spacing w:after="200"/>
        <w:jc w:val="center"/>
        <w:rPr>
          <w:rFonts w:ascii="宋体" w:hAnsi="宋体" w:eastAsia="微软雅黑"/>
          <w:b/>
          <w:bCs/>
          <w:color w:val="auto"/>
          <w:sz w:val="36"/>
          <w:szCs w:val="36"/>
          <w:highlight w:val="none"/>
        </w:rPr>
      </w:pPr>
      <w:r>
        <w:rPr>
          <w:rFonts w:hint="eastAsia" w:ascii="宋体" w:hAnsi="宋体" w:eastAsia="微软雅黑"/>
          <w:b/>
          <w:bCs/>
          <w:color w:val="auto"/>
          <w:sz w:val="36"/>
          <w:szCs w:val="36"/>
          <w:highlight w:val="none"/>
          <w:u w:val="single"/>
        </w:rPr>
        <w:t xml:space="preserve">        </w:t>
      </w:r>
      <w:r>
        <w:rPr>
          <w:rFonts w:hint="eastAsia" w:ascii="宋体" w:hAnsi="宋体" w:eastAsia="微软雅黑"/>
          <w:b/>
          <w:bCs/>
          <w:color w:val="auto"/>
          <w:sz w:val="36"/>
          <w:szCs w:val="36"/>
          <w:highlight w:val="none"/>
        </w:rPr>
        <w:t>项目验收报告</w:t>
      </w:r>
    </w:p>
    <w:p>
      <w:pPr>
        <w:adjustRightInd w:val="0"/>
        <w:snapToGrid w:val="0"/>
        <w:spacing w:after="200"/>
        <w:ind w:right="844"/>
        <w:jc w:val="center"/>
        <w:rPr>
          <w:rFonts w:ascii="宋体" w:hAnsi="宋体" w:eastAsia="微软雅黑"/>
          <w:b/>
          <w:bCs/>
          <w:color w:val="auto"/>
          <w:sz w:val="22"/>
          <w:szCs w:val="21"/>
          <w:highlight w:val="none"/>
        </w:rPr>
      </w:pPr>
      <w:r>
        <w:rPr>
          <w:rFonts w:hint="eastAsia" w:ascii="宋体" w:hAnsi="宋体" w:eastAsia="微软雅黑"/>
          <w:b/>
          <w:bCs/>
          <w:color w:val="auto"/>
          <w:sz w:val="22"/>
          <w:szCs w:val="21"/>
          <w:highlight w:val="none"/>
        </w:rPr>
        <w:t>年    月    日</w:t>
      </w:r>
    </w:p>
    <w:tbl>
      <w:tblPr>
        <w:tblStyle w:val="18"/>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firstLine="2860" w:firstLineChars="130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合同号</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合同名称</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甲方项目负责人</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乙方项目负责人</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验收参加人员</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highlight w:val="none"/>
              </w:rPr>
            </w:pPr>
            <w:r>
              <w:rPr>
                <w:rFonts w:hint="eastAsia" w:ascii="宋体" w:hAnsi="宋体" w:eastAsia="微软雅黑"/>
                <w:color w:val="auto"/>
                <w:sz w:val="22"/>
                <w:szCs w:val="22"/>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1.乙方协助甲方，完成项目入场前的软件、硬件准备工作。</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2.乙方系统经安装调试符合《销售合同》的要求。</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3.乙方完成甲方相关应用人员及维护人员的培训工作。</w:t>
            </w:r>
          </w:p>
          <w:p>
            <w:pPr>
              <w:keepNext w:val="0"/>
              <w:keepLines w:val="0"/>
              <w:suppressLineNumbers w:val="0"/>
              <w:adjustRightInd w:val="0"/>
              <w:snapToGrid w:val="0"/>
              <w:spacing w:before="0" w:beforeAutospacing="0" w:after="200" w:afterAutospacing="0"/>
              <w:ind w:left="0" w:right="0"/>
              <w:jc w:val="left"/>
              <w:rPr>
                <w:rFonts w:hint="default" w:ascii="宋体" w:hAnsi="宋体"/>
                <w:color w:val="auto"/>
                <w:szCs w:val="22"/>
                <w:highlight w:val="none"/>
              </w:rPr>
            </w:pPr>
            <w:r>
              <w:rPr>
                <w:rFonts w:hint="eastAsia" w:ascii="宋体" w:hAnsi="宋体" w:eastAsia="微软雅黑"/>
                <w:color w:val="auto"/>
                <w:sz w:val="22"/>
                <w:szCs w:val="22"/>
                <w:highlight w:val="none"/>
              </w:rPr>
              <w:t>4.乙方在项目撤场阶段与甲方信息科或临床科室项目负责人已完成相关文档资料移交。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甲方验收意见</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甲方代表签字（盖章）</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乙方代表签字（盖章）</w:t>
            </w:r>
          </w:p>
        </w:tc>
      </w:tr>
    </w:tbl>
    <w:p>
      <w:pPr>
        <w:pStyle w:val="5"/>
        <w:ind w:firstLine="643"/>
        <w:rPr>
          <w:b/>
          <w:bCs/>
          <w:color w:val="auto"/>
          <w:sz w:val="32"/>
          <w:szCs w:val="32"/>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9"/>
        <w:rPr>
          <w:color w:val="auto"/>
          <w:highlight w:val="none"/>
        </w:rPr>
      </w:pP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11"/>
        <w:adjustRightInd w:val="0"/>
        <w:snapToGrid w:val="0"/>
        <w:spacing w:line="360" w:lineRule="auto"/>
        <w:jc w:val="center"/>
        <w:rPr>
          <w:rFonts w:hint="eastAsia" w:ascii="仿宋" w:hAnsi="仿宋" w:eastAsia="仿宋" w:cs="仿宋"/>
          <w:b/>
          <w:color w:val="auto"/>
          <w:kern w:val="0"/>
          <w:sz w:val="72"/>
          <w:szCs w:val="72"/>
          <w:highlight w:val="none"/>
        </w:rPr>
      </w:pPr>
    </w:p>
    <w:p>
      <w:pPr>
        <w:pStyle w:val="11"/>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11"/>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11"/>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11"/>
        <w:adjustRightInd w:val="0"/>
        <w:snapToGrid w:val="0"/>
        <w:spacing w:line="360" w:lineRule="auto"/>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11"/>
        <w:spacing w:line="360" w:lineRule="auto"/>
        <w:rPr>
          <w:rFonts w:hint="eastAsia" w:ascii="仿宋" w:hAnsi="仿宋" w:eastAsia="仿宋" w:cs="仿宋"/>
          <w:b/>
          <w:color w:val="auto"/>
          <w:sz w:val="28"/>
          <w:szCs w:val="28"/>
          <w:highlight w:val="none"/>
        </w:rPr>
      </w:pPr>
    </w:p>
    <w:p>
      <w:pPr>
        <w:pStyle w:val="11"/>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11"/>
        <w:adjustRightInd w:val="0"/>
        <w:snapToGrid w:val="0"/>
        <w:spacing w:line="440" w:lineRule="exact"/>
        <w:rPr>
          <w:rFonts w:hint="eastAsia"/>
          <w:color w:val="auto"/>
          <w:highlight w:val="none"/>
        </w:rPr>
      </w:pPr>
      <w:r>
        <w:rPr>
          <w:color w:val="auto"/>
          <w:highlight w:val="none"/>
        </w:rPr>
        <w:br w:type="page"/>
      </w:r>
      <w:r>
        <w:rPr>
          <w:rFonts w:hint="eastAsia" w:ascii="仿宋" w:hAnsi="仿宋" w:eastAsia="仿宋" w:cs="仿宋"/>
          <w:b/>
          <w:bCs/>
          <w:color w:val="auto"/>
          <w:sz w:val="28"/>
          <w:highlight w:val="none"/>
        </w:rPr>
        <w:t>1 资格性/符合性自查表</w:t>
      </w:r>
    </w:p>
    <w:tbl>
      <w:tblPr>
        <w:tblStyle w:val="1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7"/>
        <w:gridCol w:w="4179"/>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gridSpan w:val="2"/>
            <w:noWrap w:val="0"/>
            <w:vAlign w:val="top"/>
          </w:tcPr>
          <w:p>
            <w:pPr>
              <w:keepNext w:val="0"/>
              <w:keepLines w:val="0"/>
              <w:suppressLineNumbers w:val="0"/>
              <w:spacing w:before="0" w:beforeAutospacing="0" w:after="0" w:afterAutospacing="0"/>
              <w:ind w:left="0" w:right="0"/>
              <w:jc w:val="center"/>
              <w:rPr>
                <w:rFonts w:hint="eastAsia"/>
                <w:color w:val="auto"/>
                <w:highlight w:val="none"/>
              </w:rPr>
            </w:pPr>
            <w:r>
              <w:rPr>
                <w:rFonts w:hint="eastAsia" w:ascii="仿宋" w:hAnsi="仿宋" w:eastAsia="仿宋" w:cs="仿宋"/>
                <w:b/>
                <w:bCs/>
                <w:color w:val="auto"/>
                <w:szCs w:val="21"/>
                <w:highlight w:val="none"/>
              </w:rPr>
              <w:t>评审内容</w:t>
            </w:r>
          </w:p>
        </w:tc>
        <w:tc>
          <w:tcPr>
            <w:tcW w:w="417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846" w:type="dxa"/>
            <w:vMerge w:val="restart"/>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rPr>
              <w:t>资格性审查</w:t>
            </w: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2022年</w:t>
            </w:r>
            <w:r>
              <w:rPr>
                <w:rFonts w:hint="eastAsia" w:ascii="仿宋" w:hAnsi="仿宋" w:eastAsia="仿宋" w:cs="仿宋"/>
                <w:color w:val="auto"/>
                <w:highlight w:val="none"/>
              </w:rPr>
              <w:t>至今任意一年经审计的审计报告复印件（包含审计报告中所涉及的财务报表和报表附注）；或②</w:t>
            </w:r>
            <w:r>
              <w:rPr>
                <w:rFonts w:hint="eastAsia" w:ascii="仿宋" w:hAnsi="仿宋" w:eastAsia="仿宋" w:cs="仿宋"/>
                <w:color w:val="auto"/>
                <w:highlight w:val="none"/>
                <w:lang w:eastAsia="zh-CN"/>
              </w:rPr>
              <w:t>2022年</w:t>
            </w:r>
            <w:r>
              <w:rPr>
                <w:rFonts w:hint="eastAsia" w:ascii="仿宋" w:hAnsi="仿宋" w:eastAsia="仿宋" w:cs="仿宋"/>
                <w:color w:val="auto"/>
                <w:highlight w:val="none"/>
              </w:rPr>
              <w:t>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r>
              <w:rPr>
                <w:rFonts w:hint="eastAsia" w:ascii="仿宋" w:hAnsi="仿宋" w:eastAsia="仿宋" w:cs="仿宋"/>
                <w:color w:val="auto"/>
                <w:highlight w:val="none"/>
                <w:lang w:eastAsia="zh-CN"/>
              </w:rPr>
              <w:t>或书面声明</w:t>
            </w:r>
            <w:r>
              <w:rPr>
                <w:rFonts w:hint="eastAsia" w:ascii="仿宋" w:hAnsi="仿宋" w:eastAsia="仿宋" w:cs="仿宋"/>
                <w:color w:val="auto"/>
                <w:highlight w:val="none"/>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11.落实政府采购政策需满足的资格要求</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本项目是专门面向中小企业采购的项目，供应商应为中小微企业。（提供《中小企业声明函》,具体格式文件见比选文件</w:t>
            </w:r>
            <w:r>
              <w:rPr>
                <w:rFonts w:hint="eastAsia" w:ascii="仿宋" w:hAnsi="仿宋" w:eastAsia="仿宋" w:cs="仿宋"/>
                <w:b/>
                <w:bCs/>
                <w:color w:val="auto"/>
                <w:szCs w:val="21"/>
                <w:highlight w:val="none"/>
                <w:lang w:eastAsia="zh-CN"/>
              </w:rPr>
              <w:t>P</w:t>
            </w:r>
            <w:r>
              <w:rPr>
                <w:rFonts w:hint="eastAsia" w:ascii="仿宋" w:hAnsi="仿宋" w:eastAsia="仿宋" w:cs="仿宋"/>
                <w:b/>
                <w:bCs/>
                <w:color w:val="auto"/>
                <w:szCs w:val="21"/>
                <w:highlight w:val="none"/>
                <w:lang w:val="en-US" w:eastAsia="zh-CN"/>
              </w:rPr>
              <w:t>52</w:t>
            </w:r>
            <w:r>
              <w:rPr>
                <w:rFonts w:hint="eastAsia" w:ascii="仿宋" w:hAnsi="仿宋" w:eastAsia="仿宋" w:cs="仿宋"/>
                <w:color w:val="auto"/>
                <w:szCs w:val="21"/>
                <w:highlight w:val="none"/>
                <w:lang w:eastAsia="zh-CN"/>
              </w:rPr>
              <w:t>中小企业声明函，未按要求提供声明函的将导致响应无效）。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软件和信息技术服务业。</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12.报名</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color w:val="auto"/>
                <w:highlight w:val="none"/>
              </w:rPr>
            </w:pPr>
            <w:r>
              <w:rPr>
                <w:rFonts w:hint="eastAsia" w:ascii="仿宋" w:hAnsi="仿宋" w:eastAsia="仿宋" w:cs="仿宋"/>
                <w:color w:val="auto"/>
                <w:szCs w:val="21"/>
                <w:highlight w:val="none"/>
              </w:rPr>
              <w:t>符合性审查</w:t>
            </w: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179" w:type="dxa"/>
            <w:noWrap w:val="0"/>
            <w:vAlign w:val="center"/>
          </w:tcPr>
          <w:p>
            <w:pPr>
              <w:keepNext w:val="0"/>
              <w:keepLines w:val="0"/>
              <w:suppressLineNumbers w:val="0"/>
              <w:spacing w:before="0" w:beforeAutospacing="0" w:after="0" w:afterAutospacing="0" w:line="240" w:lineRule="auto"/>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11"/>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8"/>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对“技术标准与要求”的响应程度</w:t>
            </w:r>
          </w:p>
        </w:tc>
        <w:tc>
          <w:tcPr>
            <w:tcW w:w="5232"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对用户服务需求中带▲号的响应程度进行评分：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完全满足带▲号的一般技术参数，得30分；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有一项带▲号条款负偏离，得27分；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有二项带▲号条款负偏离，得24分；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以此类推，当带▲号条款负偏离达到10项（含）以上时，视为严重偏离此评分项不得分。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注：在每项带“▲”号的技术条款中，若要求提供佐证材料的则须按要求提供，未按采购文件要求提供证明材料的技术参数，以响应文件格式技术和服务要求响应表为准。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对“技术标准与要求”的响应程度</w:t>
            </w:r>
          </w:p>
        </w:tc>
        <w:tc>
          <w:tcPr>
            <w:tcW w:w="5232"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对用户服务需求中不带▲号的响应程度进行评分：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完全满足技术参数要求中不带▲号的一般技术参数，得15分；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有一项不带▲号条款负偏离，得14分；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有二项不带▲号条款负偏离，得13分；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有三项不带▲号条款负偏离，得12分；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以此类推，当不带▲号条款负偏离达到15项（含）以上时，视为严重偏离此评分项不得分。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注：采购文件未要求提供证明材料的技术参数，以响应文件格式技术要求响应表为准。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项目服务方案</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根据响应供应商所提供的技术方案内容进行评价：</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1.方案详细周全、科学合理、针对性强的，得3分；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2.方案基本合理、清晰可行的，得2分；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3.方案较简略、针对性不强的，得1分；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4.未提供方案的，得0分。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企业技术和服务保障实力</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响应供应商具备以下有效证书的，每提供一项得2分，最高得6分。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1.具有质量管理体系认证证书；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2.具有环境管理体系认证证书；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3.具有职业健康安全管理体系认证证书。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注：响应供应商需提供证书扫描件及在全国认证认可信息公共服务平台上对证书的查询结果截图为证明材料，并加盖响应供应商公章，否则不得分。 </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履约能力</w:t>
            </w:r>
          </w:p>
        </w:tc>
        <w:tc>
          <w:tcPr>
            <w:tcW w:w="5232"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根据响应供应商为本项目投入的项目团队、人员构成、分工、等各方面进行综合评比：</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人员岗位职责明确、技术服务团队专业结构合理、人员岗位计划安排合理的，得5分；</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人员岗位职责较明确、技术服务团队专业结构较合理、人员岗位计划安排较合理，得3分。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人员岗位职责基本明确、技术服务团队专业结构基本合理、人员岗位计划安排基本合理，得1分。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拟投入项目团队人员</w:t>
            </w:r>
          </w:p>
        </w:tc>
        <w:tc>
          <w:tcPr>
            <w:tcW w:w="5232"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根据各响应供应商针对本项目安排的人员进行评分：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项目团队成员具有系统集成项目管理工程师或数据库管理工程师证书，每提供1个得2.5分，此项最多得5分。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响应供应商须提供比选截止时间半年内缴纳的社保明细（若公司成立未到半年，按公司成立实际时间提供），并由公司盖章；提供具有人力资源和社会保障部门颁发的工程师职称证书复印件作为佐证材料，无提供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售后服务方案</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根据各响应供应商提供的售后服务方案（包括质保期、维护保养方案、响应的及时性、安排的合理性等）是否完善具体，各阶段服务计划是否详尽进行综合评审：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1.方案详细周全、科学合理、针对性强的，得5分；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2.方案基本合理、清晰可行的，得3分；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3.方案较简略、针对性不强的，得1分；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4.未提供方案的，得0分。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培训方案</w:t>
            </w:r>
          </w:p>
        </w:tc>
        <w:tc>
          <w:tcPr>
            <w:tcW w:w="5232" w:type="dxa"/>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响应供应商</w:t>
            </w:r>
            <w:r>
              <w:rPr>
                <w:rFonts w:hint="default" w:ascii="仿宋" w:hAnsi="仿宋" w:eastAsia="仿宋" w:cs="仿宋"/>
                <w:color w:val="auto"/>
                <w:sz w:val="21"/>
                <w:szCs w:val="21"/>
                <w:highlight w:val="none"/>
                <w:lang w:val="en-US" w:eastAsia="zh-CN"/>
              </w:rPr>
              <w:t>能够针对本次项目提供出完善的培训体系及培训方案，能够为采购人提供专业的培训。</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default" w:ascii="仿宋" w:hAnsi="仿宋" w:eastAsia="仿宋" w:cs="仿宋"/>
                <w:color w:val="auto"/>
                <w:sz w:val="21"/>
                <w:szCs w:val="21"/>
                <w:highlight w:val="none"/>
                <w:lang w:val="en-US" w:eastAsia="zh-CN"/>
              </w:rPr>
              <w:t>培训方案详细</w:t>
            </w:r>
            <w:r>
              <w:rPr>
                <w:rFonts w:hint="eastAsia" w:ascii="仿宋" w:hAnsi="仿宋" w:eastAsia="仿宋" w:cs="仿宋"/>
                <w:color w:val="auto"/>
                <w:sz w:val="21"/>
                <w:szCs w:val="21"/>
                <w:highlight w:val="none"/>
                <w:lang w:val="en-US" w:eastAsia="zh-CN"/>
              </w:rPr>
              <w:t>，可操作性强，</w:t>
            </w:r>
            <w:r>
              <w:rPr>
                <w:rFonts w:hint="default" w:ascii="仿宋" w:hAnsi="仿宋" w:eastAsia="仿宋" w:cs="仿宋"/>
                <w:color w:val="auto"/>
                <w:sz w:val="21"/>
                <w:szCs w:val="21"/>
                <w:highlight w:val="none"/>
                <w:lang w:val="en-US" w:eastAsia="zh-CN"/>
              </w:rPr>
              <w:t>得</w:t>
            </w:r>
            <w:r>
              <w:rPr>
                <w:rFonts w:hint="eastAsia" w:ascii="仿宋" w:hAnsi="仿宋" w:eastAsia="仿宋" w:cs="仿宋"/>
                <w:color w:val="auto"/>
                <w:sz w:val="21"/>
                <w:szCs w:val="21"/>
                <w:highlight w:val="none"/>
                <w:lang w:val="en-US" w:eastAsia="zh-CN"/>
              </w:rPr>
              <w:t>5</w:t>
            </w:r>
            <w:r>
              <w:rPr>
                <w:rFonts w:hint="default" w:ascii="仿宋" w:hAnsi="仿宋" w:eastAsia="仿宋" w:cs="仿宋"/>
                <w:color w:val="auto"/>
                <w:sz w:val="21"/>
                <w:szCs w:val="21"/>
                <w:highlight w:val="none"/>
                <w:lang w:val="en-US" w:eastAsia="zh-CN"/>
              </w:rPr>
              <w:t>分；</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培训方案较详细</w:t>
            </w:r>
            <w:r>
              <w:rPr>
                <w:rFonts w:hint="eastAsia" w:ascii="仿宋" w:hAnsi="仿宋" w:eastAsia="仿宋" w:cs="仿宋"/>
                <w:color w:val="auto"/>
                <w:sz w:val="21"/>
                <w:szCs w:val="21"/>
                <w:highlight w:val="none"/>
                <w:lang w:val="en-US" w:eastAsia="zh-CN"/>
              </w:rPr>
              <w:t>，有一定的操作性，</w:t>
            </w:r>
            <w:r>
              <w:rPr>
                <w:rFonts w:hint="default" w:ascii="仿宋" w:hAnsi="仿宋" w:eastAsia="仿宋" w:cs="仿宋"/>
                <w:color w:val="auto"/>
                <w:sz w:val="21"/>
                <w:szCs w:val="21"/>
                <w:highlight w:val="none"/>
                <w:lang w:val="en-US" w:eastAsia="zh-CN"/>
              </w:rPr>
              <w:t>得</w:t>
            </w: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分；</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培训方案较粗略</w:t>
            </w:r>
            <w:r>
              <w:rPr>
                <w:rFonts w:hint="eastAsia" w:ascii="仿宋" w:hAnsi="仿宋" w:eastAsia="仿宋" w:cs="仿宋"/>
                <w:color w:val="auto"/>
                <w:sz w:val="21"/>
                <w:szCs w:val="21"/>
                <w:highlight w:val="none"/>
                <w:lang w:val="en-US" w:eastAsia="zh-CN"/>
              </w:rPr>
              <w:t>，可操作性不强，</w:t>
            </w:r>
            <w:r>
              <w:rPr>
                <w:rFonts w:hint="default" w:ascii="仿宋" w:hAnsi="仿宋" w:eastAsia="仿宋" w:cs="仿宋"/>
                <w:color w:val="auto"/>
                <w:sz w:val="21"/>
                <w:szCs w:val="21"/>
                <w:highlight w:val="none"/>
                <w:lang w:val="en-US" w:eastAsia="zh-CN"/>
              </w:rPr>
              <w:t>得</w:t>
            </w:r>
            <w:r>
              <w:rPr>
                <w:rFonts w:hint="eastAsia" w:ascii="仿宋" w:hAnsi="仿宋" w:eastAsia="仿宋" w:cs="仿宋"/>
                <w:color w:val="auto"/>
                <w:sz w:val="21"/>
                <w:szCs w:val="21"/>
                <w:highlight w:val="none"/>
                <w:lang w:val="en-US" w:eastAsia="zh-CN"/>
              </w:rPr>
              <w:t>1</w:t>
            </w:r>
            <w:r>
              <w:rPr>
                <w:rFonts w:hint="default" w:ascii="仿宋" w:hAnsi="仿宋" w:eastAsia="仿宋" w:cs="仿宋"/>
                <w:color w:val="auto"/>
                <w:sz w:val="21"/>
                <w:szCs w:val="21"/>
                <w:highlight w:val="none"/>
                <w:lang w:val="en-US"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4.无提供不得分</w:t>
            </w:r>
            <w:r>
              <w:rPr>
                <w:rFonts w:hint="default" w:ascii="仿宋" w:hAnsi="仿宋" w:eastAsia="仿宋" w:cs="仿宋"/>
                <w:color w:val="auto"/>
                <w:sz w:val="21"/>
                <w:szCs w:val="21"/>
                <w:highlight w:val="none"/>
                <w:lang w:val="en-US" w:eastAsia="zh-CN"/>
              </w:rPr>
              <w:t>。</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同类项目业绩</w:t>
            </w:r>
          </w:p>
        </w:tc>
        <w:tc>
          <w:tcPr>
            <w:tcW w:w="5232"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响应供应商提供2022年1月1日至今承担过的同类业绩情况进行评分，提供一个得2分，满分6分。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同类业绩证明文件是中标/成交通知书或合同关键页的复印件或扫描件（合同关键页是指包括：①能显示服务内容等相关信息；②签订合同双方的单位名称、合同项目名称；③签订合同双方的签章、盖章及签订日期），无提供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报价得分</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响应报价得分＝（评审基准价/响应报价）×价格分值</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【注：满足比选文件要求且响应价格最低的响应报价为评审基准价。】最低报价不是成交的唯一依据。因落实政府采购政策进行价格调整的，以调整后的价格计算评审基准价和响应报价。</w:t>
            </w:r>
          </w:p>
        </w:tc>
        <w:tc>
          <w:tcPr>
            <w:tcW w:w="1535" w:type="dxa"/>
            <w:noWrap w:val="0"/>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hint="default" w:ascii="仿宋" w:hAnsi="仿宋" w:eastAsia="仿宋" w:cs="仿宋"/>
          <w:color w:val="auto"/>
          <w:sz w:val="24"/>
          <w:highlight w:val="none"/>
          <w:lang w:val="en-US"/>
        </w:rPr>
      </w:pPr>
    </w:p>
    <w:p>
      <w:pPr>
        <w:adjustRightInd w:val="0"/>
        <w:snapToGrid w:val="0"/>
        <w:spacing w:line="300" w:lineRule="auto"/>
        <w:rPr>
          <w:rFonts w:hint="default" w:ascii="仿宋" w:hAnsi="仿宋" w:eastAsia="仿宋" w:cs="仿宋"/>
          <w:color w:val="auto"/>
          <w:sz w:val="24"/>
          <w:highlight w:val="none"/>
          <w:u w:val="single"/>
          <w:lang w:val="en-US"/>
        </w:rPr>
      </w:pPr>
      <w:r>
        <w:rPr>
          <w:rFonts w:hint="default" w:ascii="仿宋" w:hAnsi="仿宋" w:eastAsia="仿宋" w:cs="仿宋"/>
          <w:color w:val="auto"/>
          <w:sz w:val="24"/>
          <w:highlight w:val="none"/>
          <w:lang w:val="en-US"/>
        </w:rPr>
        <w:t>响应供应商法定代表人（或法定代表人授权代表）签字：</w:t>
      </w:r>
      <w:r>
        <w:rPr>
          <w:rFonts w:hint="default" w:ascii="仿宋" w:hAnsi="仿宋" w:eastAsia="仿宋" w:cs="仿宋"/>
          <w:color w:val="auto"/>
          <w:sz w:val="24"/>
          <w:highlight w:val="none"/>
          <w:u w:val="single"/>
          <w:lang w:val="en-US"/>
        </w:rPr>
        <w:t xml:space="preserve">                   </w:t>
      </w:r>
    </w:p>
    <w:p>
      <w:pPr>
        <w:adjustRightInd w:val="0"/>
        <w:snapToGrid w:val="0"/>
        <w:spacing w:line="300" w:lineRule="auto"/>
        <w:rPr>
          <w:rFonts w:hint="default" w:ascii="仿宋" w:hAnsi="仿宋" w:eastAsia="仿宋" w:cs="仿宋"/>
          <w:color w:val="auto"/>
          <w:sz w:val="24"/>
          <w:highlight w:val="none"/>
          <w:u w:val="single"/>
          <w:lang w:val="en-US"/>
        </w:rPr>
      </w:pPr>
      <w:r>
        <w:rPr>
          <w:rFonts w:hint="default" w:ascii="仿宋" w:hAnsi="仿宋" w:eastAsia="仿宋" w:cs="仿宋"/>
          <w:color w:val="auto"/>
          <w:sz w:val="24"/>
          <w:highlight w:val="none"/>
          <w:lang w:val="en-US"/>
        </w:rPr>
        <w:t>响应供应商名称（盖章）：</w:t>
      </w:r>
      <w:r>
        <w:rPr>
          <w:rFonts w:hint="default" w:ascii="仿宋" w:hAnsi="仿宋" w:eastAsia="仿宋" w:cs="仿宋"/>
          <w:color w:val="auto"/>
          <w:sz w:val="24"/>
          <w:highlight w:val="none"/>
          <w:u w:val="single"/>
          <w:lang w:val="en-US"/>
        </w:rPr>
        <w:t xml:space="preserve">                        </w:t>
      </w:r>
    </w:p>
    <w:p>
      <w:pPr>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rPr>
        <w:t>日期：   年   月   日</w:t>
      </w:r>
    </w:p>
    <w:p>
      <w:pPr>
        <w:rPr>
          <w:rFonts w:hint="default" w:ascii="仿宋" w:hAnsi="仿宋" w:eastAsia="仿宋" w:cs="仿宋"/>
          <w:color w:val="auto"/>
          <w:sz w:val="24"/>
          <w:highlight w:val="none"/>
          <w:lang w:val="en-US"/>
        </w:rPr>
      </w:pPr>
    </w:p>
    <w:p>
      <w:pPr>
        <w:rPr>
          <w:rFonts w:hint="eastAsia" w:ascii="仿宋" w:hAnsi="仿宋" w:eastAsia="仿宋" w:cs="仿宋"/>
          <w:b/>
          <w:bCs/>
          <w:color w:val="auto"/>
          <w:sz w:val="28"/>
          <w:szCs w:val="28"/>
          <w:highlight w:val="none"/>
        </w:rPr>
      </w:pPr>
      <w:r>
        <w:rPr>
          <w:rFonts w:hint="default" w:ascii="仿宋" w:hAnsi="仿宋" w:eastAsia="仿宋" w:cs="仿宋"/>
          <w:color w:val="auto"/>
          <w:sz w:val="24"/>
          <w:highlight w:val="none"/>
          <w:lang w:val="en-US"/>
        </w:rPr>
        <w:br w:type="page"/>
      </w:r>
      <w:r>
        <w:rPr>
          <w:rFonts w:hint="default" w:ascii="仿宋" w:hAnsi="仿宋" w:eastAsia="仿宋" w:cs="仿宋"/>
          <w:b/>
          <w:bCs/>
          <w:color w:val="auto"/>
          <w:sz w:val="28"/>
          <w:szCs w:val="28"/>
          <w:highlight w:val="none"/>
          <w:lang w:val="en-US"/>
        </w:rPr>
        <w:t>3</w:t>
      </w:r>
      <w:r>
        <w:rPr>
          <w:rFonts w:hint="eastAsia" w:ascii="仿宋" w:hAnsi="仿宋" w:eastAsia="仿宋" w:cs="仿宋"/>
          <w:b/>
          <w:bCs/>
          <w:color w:val="auto"/>
          <w:sz w:val="28"/>
          <w:szCs w:val="28"/>
          <w:highlight w:val="none"/>
        </w:rPr>
        <w:t xml:space="preserve"> 资格性文件</w:t>
      </w:r>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9"/>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2"/>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2"/>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2"/>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2"/>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540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336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438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745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745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643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643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cMse2QAAAA0BAAAPAAAAAAAA&#10;AAEAIAAAACIAAABkcnMvZG93bnJldi54bWxQSwECFAAUAAAACACHTuJA8s3pbRECAAAQBAAADgAA&#10;AAAAAAABACAAAAAoAQAAZHJzL2Uyb0RvYy54bWxQSwUGAAAAAAYABgBZAQAAqw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r>
        <w:rPr>
          <w:rFonts w:hint="eastAsia" w:ascii="仿宋" w:hAnsi="仿宋" w:eastAsia="仿宋" w:cs="仿宋"/>
          <w:color w:val="auto"/>
          <w:sz w:val="24"/>
          <w:highlight w:val="none"/>
          <w:lang w:eastAsia="zh-CN"/>
        </w:rPr>
        <w:t>2022年</w:t>
      </w:r>
      <w:r>
        <w:rPr>
          <w:rFonts w:hint="eastAsia" w:ascii="仿宋" w:hAnsi="仿宋" w:eastAsia="仿宋" w:cs="仿宋"/>
          <w:color w:val="auto"/>
          <w:sz w:val="24"/>
          <w:highlight w:val="none"/>
        </w:rPr>
        <w:t>至今任意一年经审计的审计报告复印件（包含审计报告中所涉及的财务报表和报表附注）；或②</w:t>
      </w:r>
      <w:r>
        <w:rPr>
          <w:rFonts w:hint="eastAsia" w:ascii="仿宋" w:hAnsi="仿宋" w:eastAsia="仿宋" w:cs="仿宋"/>
          <w:color w:val="auto"/>
          <w:sz w:val="24"/>
          <w:highlight w:val="none"/>
          <w:lang w:eastAsia="zh-CN"/>
        </w:rPr>
        <w:t>2022年</w:t>
      </w:r>
      <w:r>
        <w:rPr>
          <w:rFonts w:hint="eastAsia" w:ascii="仿宋" w:hAnsi="仿宋" w:eastAsia="仿宋" w:cs="仿宋"/>
          <w:color w:val="auto"/>
          <w:sz w:val="24"/>
          <w:highlight w:val="none"/>
        </w:rPr>
        <w:t>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rPr>
        <w:t>本项目是专门面向中小企业采购的项目，供应商应为中小微企业。（提供《中小企业声明函》,具体格式文件见比选文件</w:t>
      </w:r>
      <w:r>
        <w:rPr>
          <w:rFonts w:hint="eastAsia" w:ascii="仿宋" w:hAnsi="仿宋" w:eastAsia="仿宋" w:cs="仿宋"/>
          <w:b/>
          <w:bCs/>
          <w:strike w:val="0"/>
          <w:color w:val="auto"/>
          <w:sz w:val="24"/>
          <w:highlight w:val="none"/>
        </w:rPr>
        <w:t>P</w:t>
      </w:r>
      <w:r>
        <w:rPr>
          <w:rFonts w:hint="eastAsia" w:ascii="仿宋" w:hAnsi="仿宋" w:eastAsia="仿宋" w:cs="仿宋"/>
          <w:b/>
          <w:bCs/>
          <w:strike w:val="0"/>
          <w:color w:val="auto"/>
          <w:sz w:val="24"/>
          <w:highlight w:val="none"/>
          <w:lang w:val="en-US" w:eastAsia="zh-CN"/>
        </w:rPr>
        <w:t>52</w:t>
      </w:r>
      <w:r>
        <w:rPr>
          <w:rFonts w:hint="eastAsia" w:ascii="仿宋" w:hAnsi="仿宋" w:eastAsia="仿宋" w:cs="仿宋"/>
          <w:strike w:val="0"/>
          <w:color w:val="auto"/>
          <w:sz w:val="24"/>
          <w:highlight w:val="none"/>
        </w:rPr>
        <w:t>中小企业声明函，未按要求提供声明函的将导致响应无效）。本项目中小企业划分标准所属行业为：软件和信息技术服务业</w:t>
      </w:r>
      <w:r>
        <w:rPr>
          <w:rFonts w:hint="eastAsia" w:ascii="仿宋" w:hAnsi="仿宋" w:eastAsia="仿宋" w:cs="仿宋"/>
          <w:strike w:val="0"/>
          <w:color w:val="auto"/>
          <w:sz w:val="24"/>
          <w:highlight w:val="none"/>
          <w:lang w:eastAsia="zh-CN"/>
        </w:rPr>
        <w:t>。</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2"/>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4.1.1近三年经营活动中无重大违法违规声明函</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keepNext w:val="0"/>
              <w:keepLines w:val="0"/>
              <w:suppressLineNumbers w:val="0"/>
              <w:spacing w:before="0" w:beforeAutospacing="0" w:after="12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3651"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3651"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p>
        </w:tc>
        <w:tc>
          <w:tcPr>
            <w:tcW w:w="3947" w:type="dxa"/>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完全理解并接受</w:t>
            </w:r>
            <w:r>
              <w:rPr>
                <w:rFonts w:hint="eastAsia" w:ascii="仿宋" w:hAnsi="仿宋" w:eastAsia="仿宋" w:cs="仿宋"/>
                <w:color w:val="auto"/>
                <w:szCs w:val="21"/>
                <w:highlight w:val="none"/>
                <w:lang w:eastAsia="zh-CN"/>
              </w:rPr>
              <w:t>商务</w:t>
            </w:r>
            <w:r>
              <w:rPr>
                <w:rFonts w:hint="eastAsia" w:ascii="仿宋" w:hAnsi="仿宋" w:eastAsia="仿宋" w:cs="仿宋"/>
                <w:color w:val="auto"/>
                <w:szCs w:val="21"/>
                <w:highlight w:val="none"/>
              </w:rPr>
              <w:t>条款要求</w:t>
            </w:r>
          </w:p>
        </w:tc>
        <w:tc>
          <w:tcPr>
            <w:tcW w:w="138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、合格的货物、工程和服务要求</w:t>
            </w:r>
          </w:p>
        </w:tc>
        <w:tc>
          <w:tcPr>
            <w:tcW w:w="138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的各项须知、规约要求和责任义务</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同意按本项目要求缴付相关款项</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以任何形式对我方响应文件内容的真实性和有效性进行审查、验证</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pStyle w:val="15"/>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满足对服务的各项要求</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50" w:type="dxa"/>
            <w:gridSpan w:val="3"/>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p>
    <w:tbl>
      <w:tblPr>
        <w:tblStyle w:val="1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pStyle w:val="26"/>
              <w:keepNext w:val="0"/>
              <w:keepLines w:val="0"/>
              <w:suppressLineNumbers w:val="0"/>
              <w:spacing w:before="0" w:beforeAutospacing="0" w:after="0" w:afterAutospacing="0"/>
              <w:rPr>
                <w:rFonts w:hint="eastAsia" w:ascii="仿宋" w:hAnsi="仿宋" w:eastAsia="仿宋" w:cs="仿宋"/>
                <w:color w:val="auto"/>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pStyle w:val="26"/>
              <w:keepNext w:val="0"/>
              <w:keepLines w:val="0"/>
              <w:suppressLineNumbers w:val="0"/>
              <w:spacing w:before="0" w:beforeAutospacing="0" w:after="0" w:afterAutospacing="0"/>
              <w:rPr>
                <w:rFonts w:hint="eastAsia" w:ascii="仿宋" w:hAnsi="仿宋" w:eastAsia="仿宋" w:cs="仿宋"/>
                <w:color w:val="auto"/>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9"/>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p>
    <w:p>
      <w:pPr>
        <w:pStyle w:val="11"/>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要求响应表（单页填写）</w:t>
      </w:r>
    </w:p>
    <w:p>
      <w:pPr>
        <w:pStyle w:val="11"/>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8"/>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keepNext w:val="0"/>
              <w:keepLines w:val="0"/>
              <w:suppressLineNumbers w:val="0"/>
              <w:spacing w:before="0" w:beforeAutospacing="0" w:after="0" w:afterAutospacing="0"/>
              <w:ind w:left="0" w:right="0"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897"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color w:val="auto"/>
                <w:sz w:val="21"/>
                <w:szCs w:val="21"/>
                <w:highlight w:val="none"/>
                <w:lang w:val="en-US" w:eastAsia="zh-CN"/>
              </w:rPr>
            </w:pPr>
          </w:p>
        </w:tc>
        <w:tc>
          <w:tcPr>
            <w:tcW w:w="170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87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912"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775"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14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897"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 w:val="21"/>
                <w:szCs w:val="21"/>
                <w:highlight w:val="none"/>
                <w:lang w:val="en-US" w:eastAsia="zh-CN"/>
              </w:rPr>
            </w:pPr>
          </w:p>
        </w:tc>
        <w:tc>
          <w:tcPr>
            <w:tcW w:w="170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87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912"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775"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14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 w:val="24"/>
                <w:highlight w:val="none"/>
              </w:rPr>
            </w:pPr>
          </w:p>
        </w:tc>
        <w:tc>
          <w:tcPr>
            <w:tcW w:w="1897"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1"/>
                <w:szCs w:val="21"/>
                <w:highlight w:val="none"/>
              </w:rPr>
            </w:pPr>
          </w:p>
        </w:tc>
        <w:tc>
          <w:tcPr>
            <w:tcW w:w="170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87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912"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7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1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897"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70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87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912"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7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1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8"/>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2641"/>
        <w:gridCol w:w="1764"/>
        <w:gridCol w:w="780"/>
        <w:gridCol w:w="1065"/>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hint="default"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641"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64"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8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065"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hint="default"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hint="default"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val="en-US" w:eastAsia="zh-CN"/>
              </w:rPr>
            </w:pP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8"/>
        <w:tblW w:w="88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54"/>
        <w:gridCol w:w="1969"/>
        <w:gridCol w:w="870"/>
        <w:gridCol w:w="1170"/>
        <w:gridCol w:w="1455"/>
        <w:gridCol w:w="11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2" w:hRule="atLeast"/>
        </w:trPr>
        <w:tc>
          <w:tcPr>
            <w:tcW w:w="2254" w:type="dxa"/>
            <w:noWrap w:val="0"/>
            <w:vAlign w:val="center"/>
          </w:tcPr>
          <w:p>
            <w:pPr>
              <w:pStyle w:val="17"/>
              <w:ind w:left="0" w:leftChars="0" w:right="0" w:rightChars="0" w:firstLine="0" w:firstLineChars="0"/>
              <w:jc w:val="center"/>
              <w:rPr>
                <w:rFonts w:hint="eastAsia" w:ascii="仿宋" w:hAnsi="仿宋" w:eastAsia="仿宋" w:cs="仿宋"/>
                <w:color w:val="auto"/>
                <w:spacing w:val="20"/>
                <w:szCs w:val="21"/>
                <w:highlight w:val="none"/>
              </w:rPr>
            </w:pPr>
            <w:r>
              <w:rPr>
                <w:rFonts w:hint="eastAsia" w:ascii="仿宋" w:hAnsi="仿宋" w:eastAsia="仿宋" w:cs="仿宋"/>
                <w:color w:val="auto"/>
                <w:kern w:val="2"/>
                <w:sz w:val="24"/>
                <w:szCs w:val="24"/>
                <w:highlight w:val="none"/>
                <w:lang w:val="en-US" w:eastAsia="zh-CN" w:bidi="ar-SA"/>
              </w:rPr>
              <w:t>项目名称</w:t>
            </w:r>
          </w:p>
        </w:tc>
        <w:tc>
          <w:tcPr>
            <w:tcW w:w="1969" w:type="dxa"/>
            <w:noWrap w:val="0"/>
            <w:vAlign w:val="center"/>
          </w:tcPr>
          <w:p>
            <w:pPr>
              <w:pStyle w:val="17"/>
              <w:ind w:left="0" w:leftChars="0" w:right="0" w:righ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名称</w:t>
            </w:r>
          </w:p>
        </w:tc>
        <w:tc>
          <w:tcPr>
            <w:tcW w:w="87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单位</w:t>
            </w:r>
          </w:p>
        </w:tc>
        <w:tc>
          <w:tcPr>
            <w:tcW w:w="117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数量</w:t>
            </w:r>
          </w:p>
        </w:tc>
        <w:tc>
          <w:tcPr>
            <w:tcW w:w="1455"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金额</w:t>
            </w:r>
            <w:r>
              <w:rPr>
                <w:rFonts w:hint="eastAsia" w:ascii="仿宋" w:hAnsi="仿宋" w:eastAsia="仿宋" w:cs="仿宋"/>
                <w:color w:val="auto"/>
                <w:kern w:val="0"/>
                <w:sz w:val="24"/>
                <w:highlight w:val="none"/>
                <w:lang w:val="en-US" w:eastAsia="zh-CN"/>
              </w:rPr>
              <w:t>（元）</w:t>
            </w:r>
          </w:p>
        </w:tc>
        <w:tc>
          <w:tcPr>
            <w:tcW w:w="111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2254" w:type="dxa"/>
            <w:vMerge w:val="restart"/>
            <w:noWrap w:val="0"/>
            <w:vAlign w:val="center"/>
          </w:tcPr>
          <w:p>
            <w:pPr>
              <w:pStyle w:val="17"/>
              <w:ind w:left="0" w:leftChars="0" w:right="0" w:rightChars="0" w:firstLine="0" w:firstLineChars="0"/>
              <w:jc w:val="center"/>
              <w:rPr>
                <w:rFonts w:hint="eastAsia" w:ascii="仿宋" w:hAnsi="仿宋" w:eastAsia="仿宋" w:cs="仿宋"/>
                <w:color w:val="auto"/>
                <w:spacing w:val="20"/>
                <w:szCs w:val="21"/>
                <w:highlight w:val="none"/>
              </w:rPr>
            </w:pPr>
            <w:r>
              <w:rPr>
                <w:rFonts w:hint="eastAsia" w:ascii="仿宋" w:hAnsi="仿宋" w:eastAsia="仿宋" w:cs="仿宋"/>
                <w:color w:val="auto"/>
                <w:kern w:val="2"/>
                <w:sz w:val="24"/>
                <w:szCs w:val="24"/>
                <w:highlight w:val="none"/>
                <w:lang w:val="en-US" w:eastAsia="zh-CN" w:bidi="ar-SA"/>
              </w:rPr>
              <w:t>2025年合理用药系统接口开发及维保服务采购项目</w:t>
            </w:r>
          </w:p>
        </w:tc>
        <w:tc>
          <w:tcPr>
            <w:tcW w:w="1969"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t>接口开发服务</w:t>
            </w:r>
          </w:p>
        </w:tc>
        <w:tc>
          <w:tcPr>
            <w:tcW w:w="870" w:type="dxa"/>
            <w:noWrap w:val="0"/>
            <w:vAlign w:val="center"/>
          </w:tcPr>
          <w:p>
            <w:pPr>
              <w:pStyle w:val="17"/>
              <w:ind w:left="0" w:leftChars="0" w:right="0" w:rightChars="0" w:firstLine="0" w:firstLineChars="0"/>
              <w:jc w:val="center"/>
              <w:rPr>
                <w:rFonts w:hint="eastAsia" w:ascii="仿宋" w:hAnsi="仿宋" w:eastAsia="仿宋" w:cs="仿宋"/>
                <w:color w:val="auto"/>
                <w:spacing w:val="20"/>
                <w:szCs w:val="21"/>
                <w:highlight w:val="none"/>
                <w:lang w:val="en-US" w:eastAsia="zh-CN"/>
              </w:rPr>
            </w:pPr>
            <w:r>
              <w:rPr>
                <w:rFonts w:hint="eastAsia" w:ascii="仿宋" w:hAnsi="仿宋" w:eastAsia="仿宋" w:cs="仿宋"/>
                <w:color w:val="auto"/>
                <w:spacing w:val="20"/>
                <w:szCs w:val="21"/>
                <w:highlight w:val="none"/>
                <w:lang w:val="en-US" w:eastAsia="zh-CN"/>
              </w:rPr>
              <w:t>项</w:t>
            </w:r>
          </w:p>
        </w:tc>
        <w:tc>
          <w:tcPr>
            <w:tcW w:w="117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lang w:val="en-US" w:eastAsia="zh-CN"/>
              </w:rPr>
            </w:pPr>
          </w:p>
        </w:tc>
        <w:tc>
          <w:tcPr>
            <w:tcW w:w="1455" w:type="dxa"/>
            <w:noWrap w:val="0"/>
            <w:vAlign w:val="center"/>
          </w:tcPr>
          <w:p>
            <w:pPr>
              <w:keepNext w:val="0"/>
              <w:keepLines w:val="0"/>
              <w:widowControl/>
              <w:suppressLineNumbers w:val="0"/>
              <w:spacing w:before="0" w:beforeAutospacing="0" w:after="0" w:afterAutospacing="0" w:line="340" w:lineRule="exact"/>
              <w:ind w:left="0" w:right="0"/>
              <w:jc w:val="left"/>
              <w:rPr>
                <w:rFonts w:hint="eastAsia" w:ascii="仿宋" w:hAnsi="仿宋" w:eastAsia="仿宋" w:cs="仿宋"/>
                <w:color w:val="auto"/>
                <w:spacing w:val="20"/>
                <w:szCs w:val="21"/>
                <w:highlight w:val="none"/>
              </w:rPr>
            </w:pPr>
          </w:p>
        </w:tc>
        <w:tc>
          <w:tcPr>
            <w:tcW w:w="111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2254" w:type="dxa"/>
            <w:vMerge w:val="continue"/>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p>
        </w:tc>
        <w:tc>
          <w:tcPr>
            <w:tcW w:w="1969"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维保服务</w:t>
            </w:r>
          </w:p>
        </w:tc>
        <w:tc>
          <w:tcPr>
            <w:tcW w:w="870" w:type="dxa"/>
            <w:noWrap w:val="0"/>
            <w:vAlign w:val="center"/>
          </w:tcPr>
          <w:p>
            <w:pPr>
              <w:pStyle w:val="17"/>
              <w:ind w:left="0" w:leftChars="0" w:right="0" w:rightChars="0" w:firstLine="0" w:firstLineChars="0"/>
              <w:jc w:val="center"/>
              <w:rPr>
                <w:rFonts w:hint="eastAsia" w:ascii="仿宋" w:hAnsi="仿宋" w:eastAsia="仿宋" w:cs="仿宋"/>
                <w:color w:val="auto"/>
                <w:spacing w:val="20"/>
                <w:szCs w:val="21"/>
                <w:highlight w:val="none"/>
                <w:lang w:eastAsia="zh-CN"/>
              </w:rPr>
            </w:pPr>
            <w:r>
              <w:rPr>
                <w:rFonts w:hint="eastAsia" w:ascii="仿宋" w:hAnsi="仿宋" w:eastAsia="仿宋" w:cs="仿宋"/>
                <w:color w:val="auto"/>
                <w:spacing w:val="20"/>
                <w:szCs w:val="21"/>
                <w:highlight w:val="none"/>
                <w:lang w:eastAsia="zh-CN"/>
              </w:rPr>
              <w:t>项</w:t>
            </w:r>
          </w:p>
        </w:tc>
        <w:tc>
          <w:tcPr>
            <w:tcW w:w="117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p>
        </w:tc>
        <w:tc>
          <w:tcPr>
            <w:tcW w:w="1455" w:type="dxa"/>
            <w:noWrap w:val="0"/>
            <w:vAlign w:val="center"/>
          </w:tcPr>
          <w:p>
            <w:pPr>
              <w:keepNext w:val="0"/>
              <w:keepLines w:val="0"/>
              <w:widowControl/>
              <w:suppressLineNumbers w:val="0"/>
              <w:spacing w:before="0" w:beforeAutospacing="0" w:after="0" w:afterAutospacing="0" w:line="340" w:lineRule="exact"/>
              <w:ind w:left="0" w:right="0"/>
              <w:jc w:val="left"/>
              <w:rPr>
                <w:rFonts w:hint="eastAsia" w:ascii="仿宋" w:hAnsi="仿宋" w:eastAsia="仿宋" w:cs="仿宋"/>
                <w:color w:val="auto"/>
                <w:spacing w:val="20"/>
                <w:szCs w:val="21"/>
                <w:highlight w:val="none"/>
              </w:rPr>
            </w:pPr>
          </w:p>
        </w:tc>
        <w:tc>
          <w:tcPr>
            <w:tcW w:w="111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6263" w:type="dxa"/>
            <w:gridSpan w:val="4"/>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 w:val="24"/>
                <w:szCs w:val="24"/>
                <w:highlight w:val="none"/>
                <w:lang w:eastAsia="zh-CN"/>
              </w:rPr>
              <w:t>合计（元）</w:t>
            </w:r>
          </w:p>
        </w:tc>
        <w:tc>
          <w:tcPr>
            <w:tcW w:w="2565" w:type="dxa"/>
            <w:gridSpan w:val="2"/>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p>
      <w:pPr>
        <w:rPr>
          <w:color w:val="auto"/>
          <w:highlight w:val="none"/>
        </w:rPr>
      </w:pPr>
    </w:p>
    <w:p>
      <w:pPr>
        <w:rPr>
          <w:color w:val="auto"/>
          <w:highlight w:val="none"/>
        </w:rPr>
      </w:pPr>
    </w:p>
    <w:p>
      <w:pPr>
        <w:rPr>
          <w:b w:val="0"/>
          <w:bCs w:val="0"/>
          <w:color w:val="auto"/>
          <w:highlight w:val="none"/>
        </w:rPr>
      </w:pPr>
    </w:p>
    <w:p>
      <w:pPr>
        <w:rPr>
          <w:color w:val="auto"/>
          <w:highlight w:val="none"/>
        </w:rPr>
      </w:pPr>
    </w:p>
    <w:p>
      <w:pPr>
        <w:rPr>
          <w:color w:val="auto"/>
          <w:highlight w:val="none"/>
        </w:rPr>
      </w:pPr>
    </w:p>
    <w:p>
      <w:pPr>
        <w:rPr>
          <w:color w:val="auto"/>
          <w:highlight w:val="none"/>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59</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59</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C30507BB"/>
    <w:multiLevelType w:val="singleLevel"/>
    <w:tmpl w:val="C30507BB"/>
    <w:lvl w:ilvl="0" w:tentative="0">
      <w:start w:val="1"/>
      <w:numFmt w:val="decimal"/>
      <w:suff w:val="nothing"/>
      <w:lvlText w:val="（%1）"/>
      <w:lvlJc w:val="left"/>
    </w:lvl>
  </w:abstractNum>
  <w:abstractNum w:abstractNumId="2">
    <w:nsid w:val="01DD238B"/>
    <w:multiLevelType w:val="multilevel"/>
    <w:tmpl w:val="01DD23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B45C01"/>
    <w:multiLevelType w:val="singleLevel"/>
    <w:tmpl w:val="0BB45C01"/>
    <w:lvl w:ilvl="0" w:tentative="0">
      <w:start w:val="1"/>
      <w:numFmt w:val="decimal"/>
      <w:lvlText w:val="%1."/>
      <w:lvlJc w:val="left"/>
      <w:pPr>
        <w:tabs>
          <w:tab w:val="left" w:pos="312"/>
        </w:tabs>
      </w:pPr>
    </w:lvl>
  </w:abstractNum>
  <w:abstractNum w:abstractNumId="4">
    <w:nsid w:val="104E3CCC"/>
    <w:multiLevelType w:val="multilevel"/>
    <w:tmpl w:val="104E3CCC"/>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D995A"/>
    <w:multiLevelType w:val="singleLevel"/>
    <w:tmpl w:val="557D995A"/>
    <w:lvl w:ilvl="0" w:tentative="0">
      <w:start w:val="1"/>
      <w:numFmt w:val="decimal"/>
      <w:suff w:val="nothing"/>
      <w:lvlText w:val="（%1）"/>
      <w:lvlJc w:val="left"/>
    </w:lvl>
  </w:abstractNum>
  <w:abstractNum w:abstractNumId="6">
    <w:nsid w:val="569C8C25"/>
    <w:multiLevelType w:val="singleLevel"/>
    <w:tmpl w:val="569C8C25"/>
    <w:lvl w:ilvl="0" w:tentative="0">
      <w:start w:val="1"/>
      <w:numFmt w:val="chineseCounting"/>
      <w:suff w:val="nothing"/>
      <w:lvlText w:val="%1、"/>
      <w:lvlJc w:val="left"/>
    </w:lvl>
  </w:abstractNum>
  <w:abstractNum w:abstractNumId="7">
    <w:nsid w:val="70222339"/>
    <w:multiLevelType w:val="multilevel"/>
    <w:tmpl w:val="70222339"/>
    <w:lvl w:ilvl="0" w:tentative="0">
      <w:start w:val="1"/>
      <w:numFmt w:val="decimal"/>
      <w:pStyle w:val="3"/>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7"/>
  </w:num>
  <w:num w:numId="2">
    <w:abstractNumId w:val="6"/>
  </w:num>
  <w:num w:numId="3">
    <w:abstractNumId w:val="4"/>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714FF"/>
    <w:rsid w:val="0FEC51C5"/>
    <w:rsid w:val="1015798D"/>
    <w:rsid w:val="14862E05"/>
    <w:rsid w:val="18491255"/>
    <w:rsid w:val="1B3B4EE0"/>
    <w:rsid w:val="1E2870DC"/>
    <w:rsid w:val="2B6C5589"/>
    <w:rsid w:val="3278047D"/>
    <w:rsid w:val="32FA43AF"/>
    <w:rsid w:val="330C4F1D"/>
    <w:rsid w:val="35047118"/>
    <w:rsid w:val="3B370333"/>
    <w:rsid w:val="3D5C65F8"/>
    <w:rsid w:val="41D37259"/>
    <w:rsid w:val="43582C64"/>
    <w:rsid w:val="45A374B0"/>
    <w:rsid w:val="4A8300BE"/>
    <w:rsid w:val="59D10FA0"/>
    <w:rsid w:val="59DD3883"/>
    <w:rsid w:val="5CF02322"/>
    <w:rsid w:val="612F3FAF"/>
    <w:rsid w:val="62457CA8"/>
    <w:rsid w:val="6312045B"/>
    <w:rsid w:val="646C3E94"/>
    <w:rsid w:val="653728CB"/>
    <w:rsid w:val="707963E0"/>
    <w:rsid w:val="71594450"/>
    <w:rsid w:val="73A156C5"/>
    <w:rsid w:val="74B83EC6"/>
    <w:rsid w:val="76591054"/>
    <w:rsid w:val="76C65CCB"/>
    <w:rsid w:val="7E73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Verdana"/>
    </w:r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spacing w:after="120"/>
    </w:p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styleId="15">
    <w:name w:val="index heading"/>
    <w:basedOn w:val="1"/>
    <w:next w:val="16"/>
    <w:qFormat/>
    <w:uiPriority w:val="0"/>
    <w:rPr>
      <w:szCs w:val="20"/>
    </w:rPr>
  </w:style>
  <w:style w:type="paragraph" w:styleId="16">
    <w:name w:val="index 1"/>
    <w:basedOn w:val="1"/>
    <w:next w:val="1"/>
    <w:qFormat/>
    <w:uiPriority w:val="0"/>
  </w:style>
  <w:style w:type="paragraph" w:styleId="17">
    <w:name w:val="List"/>
    <w:basedOn w:val="1"/>
    <w:qFormat/>
    <w:uiPriority w:val="0"/>
    <w:pPr>
      <w:keepNext w:val="0"/>
      <w:keepLines w:val="0"/>
      <w:widowControl w:val="0"/>
      <w:suppressLineNumbers w:val="0"/>
      <w:spacing w:before="0" w:beforeAutospacing="0" w:after="0" w:afterAutospacing="0"/>
      <w:ind w:left="0" w:right="0" w:firstLine="0" w:firstLineChars="0"/>
      <w:contextualSpacing/>
      <w:jc w:val="both"/>
    </w:pPr>
    <w:rPr>
      <w:rFonts w:hint="default" w:ascii="Times New Roman" w:hAnsi="Times New Roman" w:eastAsia="宋体" w:cs="Times New Roman"/>
      <w:kern w:val="2"/>
      <w:sz w:val="21"/>
      <w:szCs w:val="21"/>
      <w:lang w:val="en-US" w:eastAsia="zh-CN" w:bidi="ar"/>
    </w:rPr>
  </w:style>
  <w:style w:type="paragraph" w:customStyle="1" w:styleId="20">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styleId="21">
    <w:name w:val="List Paragraph"/>
    <w:basedOn w:val="1"/>
    <w:qFormat/>
    <w:uiPriority w:val="34"/>
    <w:pPr>
      <w:ind w:firstLine="420"/>
    </w:pPr>
  </w:style>
  <w:style w:type="paragraph" w:customStyle="1" w:styleId="22">
    <w:name w:val="null3"/>
    <w:qFormat/>
    <w:uiPriority w:val="0"/>
    <w:rPr>
      <w:rFonts w:hint="eastAsia" w:ascii="Calibri" w:hAnsi="Calibri" w:eastAsia="宋体" w:cs="Times New Roman"/>
      <w:lang w:val="en-US" w:eastAsia="zh-Hans"/>
    </w:rPr>
  </w:style>
  <w:style w:type="paragraph" w:customStyle="1" w:styleId="23">
    <w:name w:val="列出段落1"/>
    <w:basedOn w:val="1"/>
    <w:qFormat/>
    <w:uiPriority w:val="99"/>
    <w:pPr>
      <w:ind w:firstLine="420" w:firstLineChars="200"/>
    </w:p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6">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2025-09-03T03:58:00Z</dcterms:created>
  <dc:creator>Administrator.FY-202506050949.000</dc:creator>
  <cp:lastModifiedBy>Mao</cp:lastModifiedBy>
  <dcterms:modified xsi:type="dcterms:W3CDTF">2025-09-25T07:28:07Z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