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4"/>
      <w:bookmarkStart w:id="1" w:name="OLE_LINK1"/>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ZCB-YN-2025031</w:t>
      </w:r>
    </w:p>
    <w:p>
      <w:pPr>
        <w:keepNext w:val="0"/>
        <w:keepLines w:val="0"/>
        <w:widowControl/>
        <w:suppressLineNumbers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惠州市第一妇幼保健院停车系统采购</w:t>
      </w:r>
      <w:r>
        <w:rPr>
          <w:rFonts w:hint="eastAsia" w:ascii="仿宋" w:hAnsi="仿宋" w:eastAsia="仿宋" w:cs="仿宋"/>
          <w:b/>
          <w:color w:val="auto"/>
          <w:sz w:val="28"/>
          <w:szCs w:val="28"/>
          <w:highlight w:val="none"/>
        </w:rPr>
        <w:t>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3"/>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惠州市第一妇幼保健院停车系统采购项目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ZCB-YN-2025031</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惠州市第一妇幼保健院停车系统采购项目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6"/>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惠州市第一妇幼保健院停车系统采购项目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套</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130000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宋体" w:hAnsi="宋体"/>
          <w:color w:val="auto"/>
          <w:sz w:val="24"/>
          <w:szCs w:val="24"/>
          <w:highlight w:val="none"/>
          <w:lang w:val="en-US" w:eastAsia="zh-CN"/>
        </w:rPr>
        <w:t>26</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宋体" w:hAnsi="宋体"/>
          <w:color w:val="auto"/>
          <w:sz w:val="24"/>
          <w:szCs w:val="24"/>
          <w:highlight w:val="none"/>
          <w:lang w:val="en-US" w:eastAsia="zh-CN"/>
        </w:rPr>
        <w:t>30</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宋体" w:hAnsi="宋体"/>
          <w:color w:val="auto"/>
          <w:sz w:val="24"/>
          <w:szCs w:val="24"/>
          <w:highlight w:val="none"/>
          <w:lang w:val="en-US" w:eastAsia="zh-CN"/>
        </w:rPr>
        <w:t>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8"/>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bookmarkStart w:id="33" w:name="_GoBack"/>
      <w:bookmarkEnd w:id="33"/>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w:t>
      </w:r>
      <w:r>
        <w:rPr>
          <w:rFonts w:hint="eastAsia" w:ascii="仿宋" w:hAnsi="仿宋" w:eastAsia="仿宋" w:cs="仿宋"/>
          <w:b/>
          <w:bCs/>
          <w:color w:val="auto"/>
          <w:sz w:val="24"/>
          <w:szCs w:val="24"/>
          <w:highlight w:val="none"/>
        </w:rPr>
        <w:t>可提供：①2021年至今任意一年经审计的审计报告复印件（包含审计报告中所涉及的财务报表和报表附注）；或②2021年度至今任意一年</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内部的财务报表复印件（新成立公司提供成立至今的月或季度财务报表复印件）；或③截至</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文件递交截止日</w:t>
      </w:r>
      <w:r>
        <w:rPr>
          <w:rFonts w:hint="eastAsia" w:ascii="仿宋" w:hAnsi="仿宋" w:eastAsia="仿宋" w:cs="仿宋"/>
          <w:b/>
          <w:bCs/>
          <w:color w:val="auto"/>
          <w:sz w:val="24"/>
          <w:szCs w:val="24"/>
          <w:highlight w:val="none"/>
          <w:lang w:eastAsia="zh-CN"/>
        </w:rPr>
        <w:t>12个月内银行</w:t>
      </w:r>
      <w:r>
        <w:rPr>
          <w:rFonts w:hint="eastAsia" w:ascii="仿宋" w:hAnsi="仿宋" w:eastAsia="仿宋" w:cs="仿宋"/>
          <w:b/>
          <w:bCs/>
          <w:color w:val="auto"/>
          <w:sz w:val="24"/>
          <w:szCs w:val="24"/>
          <w:highlight w:val="none"/>
        </w:rPr>
        <w:t>出具的资信证明（复印件）</w:t>
      </w:r>
      <w:r>
        <w:rPr>
          <w:rFonts w:hint="eastAsia" w:ascii="仿宋" w:hAnsi="仿宋" w:eastAsia="仿宋" w:cs="仿宋"/>
          <w:color w:val="auto"/>
          <w:sz w:val="24"/>
          <w:szCs w:val="24"/>
          <w:highlight w:val="none"/>
        </w:rPr>
        <w:t>；</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b w:val="0"/>
          <w:bCs w:val="0"/>
          <w:color w:val="auto"/>
          <w:sz w:val="24"/>
          <w:highlight w:val="none"/>
          <w:lang w:eastAsia="zh-CN"/>
        </w:rPr>
        <w:t>或书面声明</w:t>
      </w:r>
      <w:r>
        <w:rPr>
          <w:rFonts w:hint="eastAsia" w:ascii="仿宋" w:hAnsi="仿宋" w:eastAsia="仿宋" w:cs="仿宋"/>
          <w:b w:val="0"/>
          <w:bCs w:val="0"/>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p>
    <w:p>
      <w:pPr>
        <w:tabs>
          <w:tab w:val="left" w:pos="0"/>
        </w:tabs>
        <w:wordWrap w:val="0"/>
        <w:spacing w:line="360" w:lineRule="auto"/>
        <w:ind w:firstLine="480" w:firstLineChars="200"/>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strike w:val="0"/>
          <w:color w:val="auto"/>
          <w:sz w:val="24"/>
          <w:highlight w:val="none"/>
          <w:lang w:val="en-US" w:eastAsia="zh-CN"/>
        </w:rPr>
        <w:t>6.</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因医院现有停车系统设备老化，识别准确率低、通行速度慢等问题，影响了医院的正常秩序和整体形象。为有效解决上述问题，提升医院服务水平，拟采购一套先进的停车系统，具备高清车牌识别、快速道闸控制、智能车位引导机线上支付等功能，大幅提高车辆通行效率，减少拥堵，同时优化停车管理流程，提高车位利用率。</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（一）采购清单</w:t>
      </w:r>
    </w:p>
    <w:tbl>
      <w:tblPr>
        <w:tblStyle w:val="16"/>
        <w:tblpPr w:leftFromText="180" w:rightFromText="180" w:vertAnchor="text" w:horzAnchor="page" w:tblpX="1707" w:tblpY="378"/>
        <w:tblOverlap w:val="never"/>
        <w:tblW w:w="8635" w:type="dxa"/>
        <w:jc w:val="center"/>
        <w:tblLayout w:type="fixed"/>
        <w:tblCellMar>
          <w:top w:w="0" w:type="dxa"/>
          <w:left w:w="0" w:type="dxa"/>
          <w:bottom w:w="0" w:type="dxa"/>
          <w:right w:w="0" w:type="dxa"/>
        </w:tblCellMar>
      </w:tblPr>
      <w:tblGrid>
        <w:gridCol w:w="635"/>
        <w:gridCol w:w="1445"/>
        <w:gridCol w:w="1230"/>
        <w:gridCol w:w="2310"/>
        <w:gridCol w:w="2205"/>
        <w:gridCol w:w="810"/>
      </w:tblGrid>
      <w:tr>
        <w:tblPrEx>
          <w:tblCellMar>
            <w:top w:w="0" w:type="dxa"/>
            <w:left w:w="0" w:type="dxa"/>
            <w:bottom w:w="0" w:type="dxa"/>
            <w:right w:w="0" w:type="dxa"/>
          </w:tblCellMar>
        </w:tblPrEx>
        <w:trPr>
          <w:trHeight w:val="75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设备名称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数量（套）</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单价最高限价（元）</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总价最高限价（元）</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621"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color w:val="auto"/>
                <w:sz w:val="24"/>
                <w:highlight w:val="none"/>
              </w:rPr>
              <w:t>停车系统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130000.00</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130000.00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p>
        </w:tc>
      </w:tr>
    </w:tbl>
    <w:p>
      <w:pPr>
        <w:numPr>
          <w:ilvl w:val="0"/>
          <w:numId w:val="3"/>
        </w:numPr>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项目内容</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1.停车系统需满足1个车辆入口2个车辆出口使用需求,采用模块化架构设计。</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★2.支持现金、移动支付、无感支付等多元化支付方式，并与医院公众号小程序对接。</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3.具备灵活的收费策略，可实现分时段定价、员工车辆停放时间自定义等功能。</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4.配备全天候视频监控（不低于200万像素高清摄像头，支持车辆识别与异常行为分析）、防砸雷达，确保车辆和人员安全。</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5.数据需加密存储并具备备份恢复能力。</w:t>
      </w:r>
    </w:p>
    <w:p>
      <w:pPr>
        <w:spacing w:line="360" w:lineRule="auto"/>
        <w:ind w:firstLine="480" w:firstLineChars="200"/>
        <w:jc w:val="left"/>
        <w:rPr>
          <w:rFonts w:hint="eastAsia"/>
          <w:color w:val="auto"/>
          <w:highlight w:val="none"/>
          <w:lang w:val="zh-CN"/>
        </w:rPr>
      </w:pPr>
      <w:r>
        <w:rPr>
          <w:rFonts w:hint="eastAsia" w:ascii="仿宋" w:hAnsi="仿宋" w:eastAsia="仿宋" w:cs="仿宋"/>
          <w:color w:val="auto"/>
          <w:sz w:val="24"/>
          <w:highlight w:val="none"/>
          <w:lang w:val="en-US" w:eastAsia="zh-CN"/>
        </w:rPr>
        <w:t>6.</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预留扩展接口：强、弱电线缆管道铺设满足4个出入口。包含设备采购及新设备安装调试。</w:t>
      </w:r>
    </w:p>
    <w:p>
      <w:pPr>
        <w:numPr>
          <w:ilvl w:val="0"/>
          <w:numId w:val="0"/>
        </w:numPr>
        <w:spacing w:line="380" w:lineRule="exact"/>
        <w:ind w:firstLine="482" w:firstLineChars="200"/>
        <w:jc w:val="both"/>
        <w:rPr>
          <w:rFonts w:hint="eastAsia"/>
          <w:color w:val="auto"/>
          <w:highlight w:val="none"/>
          <w:lang w:val="en-US" w:eastAsia="zh-CN"/>
        </w:rPr>
      </w:pPr>
      <w:r>
        <w:rPr>
          <w:rFonts w:hint="eastAsia" w:ascii="仿宋" w:hAnsi="仿宋" w:eastAsia="仿宋" w:cs="仿宋"/>
          <w:b/>
          <w:color w:val="auto"/>
          <w:sz w:val="24"/>
          <w:szCs w:val="24"/>
          <w:highlight w:val="none"/>
          <w:lang w:val="en-US" w:eastAsia="zh-CN"/>
        </w:rPr>
        <w:t>（三）技术参数及配置清单</w:t>
      </w:r>
    </w:p>
    <w:tbl>
      <w:tblPr>
        <w:tblStyle w:val="16"/>
        <w:tblW w:w="514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779"/>
        <w:gridCol w:w="1119"/>
        <w:gridCol w:w="66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8" w:hRule="atLeast"/>
          <w:jc w:val="center"/>
        </w:trPr>
        <w:tc>
          <w:tcPr>
            <w:tcW w:w="454" w:type="pct"/>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序号</w:t>
            </w:r>
          </w:p>
        </w:tc>
        <w:tc>
          <w:tcPr>
            <w:tcW w:w="652"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技术参数名称</w:t>
            </w:r>
          </w:p>
        </w:tc>
        <w:tc>
          <w:tcPr>
            <w:tcW w:w="3893" w:type="pct"/>
            <w:tcBorders>
              <w:left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eastAsia="zh-CN" w:bidi="ar"/>
              </w:rPr>
            </w:pPr>
            <w:r>
              <w:rPr>
                <w:rFonts w:hint="eastAsia" w:ascii="仿宋" w:hAnsi="仿宋" w:eastAsia="仿宋" w:cs="仿宋"/>
                <w:b/>
                <w:bCs/>
                <w:color w:val="auto"/>
                <w:kern w:val="0"/>
                <w:sz w:val="24"/>
                <w:highlight w:val="none"/>
                <w:lang w:bidi="ar"/>
              </w:rPr>
              <w:t>技术参数要求描述</w:t>
            </w:r>
            <w:r>
              <w:rPr>
                <w:rFonts w:hint="eastAsia" w:ascii="仿宋" w:hAnsi="仿宋" w:eastAsia="仿宋" w:cs="仿宋"/>
                <w:b/>
                <w:bCs/>
                <w:color w:val="auto"/>
                <w:kern w:val="0"/>
                <w:sz w:val="24"/>
                <w:highlight w:val="none"/>
                <w:lang w:eastAsia="zh-CN" w:bidi="ar"/>
              </w:rPr>
              <w:t>及配置清单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72" w:hRule="atLeast"/>
          <w:jc w:val="center"/>
        </w:trPr>
        <w:tc>
          <w:tcPr>
            <w:tcW w:w="454" w:type="pct"/>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1</w:t>
            </w:r>
          </w:p>
        </w:tc>
        <w:tc>
          <w:tcPr>
            <w:tcW w:w="652"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车牌识别出入口设备</w:t>
            </w: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1</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道闸（3套）</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电机配备手轮装置，确保停电时能手动起落杆，保障应急通行。</w:t>
            </w: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控制盒设有起杆、落杆、停止三个独立按键。</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③</w:t>
            </w:r>
            <w:r>
              <w:rPr>
                <w:rFonts w:hint="eastAsia" w:ascii="仿宋" w:hAnsi="仿宋" w:eastAsia="仿宋" w:cs="仿宋"/>
                <w:b w:val="0"/>
                <w:bCs w:val="0"/>
                <w:color w:val="auto"/>
                <w:kern w:val="0"/>
                <w:sz w:val="24"/>
                <w:highlight w:val="none"/>
                <w:lang w:bidi="ar"/>
              </w:rPr>
              <w:t>采用无触点监测技术，</w:t>
            </w:r>
            <w:r>
              <w:rPr>
                <w:rFonts w:hint="eastAsia" w:ascii="仿宋" w:hAnsi="仿宋" w:eastAsia="仿宋" w:cs="仿宋"/>
                <w:b w:val="0"/>
                <w:bCs w:val="0"/>
                <w:color w:val="auto"/>
                <w:kern w:val="0"/>
                <w:sz w:val="24"/>
                <w:highlight w:val="none"/>
                <w:lang w:eastAsia="zh-CN" w:bidi="ar"/>
              </w:rPr>
              <w:t>具备更高的</w:t>
            </w:r>
            <w:r>
              <w:rPr>
                <w:rFonts w:hint="eastAsia" w:ascii="仿宋" w:hAnsi="仿宋" w:eastAsia="仿宋" w:cs="仿宋"/>
                <w:b w:val="0"/>
                <w:bCs w:val="0"/>
                <w:color w:val="auto"/>
                <w:kern w:val="0"/>
                <w:sz w:val="24"/>
                <w:highlight w:val="none"/>
                <w:lang w:bidi="ar"/>
              </w:rPr>
              <w:t>控制精度。</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④</w:t>
            </w:r>
            <w:r>
              <w:rPr>
                <w:rFonts w:hint="eastAsia" w:ascii="仿宋" w:hAnsi="仿宋" w:eastAsia="仿宋" w:cs="仿宋"/>
                <w:b w:val="0"/>
                <w:bCs w:val="0"/>
                <w:color w:val="auto"/>
                <w:kern w:val="0"/>
                <w:sz w:val="24"/>
                <w:highlight w:val="none"/>
                <w:lang w:bidi="ar"/>
              </w:rPr>
              <w:t>具备丰富接口，可接入红外线（输入低电平信号）、地感以及收费系统</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支持无线遥控功能，实现远程便捷操控。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4"/>
              </w:numPr>
              <w:ind w:left="0" w:leftChars="0" w:firstLine="0" w:firstLine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快速道闸机直杆（3套）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杆长</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4米，采用八角杆型设计，材质为铝合金，坚固耐用，起落速度快，</w:t>
            </w:r>
            <w:r>
              <w:rPr>
                <w:rFonts w:hint="eastAsia" w:ascii="仿宋" w:hAnsi="仿宋" w:eastAsia="仿宋" w:cs="仿宋"/>
                <w:b w:val="0"/>
                <w:bCs w:val="0"/>
                <w:color w:val="auto"/>
                <w:kern w:val="0"/>
                <w:sz w:val="24"/>
                <w:highlight w:val="none"/>
                <w:lang w:eastAsia="zh-CN" w:bidi="ar"/>
              </w:rPr>
              <w:t>可</w:t>
            </w:r>
            <w:r>
              <w:rPr>
                <w:rFonts w:hint="eastAsia" w:ascii="仿宋" w:hAnsi="仿宋" w:eastAsia="仿宋" w:cs="仿宋"/>
                <w:b w:val="0"/>
                <w:bCs w:val="0"/>
                <w:color w:val="auto"/>
                <w:kern w:val="0"/>
                <w:sz w:val="24"/>
                <w:highlight w:val="none"/>
                <w:lang w:bidi="ar"/>
              </w:rPr>
              <w:t>满足高效通行需求。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5"/>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车牌识别摄像机（3套）</w:t>
            </w:r>
          </w:p>
          <w:p>
            <w:pPr>
              <w:pStyle w:val="8"/>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配备1-6mm电动变焦镜头，可识别多种车牌类型，全面支持符合《中华人民共和国机动车号牌》(GA36-20</w:t>
            </w:r>
            <w:r>
              <w:rPr>
                <w:rFonts w:hint="eastAsia" w:ascii="仿宋" w:hAnsi="仿宋" w:eastAsia="仿宋" w:cs="仿宋"/>
                <w:b w:val="0"/>
                <w:bCs w:val="0"/>
                <w:color w:val="auto"/>
                <w:kern w:val="0"/>
                <w:sz w:val="24"/>
                <w:highlight w:val="none"/>
                <w:lang w:val="en-US" w:eastAsia="zh-CN" w:bidi="ar"/>
              </w:rPr>
              <w:t>18</w:t>
            </w:r>
            <w:r>
              <w:rPr>
                <w:rFonts w:hint="eastAsia" w:ascii="仿宋" w:hAnsi="仿宋" w:eastAsia="仿宋" w:cs="仿宋"/>
                <w:b w:val="0"/>
                <w:bCs w:val="0"/>
                <w:color w:val="auto"/>
                <w:kern w:val="0"/>
                <w:sz w:val="24"/>
                <w:highlight w:val="none"/>
                <w:lang w:bidi="ar"/>
              </w:rPr>
              <w:t>)标准的各类车牌。接口类型丰富，可直接控制道闸开/关，还能外接报警设备、LED显示屏、音频输入输出等。</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支持防跟车模式，在连续过车场景下，能做到跟车不落杆，</w:t>
            </w:r>
            <w:r>
              <w:rPr>
                <w:rFonts w:hint="eastAsia" w:ascii="仿宋" w:hAnsi="仿宋" w:eastAsia="仿宋" w:cs="仿宋"/>
                <w:b w:val="0"/>
                <w:bCs w:val="0"/>
                <w:color w:val="auto"/>
                <w:kern w:val="0"/>
                <w:sz w:val="24"/>
                <w:highlight w:val="none"/>
                <w:lang w:eastAsia="zh-CN" w:bidi="ar"/>
              </w:rPr>
              <w:t>需</w:t>
            </w:r>
            <w:r>
              <w:rPr>
                <w:rFonts w:hint="eastAsia" w:ascii="仿宋" w:hAnsi="仿宋" w:eastAsia="仿宋" w:cs="仿宋"/>
                <w:b w:val="0"/>
                <w:bCs w:val="0"/>
                <w:color w:val="auto"/>
                <w:kern w:val="0"/>
                <w:sz w:val="24"/>
                <w:highlight w:val="none"/>
                <w:lang w:bidi="ar"/>
              </w:rPr>
              <w:t>有效缓解出入口拥堵问题。</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③</w:t>
            </w:r>
            <w:r>
              <w:rPr>
                <w:rFonts w:hint="eastAsia" w:ascii="仿宋" w:hAnsi="仿宋" w:eastAsia="仿宋" w:cs="仿宋"/>
                <w:b w:val="0"/>
                <w:bCs w:val="0"/>
                <w:color w:val="auto"/>
                <w:kern w:val="0"/>
                <w:sz w:val="24"/>
                <w:highlight w:val="none"/>
                <w:lang w:bidi="ar"/>
              </w:rPr>
              <w:t>抓拍单元防护罩面板具备防尘防水滴性能，外置3颗LED补光灯，集补光与抓拍功能于一体，确保在不同光照条件下都能清晰抓拍。</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④</w:t>
            </w:r>
            <w:r>
              <w:rPr>
                <w:rFonts w:hint="eastAsia" w:ascii="仿宋" w:hAnsi="仿宋" w:eastAsia="仿宋" w:cs="仿宋"/>
                <w:b w:val="0"/>
                <w:bCs w:val="0"/>
                <w:color w:val="auto"/>
                <w:kern w:val="0"/>
                <w:sz w:val="24"/>
                <w:highlight w:val="none"/>
                <w:lang w:bidi="ar"/>
              </w:rPr>
              <w:t>内置授权名单功能，可与道闸联动实现自动开闸。</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⑤</w:t>
            </w:r>
            <w:r>
              <w:rPr>
                <w:rFonts w:hint="eastAsia" w:ascii="仿宋" w:hAnsi="仿宋" w:eastAsia="仿宋" w:cs="仿宋"/>
                <w:b w:val="0"/>
                <w:bCs w:val="0"/>
                <w:color w:val="auto"/>
                <w:kern w:val="0"/>
                <w:sz w:val="24"/>
                <w:highlight w:val="none"/>
                <w:lang w:bidi="ar"/>
              </w:rPr>
              <w:t>支持线圈、视频、复合式（视频+线圈）等多种触发模式。</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⑥</w:t>
            </w:r>
            <w:r>
              <w:rPr>
                <w:rFonts w:hint="eastAsia" w:ascii="仿宋" w:hAnsi="仿宋" w:eastAsia="仿宋" w:cs="仿宋"/>
                <w:b w:val="0"/>
                <w:bCs w:val="0"/>
                <w:color w:val="auto"/>
                <w:kern w:val="0"/>
                <w:sz w:val="24"/>
                <w:highlight w:val="none"/>
                <w:lang w:bidi="ar"/>
              </w:rPr>
              <w:t>内置高准确率车牌识别算法，识别率</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99.9%。</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⑦</w:t>
            </w:r>
            <w:r>
              <w:rPr>
                <w:rFonts w:hint="eastAsia" w:ascii="仿宋" w:hAnsi="仿宋" w:eastAsia="仿宋" w:cs="仿宋"/>
                <w:b w:val="0"/>
                <w:bCs w:val="0"/>
                <w:color w:val="auto"/>
                <w:kern w:val="0"/>
                <w:sz w:val="24"/>
                <w:highlight w:val="none"/>
                <w:lang w:bidi="ar"/>
              </w:rPr>
              <w:t>支持远程数据上传，可将抓拍图片快速上传至终端服务器、FTP服务器或后端平台。</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⑧</w:t>
            </w:r>
            <w:r>
              <w:rPr>
                <w:rFonts w:hint="eastAsia" w:ascii="仿宋" w:hAnsi="仿宋" w:eastAsia="仿宋" w:cs="仿宋"/>
                <w:b w:val="0"/>
                <w:bCs w:val="0"/>
                <w:color w:val="auto"/>
                <w:kern w:val="0"/>
                <w:sz w:val="24"/>
                <w:highlight w:val="none"/>
                <w:lang w:bidi="ar"/>
              </w:rPr>
              <w:t>纯视频识别与抓拍时，对无车牌车辆捕获率</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99.9%。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4</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地感处理器（6台）</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电源电压：AC 220V+10% 50HZ ，</w:t>
            </w:r>
            <w:r>
              <w:rPr>
                <w:rFonts w:hint="eastAsia" w:ascii="仿宋" w:hAnsi="仿宋" w:eastAsia="仿宋" w:cs="仿宋"/>
                <w:b w:val="0"/>
                <w:bCs w:val="0"/>
                <w:color w:val="auto"/>
                <w:kern w:val="0"/>
                <w:sz w:val="24"/>
                <w:highlight w:val="none"/>
                <w:lang w:eastAsia="zh-CN" w:bidi="ar"/>
              </w:rPr>
              <w:t>需</w:t>
            </w:r>
            <w:r>
              <w:rPr>
                <w:rFonts w:hint="eastAsia" w:ascii="仿宋" w:hAnsi="仿宋" w:eastAsia="仿宋" w:cs="仿宋"/>
                <w:b w:val="0"/>
                <w:bCs w:val="0"/>
                <w:color w:val="auto"/>
                <w:kern w:val="0"/>
                <w:sz w:val="24"/>
                <w:highlight w:val="none"/>
                <w:lang w:bidi="ar"/>
              </w:rPr>
              <w:t>适应常规供电环境。</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非接触式IC/蓝牙/ID卡/CPU卡读写迅速，时间≤0.2S 。</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③</w:t>
            </w:r>
            <w:r>
              <w:rPr>
                <w:rFonts w:hint="eastAsia" w:ascii="仿宋" w:hAnsi="仿宋" w:eastAsia="仿宋" w:cs="仿宋"/>
                <w:b w:val="0"/>
                <w:bCs w:val="0"/>
                <w:color w:val="auto"/>
                <w:kern w:val="0"/>
                <w:sz w:val="24"/>
                <w:highlight w:val="none"/>
                <w:lang w:bidi="ar"/>
              </w:rPr>
              <w:t>非接触式IC卡读写距离为10-100MM；蓝牙/ID卡读卡距离因读头不同分为15cm/60cm/100cm/300cm/600cm；车牌自动识别进场距离约1M 。</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④</w:t>
            </w:r>
            <w:r>
              <w:rPr>
                <w:rFonts w:hint="eastAsia" w:ascii="仿宋" w:hAnsi="仿宋" w:eastAsia="仿宋" w:cs="仿宋"/>
                <w:b w:val="0"/>
                <w:bCs w:val="0"/>
                <w:color w:val="auto"/>
                <w:kern w:val="0"/>
                <w:sz w:val="24"/>
                <w:highlight w:val="none"/>
                <w:lang w:bidi="ar"/>
              </w:rPr>
              <w:t>通讯接口采用标准TCP/IP，数据传输稳定。</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⑤</w:t>
            </w:r>
            <w:r>
              <w:rPr>
                <w:rFonts w:hint="eastAsia" w:ascii="仿宋" w:hAnsi="仿宋" w:eastAsia="仿宋" w:cs="仿宋"/>
                <w:b w:val="0"/>
                <w:bCs w:val="0"/>
                <w:color w:val="auto"/>
                <w:kern w:val="0"/>
                <w:sz w:val="24"/>
                <w:highlight w:val="none"/>
                <w:lang w:bidi="ar"/>
              </w:rPr>
              <w:t>采用光电隔离方式，具备</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5000V电气隔离抗干扰性能，保障设备稳定运行。</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⑥</w:t>
            </w:r>
            <w:r>
              <w:rPr>
                <w:rFonts w:hint="eastAsia" w:ascii="仿宋" w:hAnsi="仿宋" w:eastAsia="仿宋" w:cs="仿宋"/>
                <w:b w:val="0"/>
                <w:bCs w:val="0"/>
                <w:color w:val="auto"/>
                <w:kern w:val="0"/>
                <w:sz w:val="24"/>
                <w:highlight w:val="none"/>
                <w:lang w:bidi="ar"/>
              </w:rPr>
              <w:t>通讯及地感接口抗雷击能力强，可耐受</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600次7千A/10nS的雷击浪涌冲击。</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⑦</w:t>
            </w:r>
            <w:r>
              <w:rPr>
                <w:rFonts w:hint="eastAsia" w:ascii="仿宋" w:hAnsi="仿宋" w:eastAsia="仿宋" w:cs="仿宋"/>
                <w:b w:val="0"/>
                <w:bCs w:val="0"/>
                <w:color w:val="auto"/>
                <w:kern w:val="0"/>
                <w:sz w:val="24"/>
                <w:highlight w:val="none"/>
                <w:lang w:bidi="ar"/>
              </w:rPr>
              <w:t>支持2个线圈输入，可精准检测出二轮以上机动车辆。</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⑧</w:t>
            </w:r>
            <w:r>
              <w:rPr>
                <w:rFonts w:hint="eastAsia" w:ascii="仿宋" w:hAnsi="仿宋" w:eastAsia="仿宋" w:cs="仿宋"/>
                <w:b w:val="0"/>
                <w:bCs w:val="0"/>
                <w:color w:val="auto"/>
                <w:kern w:val="0"/>
                <w:sz w:val="24"/>
                <w:highlight w:val="none"/>
                <w:lang w:bidi="ar"/>
              </w:rPr>
              <w:t>具备故障检测功能，能实时输出线圈工作状态。</w:t>
            </w:r>
          </w:p>
          <w:p>
            <w:pPr>
              <w:widowControl/>
              <w:jc w:val="left"/>
              <w:textAlignment w:val="center"/>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eastAsia="zh-CN" w:bidi="ar"/>
              </w:rPr>
              <w:t>⑨</w:t>
            </w:r>
            <w:r>
              <w:rPr>
                <w:rFonts w:hint="eastAsia" w:ascii="仿宋" w:hAnsi="仿宋" w:eastAsia="仿宋" w:cs="仿宋"/>
                <w:b w:val="0"/>
                <w:bCs w:val="0"/>
                <w:color w:val="auto"/>
                <w:kern w:val="0"/>
                <w:sz w:val="24"/>
                <w:highlight w:val="none"/>
                <w:lang w:bidi="ar"/>
              </w:rPr>
              <w:t>拥有防浪涌雷击保护功能，有效保护车辆检测器</w:t>
            </w:r>
            <w:r>
              <w:rPr>
                <w:rFonts w:hint="eastAsia" w:ascii="仿宋" w:hAnsi="仿宋" w:eastAsia="仿宋" w:cs="仿宋"/>
                <w:b w:val="0"/>
                <w:bCs w:val="0"/>
                <w:strike w:val="0"/>
                <w:dstrike w:val="0"/>
                <w:color w:val="auto"/>
                <w:kern w:val="0"/>
                <w:sz w:val="24"/>
                <w:highlight w:val="none"/>
                <w:lang w:bidi="ar"/>
              </w:rPr>
              <w:t>，</w:t>
            </w:r>
            <w:r>
              <w:rPr>
                <w:rFonts w:hint="eastAsia" w:ascii="仿宋" w:hAnsi="仿宋" w:eastAsia="仿宋" w:cs="仿宋"/>
                <w:b w:val="0"/>
                <w:bCs w:val="0"/>
                <w:color w:val="auto"/>
                <w:kern w:val="0"/>
                <w:sz w:val="24"/>
                <w:highlight w:val="none"/>
                <w:lang w:bidi="ar"/>
              </w:rPr>
              <w:t>准确检测车辆的到达和离开。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5</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语音设备（3套）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支持自定义语音内容，满足不同场景的播报需求。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6</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补光灯（3套）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可自适应调节，工作温度范围为-10℃~+60℃，储存温度为-40℃—+85℃，工作湿度为0%—95%（无凝结），适应多种复杂环境。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7</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显示屏（3套）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采用动态液晶显示屏，显示内容可灵活配置，可清晰展示</w:t>
            </w:r>
            <w:r>
              <w:rPr>
                <w:rFonts w:hint="eastAsia" w:ascii="仿宋" w:hAnsi="仿宋" w:eastAsia="仿宋" w:cs="仿宋"/>
                <w:b w:val="0"/>
                <w:bCs w:val="0"/>
                <w:color w:val="auto"/>
                <w:kern w:val="0"/>
                <w:sz w:val="24"/>
                <w:highlight w:val="none"/>
                <w:lang w:eastAsia="zh-CN" w:bidi="ar"/>
              </w:rPr>
              <w:t>车位数量（剩余多少车位）、</w:t>
            </w:r>
            <w:r>
              <w:rPr>
                <w:rFonts w:hint="eastAsia" w:ascii="仿宋" w:hAnsi="仿宋" w:eastAsia="仿宋" w:cs="仿宋"/>
                <w:b w:val="0"/>
                <w:bCs w:val="0"/>
                <w:color w:val="auto"/>
                <w:kern w:val="0"/>
                <w:sz w:val="24"/>
                <w:highlight w:val="none"/>
                <w:lang w:bidi="ar"/>
              </w:rPr>
              <w:t>入场车辆信息、车场名称、欢迎标语等。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8</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 机箱（3套）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机箱表面采用抗紫外线静电喷塑工艺，不易起皮、褪色。</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防尘防水等级符合室外设备IP54级别要求，能在户外恶劣环境下长期稳定使用。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4" w:hRule="atLeast"/>
          <w:jc w:val="center"/>
        </w:trPr>
        <w:tc>
          <w:tcPr>
            <w:tcW w:w="454" w:type="pct"/>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2</w:t>
            </w:r>
          </w:p>
        </w:tc>
        <w:tc>
          <w:tcPr>
            <w:tcW w:w="652"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收费/管理中心系统设备</w:t>
            </w: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（1）电脑（2台）：CPU Intel I7，四核 3.6 GHz，内存 DDR4, 8GB，存储 1 个 960GB SSD，显卡集成显卡。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（2）显示器（2个）：显示器 23.8英寸 1920*1080 高清显示。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▲（3）软件密钥（2套）</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2"/>
                <w:sz w:val="24"/>
                <w:szCs w:val="24"/>
                <w:highlight w:val="none"/>
                <w:lang w:val="en-US" w:eastAsia="zh-CN" w:bidi="ar-SA"/>
              </w:rPr>
              <w:t>①在岗亭内放置电脑、IC卡读卡机、对讲主机、报表打印机，相应的通讯线与出入口控制机相连。</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②在电脑内安装1个2口多串口卡，以增加串口；若系统带图像对比功能，还要安装1个视频捕捉卡；并安装相应的驱动软件。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▲（4）管理软件（1套）部分系统功能：</w:t>
            </w:r>
          </w:p>
          <w:p>
            <w:pPr>
              <w:widowControl/>
              <w:numPr>
                <w:ilvl w:val="0"/>
                <w:numId w:val="0"/>
              </w:numPr>
              <w:ind w:leftChars="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①系统自带容错设置，个别字符识别错误系统自动匹配，无须人工匹配；</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②系统同时支持有人模式和无人模式，并可随意切换，对于系统无法自动匹配或没有入场记录的，可设定为自动处理（无人模式）或等待人工处理（有人模式）；</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③无牌车扫码入场，无牌车扫码/交费出场（须网络支持）；</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④识别摄像机：</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color w:val="auto"/>
                <w:kern w:val="2"/>
                <w:sz w:val="24"/>
                <w:szCs w:val="24"/>
                <w:highlight w:val="none"/>
                <w:lang w:val="en-US" w:eastAsia="zh-CN" w:bidi="ar-SA"/>
              </w:rPr>
              <w:t>300万高清像素，自动对焦，集控制、语音、显示、开闸、计费于一体，入口显示欢迎光临、剩余车位、车牌号码，开闸命令。</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⑤支持视频流和触发识别，根据现场具体情况而定。</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⑥全系列车牌均可识别（蓝牌、绿牌、黄牌、黄绿牌、白牌、黑牌、警牌、新武警、新军牌及粤港澳车牌）。</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⑦嵌入式车牌识别算法：结合系统软件容错配置，综合识别率高于99.8%。支持大角度识别≤40°的通道环境。</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⑧优异的成像自动控制：自动跟踪光线变化、有效抑制逆光；夜间抑制汽车大灯。</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⑨智能补光，自动开启关闭无需人为设置。</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 xml:space="preserve">⑩辅助补光灯采用高亮度LED灯珠，自动光控，补光灯角度可根据现场安装环境进行多角度调节。 </w:t>
            </w:r>
            <w:r>
              <w:rPr>
                <w:rFonts w:hint="eastAsia" w:ascii="仿宋" w:hAnsi="仿宋" w:eastAsia="仿宋" w:cs="仿宋"/>
                <w:color w:val="auto"/>
                <w:kern w:val="2"/>
                <w:sz w:val="24"/>
                <w:szCs w:val="24"/>
                <w:highlight w:val="none"/>
                <w:lang w:val="en-US" w:eastAsia="zh-CN" w:bidi="ar-SA"/>
              </w:rPr>
              <w:br w:type="textWrapping"/>
            </w:r>
            <w:r>
              <w:rPr>
                <w:rFonts w:ascii="Arial" w:hAnsi="Arial" w:eastAsia="宋体" w:cs="Arial"/>
                <w:i w:val="0"/>
                <w:caps w:val="0"/>
                <w:color w:val="auto"/>
                <w:spacing w:val="0"/>
                <w:sz w:val="19"/>
                <w:szCs w:val="19"/>
                <w:highlight w:val="none"/>
                <w:shd w:val="clear" w:color="auto" w:fill="FFFFFF"/>
              </w:rPr>
              <w:t>⑪</w:t>
            </w:r>
            <w:r>
              <w:rPr>
                <w:rFonts w:hint="eastAsia" w:ascii="仿宋" w:hAnsi="仿宋" w:eastAsia="仿宋" w:cs="仿宋"/>
                <w:color w:val="auto"/>
                <w:kern w:val="2"/>
                <w:sz w:val="24"/>
                <w:szCs w:val="24"/>
                <w:highlight w:val="none"/>
                <w:lang w:val="en-US" w:eastAsia="zh-CN" w:bidi="ar-SA"/>
              </w:rPr>
              <w:t>开通功能：移动支付、微信小程序、手机APP、网页端，可支持远程录入车辆，给车辆充值延期（固定车支持在线续费延期）、查询统计报表、远程抬杆、播放视频监控、车道全景监控等功能同时支持云端和本地端，防止资料丢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网络设备</w:t>
            </w:r>
          </w:p>
          <w:p>
            <w:pPr>
              <w:widowControl/>
              <w:jc w:val="center"/>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（1）交换机（2套）</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①网络协议：严格契合IEEE 802.3ab与IEEE 802.3z标准，可保障与各类网络设备的兼容性和高效通信。</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②速率调节：支持10/100/1000M自适应速率，可</w:t>
            </w:r>
            <w:r>
              <w:rPr>
                <w:rFonts w:hint="eastAsia" w:ascii="仿宋" w:hAnsi="仿宋" w:eastAsia="仿宋" w:cs="仿宋"/>
                <w:strike w:val="0"/>
                <w:dstrike w:val="0"/>
                <w:color w:val="auto"/>
                <w:kern w:val="2"/>
                <w:sz w:val="24"/>
                <w:szCs w:val="24"/>
                <w:highlight w:val="none"/>
                <w:lang w:val="en-US" w:eastAsia="zh-CN" w:bidi="ar-SA"/>
              </w:rPr>
              <w:t>灵活</w:t>
            </w:r>
            <w:r>
              <w:rPr>
                <w:rFonts w:hint="eastAsia" w:ascii="仿宋" w:hAnsi="仿宋" w:eastAsia="仿宋" w:cs="仿宋"/>
                <w:color w:val="auto"/>
                <w:kern w:val="2"/>
                <w:sz w:val="24"/>
                <w:szCs w:val="24"/>
                <w:highlight w:val="none"/>
                <w:lang w:val="en-US" w:eastAsia="zh-CN" w:bidi="ar-SA"/>
              </w:rPr>
              <w:t>应对日常办公网络需求和大数据传输场景。</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全/半双工自适应模式，可根据网络环境自动优化通信效率 。</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③地址学习：MAC地址表具备学习4096个MAC地址的能力，有助于精准识别和管理网络中的不同设备。</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④物理接口：采用RJ45座接口，并支持Auto - MDIX功能，无需手动调整线缆连接方式，即插即用。</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⑤环境适应：工作温度可在-10℃至+60℃的区间稳定运行，储存温度范围为-40℃至+85℃；工作湿度在0% - 95%（无凝结）环境下不受影响；平均无故障时间（MTBF）大于100000小时，保证设备的长期稳定性和可靠性。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（2）光纤（约280米）：12芯国标光纤，能提供高速、稳定的数据传输通道，适用于长距离、大容量的数据传输需求，确保网络信号的高效传递。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（3）路由器（2套）</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①接口配置：配备4/1000M以太网接口，可满足多个网络设备的接入需求。</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②协议遵循：符合IEEE 802.3ab和IEEE 802.3z协议，保证网络通信的规范性和兼容性。</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③速率适应：支持10/100/1000M自适应速率以及全/半双工自适应，能适应不同网络环境和应用场景，保障网络连接的稳定性和高效性。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（4）收发器（1对）</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①自适应升级：可自动适应10/100Mbps环境，为网络后续升级改造提供便利，无需频繁更换设备。</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②光口模式：光接口支持多模双纤、单模双纤、单模单纤三种光纤传输模式，同时提供SC/ST/FC/LC多种接口选择，可适配不同类型的光纤线路，满足多样化的网络布线需求。</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功能特性：具备检测差错及死机自复位功能，在视频传输等大流量数据应用场景中，能有效保障数据传输的稳定性和连续性；所有电口与光口均有自动环路检测功能，并能隔离相应环回端口，同时配备环路指示灯，方便实时监控设备工作状态。</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④端口设置：提供1路百兆光口和1路百兆以太网电口，支持全双工和半双工网络通信，并带有自动协商能力，可根据网络状况自动调整通信模式，确保通信顺畅。</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⑤数据包支持：支持超长巨帧包的传输，能与支持IEEE802.1Q协议的交换机产品协同工作，最大可传输4097字节的以太包，满足特殊数据传输需求。</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⑥调试便利：支持双绞线口交叉直连自动选择，在系统调试和安装过程中，无需反复确认线缆连接方式，提高工作效率。</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⑦供电灵活：支持5-12V宽直流电压供电，可外置AC220/5V或12V电源适配器，适应不同的供电环境。</w:t>
            </w:r>
          </w:p>
        </w:tc>
      </w:tr>
    </w:tbl>
    <w:p>
      <w:pPr>
        <w:numPr>
          <w:ilvl w:val="0"/>
          <w:numId w:val="0"/>
        </w:numPr>
        <w:spacing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（三）其他要求</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1.施工要求</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（1）旧设备拆除：负责旧设备的拆除工作，拆除后对地面进行找平处理，将拆除物品搬运至100米以内指定地点，并清扫现场垃圾，为新项目施工创造良好条件。 </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（2）岗亭整体形象包装：根据项目需求，制作并安装收费标识、车辆引导标识、限速指示标识、行人指示标识等各类标示牌，统一岗亭整体形象，提升服务质量和管理水平。</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（3）路面开挖：按照覆盖管件的标准进行路面开挖施工，确保管件能够顺利铺设，开挖深度和宽度符合施工要求，保障工程质量。</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（4）路面回填：在管件铺设完成后，以覆盖管件为标准进行路面回填，采用合适的回填材料，分层夯实，确保路面恢复后的平整度和稳定性。</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（5）划线/标线：采用冷涂划线工艺进行道路划线，线条清晰、持久，可有效引导车辆行驶，规范交通秩序，符合相关交通标线标准。</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（6）光纤熔接：进行光纤熔接作业时，保证热熔衰减小于0.05dB，且熔接数量大于20点，确保光纤通信的低损耗和高效性，满足网络数据传输要求。</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（7）施工安装：包含人工费用、运输费用、安装调试费用、安全措施费用以及施工保险费用等所有相关费用，采用全包干制。施工过程严格按照验收标准执行，确保项目完工后能顺利投入使用。</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default" w:ascii="仿宋" w:hAnsi="仿宋" w:eastAsia="仿宋" w:cs="仿宋"/>
          <w:b w:val="0"/>
          <w:bCs/>
          <w:color w:val="auto"/>
          <w:sz w:val="24"/>
          <w:szCs w:val="24"/>
          <w:highlight w:val="none"/>
          <w:lang w:val="en-US" w:eastAsia="zh-CN"/>
        </w:rPr>
        <w:t>安装要求：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（1）安装应符合有关国家标准的要求实施。</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（2）安装工作必须由专业人员实施。</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（3）应按照采购人要求进行安装调试，不得随意安装。</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r>
        <w:rPr>
          <w:rFonts w:hint="default" w:ascii="仿宋" w:hAnsi="仿宋" w:eastAsia="仿宋" w:cs="仿宋"/>
          <w:b w:val="0"/>
          <w:bCs/>
          <w:color w:val="auto"/>
          <w:sz w:val="24"/>
          <w:szCs w:val="24"/>
          <w:highlight w:val="none"/>
          <w:lang w:val="en-US" w:eastAsia="zh-CN"/>
        </w:rPr>
        <w:t>.布线要求：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（1）停车系统的布线应应符合现行国家标准《建筑电气装置工程施工质量验收规范》要求。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（2）引入的电缆或导线，应符合下列要求：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①配线应整齐，避免交叉，并应固定牢靠；</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②电缆芯线和所配导线的端部，均应标明编号；</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③电缆芯线和导线，应留有小于200mm的余量；</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④导线引入线管后，在进线管处应封堵。</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（3）一条导线在管内或线槽内，不应有接头或者扭结。导线的接头应在接线盒内焊接或者用端子连接。</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（4）敷设在多尘或潮湿场所管路的管口和管子连接处，均应做密封处理。</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（5）管路超过下列长度时，应在便于接线处装设接线盒：</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①管子长度每超过45M，无弯曲时；</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②管子长度每超过30M，有1个弯曲时；</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③管子长度每超过20M，有2个弯曲时；</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④管子长度每超过12M，有3个弯曲时。</w:t>
      </w:r>
    </w:p>
    <w:p>
      <w:pPr>
        <w:numPr>
          <w:ilvl w:val="0"/>
          <w:numId w:val="0"/>
        </w:numPr>
        <w:spacing w:line="360" w:lineRule="auto"/>
        <w:ind w:firstLine="240" w:firstLineChars="100"/>
        <w:rPr>
          <w:rFonts w:hint="eastAsia" w:ascii="仿宋" w:hAnsi="仿宋" w:eastAsia="仿宋" w:cs="仿宋"/>
          <w:b/>
          <w:color w:val="auto"/>
          <w:sz w:val="28"/>
          <w:szCs w:val="28"/>
          <w:highlight w:val="none"/>
          <w:lang w:val="en-US" w:eastAsia="zh-CN"/>
        </w:rPr>
      </w:pPr>
      <w:r>
        <w:rPr>
          <w:rFonts w:hint="default" w:ascii="仿宋" w:hAnsi="仿宋" w:eastAsia="仿宋" w:cs="仿宋"/>
          <w:b w:val="0"/>
          <w:bCs/>
          <w:color w:val="auto"/>
          <w:sz w:val="24"/>
          <w:szCs w:val="24"/>
          <w:highlight w:val="none"/>
          <w:lang w:val="en-US" w:eastAsia="zh-CN"/>
        </w:rPr>
        <w:t>（6）管线经过建筑物的变形缝（包括沉降缝、伸缩缝、抗震缝等）处，应采取补偿措施，导线跨变形缝的两侧应固定，并留适当余量。</w:t>
      </w:r>
    </w:p>
    <w:p>
      <w:pPr>
        <w:numPr>
          <w:ilvl w:val="0"/>
          <w:numId w:val="0"/>
        </w:numPr>
        <w:spacing w:line="360" w:lineRule="auto"/>
        <w:ind w:firstLine="281" w:firstLineChars="1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kern w:val="0"/>
          <w:sz w:val="24"/>
          <w:szCs w:val="24"/>
          <w:highlight w:val="none"/>
          <w:lang w:val="zh-CN" w:eastAsia="zh-CN" w:bidi="ar-SA"/>
        </w:rPr>
        <w:t>五、商务要求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1.供货要求：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（1）权利保证：响应供应商应保证给采购人的产品或产品任何部分非他人所有或与他人共有，未设有抵押权、租赁权，未侵犯他人的专利权、商标权等知识产权。一旦出现侵权，响应供应商应承担全部责任。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产品质量：①产品质量应符合中华人民共和国国家安全质量标准、环保标准、行业标准或货物来源国官方标准；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（3）单证齐全：应有产品合格证（或质量证明）、使用说明、发票和其它应具有的单证。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（4）货物为原厂商未启封全新包装，序列号、包装箱号与出厂批号一致，并可追索查阅。      </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2.报价要求：</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（1）报价方式为</w:t>
      </w: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w:t>
      </w:r>
      <w:r>
        <w:rPr>
          <w:rFonts w:hint="eastAsia" w:ascii="仿宋" w:hAnsi="仿宋" w:eastAsia="仿宋" w:cs="仿宋"/>
          <w:bCs/>
          <w:color w:val="auto"/>
          <w:kern w:val="2"/>
          <w:sz w:val="24"/>
          <w:szCs w:val="24"/>
          <w:highlight w:val="none"/>
          <w:lang w:val="en-US" w:eastAsia="zh-CN" w:bidi="ar"/>
        </w:rPr>
        <w:t>响应供应商对所响应项目全部内容进行响应报价，报价不得超出总价，报价高于采购预算单价或总价按响应无效处理。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（2）报价包括设计、安装、随机零配件、辅助材料、调试、培训、质保期服务、各项税费及项目实施过程中不可预见费用等</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val="en-US" w:eastAsia="zh-CN"/>
        </w:rPr>
        <w:t>按采购人需求标准全包干</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。报价总价不得高于采购限额，报价高于采购限额按响应无效处理。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3.交货时间和地点：合同签订后30天内,响应供应商负责将产品运送至</w:t>
      </w:r>
      <w:r>
        <w:rPr>
          <w:rFonts w:hint="eastAsia" w:ascii="仿宋" w:hAnsi="仿宋" w:eastAsia="仿宋" w:cs="仿宋"/>
          <w:color w:val="auto"/>
          <w:sz w:val="24"/>
          <w:highlight w:val="none"/>
          <w:lang w:eastAsia="zh-CN"/>
        </w:rPr>
        <w:t>惠州市第一妇幼保健院</w:t>
      </w:r>
      <w:r>
        <w:rPr>
          <w:rFonts w:hint="eastAsia" w:ascii="仿宋" w:hAnsi="仿宋" w:eastAsia="仿宋" w:cs="仿宋"/>
          <w:color w:val="auto"/>
          <w:sz w:val="24"/>
          <w:highlight w:val="none"/>
        </w:rPr>
        <w:t>指定地点，产品需要安装调试的应及时安装调试，并承担由此产生的全部等费用。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4.质保期：产品质量保证（修）期为至叁年，产品质量保证（修）期限从产品验收合格之日起计算；产品出现问题或故障,响应供应商负责无条件维修（不可抗拒的自然灾害和人为破坏等因素除外）。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（1）硬件设备道闸、车牌识别等需符合性能指标，如道闸起落时间≤3秒、车牌识别率≥99%；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（2）软件系统要确保车辆出入管理、车位管理等功能正常，计费准确，且系统稳定，响应时间＜2秒；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（3）数据安全方面需加密传输与存储，具备备份机制；网络通信要保证设备联网率100%；操作维护要求界面简洁、便于维护。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6.售后服务：提供标准电话技术支持（7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24小时）。质保期内技术人员接到报修通知后60分钟响应，3小时内到达现场，除特殊情况外，故障排除时间不超过8小时。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7.付款及结算方式：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（1）经验收合格安装调试完毕后15日内，一次性支付合同金额的100%。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（2）支付方式采用银行转账支付。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（3）供应商须向采购人出具合法有效完整的完税发票及凭证进行支付结算。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8.违约责任：双方应严格遵守合同约定，如有一方违反合同约定导致另一方损失的，违约方需承担相应的违约责任并赔偿损失。</w:t>
      </w:r>
      <w:r>
        <w:rPr>
          <w:rFonts w:hint="eastAsia" w:ascii="仿宋" w:hAnsi="仿宋" w:eastAsia="仿宋" w:cs="仿宋"/>
          <w:color w:val="auto"/>
          <w:sz w:val="24"/>
          <w:highlight w:val="none"/>
          <w:lang w:eastAsia="zh-CN"/>
        </w:rPr>
        <w:t>具体内容如下：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）甲方违约责任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①甲方无正当理由拒收货物的，甲方应向乙方支付合同金额的5%违约金；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②甲方逾期支付货款的，甲方应向乙方支付欠款金额的3‰的滞纳金，滞纳金累计不得超过欠款金额的5%；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）乙方违约责任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的违约金，并须在合同规定的交货时间内更换合格的货物给甲方，否则，视作乙方不能交付货物而违约，按本条本款下述第“②”项规定由乙方偿付违约赔偿金给甲方。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9.其他要求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（1）要求供应商提供科学性、合理性、实施可行性、可靠性等的项目</w:t>
      </w:r>
      <w:r>
        <w:rPr>
          <w:rFonts w:hint="eastAsia" w:ascii="仿宋" w:hAnsi="仿宋" w:eastAsia="仿宋" w:cs="仿宋"/>
          <w:color w:val="auto"/>
          <w:sz w:val="24"/>
          <w:highlight w:val="none"/>
          <w:lang w:eastAsia="zh-CN"/>
        </w:rPr>
        <w:t>实施</w:t>
      </w:r>
      <w:r>
        <w:rPr>
          <w:rFonts w:hint="eastAsia" w:ascii="仿宋" w:hAnsi="仿宋" w:eastAsia="仿宋" w:cs="仿宋"/>
          <w:color w:val="auto"/>
          <w:sz w:val="24"/>
          <w:highlight w:val="none"/>
        </w:rPr>
        <w:t>方案，包括但不限于实施方案、进度安排、组织、实施计划；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（2）要求供应商提供</w:t>
      </w:r>
      <w:r>
        <w:rPr>
          <w:rFonts w:hint="eastAsia" w:ascii="仿宋" w:hAnsi="仿宋" w:eastAsia="仿宋" w:cs="仿宋"/>
          <w:color w:val="auto"/>
          <w:kern w:val="0"/>
          <w:sz w:val="24"/>
          <w:highlight w:val="none"/>
        </w:rPr>
        <w:t>突发事件处理方案，</w:t>
      </w:r>
      <w:r>
        <w:rPr>
          <w:rFonts w:hint="eastAsia" w:ascii="仿宋" w:hAnsi="仿宋" w:eastAsia="仿宋" w:cs="仿宋"/>
          <w:color w:val="auto"/>
          <w:sz w:val="24"/>
          <w:highlight w:val="none"/>
        </w:rPr>
        <w:t>包括人员到位时间、处置措施等实施</w:t>
      </w:r>
      <w:r>
        <w:rPr>
          <w:rFonts w:hint="eastAsia" w:ascii="仿宋" w:hAnsi="仿宋" w:eastAsia="仿宋" w:cs="仿宋"/>
          <w:color w:val="auto"/>
          <w:kern w:val="0"/>
          <w:sz w:val="24"/>
          <w:highlight w:val="none"/>
        </w:rPr>
        <w:t>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（3）要求供应商提供售后方案，包括但不限于对应急处理、维保年限、售后响应时间及便利性等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（4）要求供应商提供自2021年1月1日至今（以合同签订时间为准）的同类项目业绩数量情况。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要求供应商提供投入项目</w:t>
      </w:r>
      <w:r>
        <w:rPr>
          <w:rFonts w:hint="eastAsia" w:ascii="仿宋" w:hAnsi="仿宋" w:eastAsia="仿宋" w:cs="仿宋"/>
          <w:color w:val="auto"/>
          <w:sz w:val="24"/>
          <w:highlight w:val="none"/>
          <w:lang w:eastAsia="zh-CN"/>
        </w:rPr>
        <w:t>负责人。</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10"/>
        <w:adjustRightInd w:val="0"/>
        <w:snapToGrid w:val="0"/>
        <w:spacing w:line="380" w:lineRule="exact"/>
        <w:rPr>
          <w:rFonts w:hint="eastAsia" w:ascii="仿宋" w:hAnsi="仿宋" w:eastAsia="仿宋" w:cs="仿宋"/>
          <w:color w:val="auto"/>
          <w:sz w:val="28"/>
          <w:szCs w:val="28"/>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10"/>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10"/>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0"/>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（5）“成交供应商”是指经评审小组评审确定的对采购文件做出实质性响应，按评审结果顺序推荐的成交候选供应商及采购文件中明确的定标方法，由采购人党委会或（院长办公会）确定的响应供应商。</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10"/>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0"/>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10"/>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10"/>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2" w:name="_Toc14923_WPSOffice_Level1"/>
      <w:r>
        <w:rPr>
          <w:rFonts w:hint="eastAsia" w:ascii="仿宋" w:hAnsi="仿宋" w:eastAsia="仿宋" w:cs="仿宋"/>
          <w:b w:val="0"/>
          <w:bCs/>
          <w:color w:val="auto"/>
          <w:sz w:val="24"/>
          <w:szCs w:val="24"/>
          <w:highlight w:val="none"/>
        </w:rPr>
        <w:t>同小型、微型</w:t>
      </w:r>
      <w:bookmarkEnd w:id="2"/>
      <w:r>
        <w:rPr>
          <w:rFonts w:hint="eastAsia" w:ascii="仿宋" w:hAnsi="仿宋" w:eastAsia="仿宋" w:cs="仿宋"/>
          <w:b w:val="0"/>
          <w:bCs/>
          <w:color w:val="auto"/>
          <w:sz w:val="24"/>
          <w:szCs w:val="24"/>
          <w:highlight w:val="none"/>
        </w:rPr>
        <w:t>企业，享受评审中价格扣除。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10"/>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0"/>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10"/>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10"/>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10"/>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0"/>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0"/>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五、比选和定标</w:t>
      </w:r>
    </w:p>
    <w:p>
      <w:pPr>
        <w:pStyle w:val="10"/>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0"/>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1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10"/>
        <w:adjustRightInd w:val="0"/>
        <w:snapToGrid w:val="0"/>
        <w:spacing w:line="360" w:lineRule="auto"/>
        <w:ind w:firstLine="480" w:firstLineChars="200"/>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color w:val="auto"/>
          <w:sz w:val="24"/>
          <w:szCs w:val="24"/>
          <w:highlight w:val="none"/>
          <w:lang w:eastAsia="zh-CN"/>
        </w:rPr>
        <w:t>本项目采用“定量评审”方式。</w:t>
      </w:r>
      <w:r>
        <w:rPr>
          <w:rFonts w:hint="eastAsia" w:ascii="仿宋" w:hAnsi="仿宋" w:eastAsia="仿宋" w:cs="仿宋"/>
          <w:color w:val="auto"/>
          <w:sz w:val="24"/>
          <w:szCs w:val="24"/>
          <w:highlight w:val="none"/>
          <w:lang w:val="en-US" w:eastAsia="zh-CN"/>
        </w:rPr>
        <w:t>采用“定量评审”方式推荐成交候选供应商的，评审小组根据比选文件规定的评审办法对通过资格性、符合性审查的响应文件进行评审，按评审结果顺序，推荐前3名成交候选供应商。</w:t>
      </w:r>
    </w:p>
    <w:p>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10"/>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10"/>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0"/>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6"/>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w:t>
            </w:r>
            <w:r>
              <w:rPr>
                <w:rFonts w:hint="eastAsia" w:ascii="仿宋" w:hAnsi="仿宋" w:eastAsia="仿宋" w:cs="仿宋"/>
                <w:color w:val="auto"/>
                <w:szCs w:val="21"/>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10"/>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10"/>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6"/>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对用户服务需求中带▲号的响应程度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所投产品参数全部满足用户需求书中带▲的重要技术参数的，得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分；一项不满足</w:t>
            </w:r>
            <w:r>
              <w:rPr>
                <w:rFonts w:hint="eastAsia" w:ascii="仿宋" w:hAnsi="仿宋" w:eastAsia="仿宋" w:cs="仿宋"/>
                <w:color w:val="auto"/>
                <w:kern w:val="0"/>
                <w:sz w:val="24"/>
                <w:highlight w:val="none"/>
                <w:lang w:val="en-US" w:eastAsia="zh-CN"/>
              </w:rPr>
              <w:t>扣3</w:t>
            </w:r>
            <w:r>
              <w:rPr>
                <w:rFonts w:hint="eastAsia" w:ascii="仿宋" w:hAnsi="仿宋" w:eastAsia="仿宋" w:cs="仿宋"/>
                <w:color w:val="auto"/>
                <w:kern w:val="0"/>
                <w:sz w:val="24"/>
                <w:highlight w:val="none"/>
              </w:rPr>
              <w:t>分；如此类推，每不满足一项带▲的重要技术参数的得分减少</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分，当达到</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项或以上时，视为严重偏离本项不得分。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r>
      <w:tr>
        <w:tblPrEx>
          <w:tblCellMar>
            <w:top w:w="0" w:type="dxa"/>
            <w:left w:w="108" w:type="dxa"/>
            <w:bottom w:w="0" w:type="dxa"/>
            <w:right w:w="108" w:type="dxa"/>
          </w:tblCellMar>
        </w:tblPrEx>
        <w:trPr>
          <w:trHeight w:val="36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25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根据各响应供应商所提供的服务是否满足用户需求书响应程度进行评分：</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完全满足不带▲号的一般技术参数，得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有一项不带▲号条款负偏离，</w:t>
            </w:r>
            <w:r>
              <w:rPr>
                <w:rFonts w:hint="eastAsia" w:ascii="仿宋" w:hAnsi="仿宋" w:eastAsia="仿宋" w:cs="仿宋"/>
                <w:color w:val="auto"/>
                <w:kern w:val="0"/>
                <w:sz w:val="24"/>
                <w:highlight w:val="none"/>
                <w:lang w:val="en-US" w:eastAsia="zh-CN"/>
              </w:rPr>
              <w:t>扣1</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以此类推，当不带▲号条款负偏离达到</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根据响应供应商提供的实施方案（包括但不限于对本项目的目标定位、实施过程、进度安排、测试验收等）进行综合评审：</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1.方案详细且优于或完全满足采购需求、可操作性强，有完善可行的质保承诺，得1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2.方案比较详细且完全满足采购需求、可操作性较强，有比较完善可行的质保承诺，得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3、方案比较简单且基本满足采购需求、可操作性一般，有质保承诺但不完善的，得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highlight w:val="none"/>
              </w:rPr>
              <w:t>4.无提供保修实施方案不得分。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highlight w:val="none"/>
              </w:rPr>
              <w:t>突发事件处理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根据各供应商对机器重大故障如着火、机器掉落等影响业务正常开展等各种突发事件处理方案等情况进行评价，包括人员到位时间、处置措施等情况进行比较和评价。</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1.突发事情处理方案完善，针对性强与可操作性强，得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2.突发事情处理方案较完善，有一定针对性与可操作性较强，得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3.突发事情处理方案不够完善，针对性与可操作性较差，得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sz w:val="24"/>
                <w:highlight w:val="none"/>
              </w:rPr>
              <w:t>4.无提供不得分。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根据供应商提供的2021年1月1日至今的同类项目业绩情况进行评分，每提供一个业绩得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分。 </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sz w:val="24"/>
                <w:highlight w:val="none"/>
              </w:rPr>
              <w:t>（同类业绩证明文件是中标/成交通知书或合同关键页的复印件或扫描件（合同关键页是指包括：①能显示设备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165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拟投入本项目的项目负责人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根据各响应供应商拟投入本项目的项目负责人进行评分：</w:t>
            </w:r>
          </w:p>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响应供应商需提供至少1名项目负责人，负责项目全流程。本项最高得3分。 </w:t>
            </w:r>
          </w:p>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highlight w:val="none"/>
              </w:rPr>
              <w:t>售后服务</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提供售后服务清晰,对应维保年限、维修响应时间及便利性、配件供应、技术支持、培训计划等明确承诺评比。</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1.提供售后服务方案且清晰,对应维保年限、维修响应时间及便利性、配件供应、技术支持、培训计划等明确承诺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2.提供售后服务方案，对应承诺但不够清晰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3.仅提供售后服务方案不清晰且未对应承诺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sz w:val="24"/>
                <w:highlight w:val="none"/>
              </w:rPr>
              <w:t>4.不提供，不得分。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7.推荐</w:t>
      </w:r>
      <w:r>
        <w:rPr>
          <w:rFonts w:hint="eastAsia" w:ascii="仿宋" w:hAnsi="仿宋" w:eastAsia="仿宋" w:cs="仿宋"/>
          <w:b w:val="0"/>
          <w:bCs/>
          <w:color w:val="auto"/>
          <w:sz w:val="24"/>
          <w:szCs w:val="24"/>
          <w:highlight w:val="none"/>
        </w:rPr>
        <w:t>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w:t>
      </w:r>
      <w:r>
        <w:rPr>
          <w:rFonts w:hint="eastAsia" w:ascii="仿宋" w:hAnsi="仿宋" w:eastAsia="仿宋" w:cs="仿宋"/>
          <w:color w:val="auto"/>
          <w:kern w:val="0"/>
          <w:sz w:val="24"/>
          <w:highlight w:val="none"/>
          <w:lang w:val="en-US" w:eastAsia="zh-CN"/>
        </w:rPr>
        <w:t>推荐前3名</w:t>
      </w:r>
      <w:r>
        <w:rPr>
          <w:rFonts w:hint="eastAsia" w:ascii="仿宋" w:hAnsi="仿宋" w:eastAsia="仿宋" w:cs="仿宋"/>
          <w:color w:val="auto"/>
          <w:kern w:val="0"/>
          <w:sz w:val="24"/>
          <w:highlight w:val="none"/>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10"/>
        <w:adjustRightInd w:val="0"/>
        <w:snapToGrid w:val="0"/>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（三）定标</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1.定标方法：定标由采购人负责，按照科学、民主决策原则，根据评审结果和采购需求，由党委会（或院长办公会）从成交候选供应商中确定最终成交供应商。</w:t>
      </w:r>
    </w:p>
    <w:p>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定标因素：本项目定标因素包括企业实力、企业信誉、投标文件响应情况、投标报价、拟派团队管理能力与水平等多方面因素，结合医院发展需求，择优选择履约能力较强、价格合理的供应商。</w:t>
      </w:r>
    </w:p>
    <w:p>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定标时间：在评标报告</w:t>
      </w:r>
      <w:r>
        <w:rPr>
          <w:rFonts w:hint="eastAsia" w:ascii="仿宋" w:hAnsi="仿宋" w:eastAsia="仿宋" w:cs="仿宋"/>
          <w:color w:val="auto"/>
          <w:sz w:val="24"/>
          <w:szCs w:val="24"/>
          <w:highlight w:val="none"/>
          <w:lang w:val="en-US" w:eastAsia="zh-CN"/>
        </w:rPr>
        <w:t>出具后</w:t>
      </w:r>
      <w:r>
        <w:rPr>
          <w:rFonts w:hint="default" w:ascii="仿宋" w:hAnsi="仿宋" w:eastAsia="仿宋" w:cs="仿宋"/>
          <w:color w:val="auto"/>
          <w:sz w:val="24"/>
          <w:szCs w:val="24"/>
          <w:highlight w:val="none"/>
          <w:lang w:val="en-US" w:eastAsia="zh-CN"/>
        </w:rPr>
        <w:t>3周内完成定标工作。</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4.成交候选供应商公示</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采购人应当在决策确定后3个工作日内公示成交候选供应商，公示期不得少于1个工作日。公示应当包括以下内容:</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(1)响应供应商名称、报价；</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(2)成交候选供应商名单；</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(3)确定的成交供应商名单；</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(4)法律、法规和规章规定的其他内容。</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5.成交通知书：</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公示期满无异议或者异议不成立的，采购人确定成交候选供应商为成交供应商，发出成交通知书。成交供应商放弃成交、因不可抗力不能履行合同或者被查实存在影响成交结果的违法行为等情形，采购人可以按照成交候选供应商名单排序依次确定其他成交候选供应商为成交供应商，也可以重新比选。</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10"/>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10"/>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none"/>
          <w:lang w:val="en-US" w:eastAsia="zh-CN"/>
        </w:rPr>
        <w:t>响应</w:t>
      </w:r>
      <w:r>
        <w:rPr>
          <w:rFonts w:hint="eastAsia" w:ascii="仿宋" w:hAnsi="仿宋" w:eastAsia="仿宋" w:cs="仿宋"/>
          <w:strike w:val="0"/>
          <w:dstrike w:val="0"/>
          <w:color w:val="auto"/>
          <w:sz w:val="24"/>
          <w:highlight w:val="none"/>
        </w:rPr>
        <w:t>文件、评定标过程的评</w:t>
      </w:r>
      <w:r>
        <w:rPr>
          <w:rFonts w:hint="eastAsia" w:ascii="仿宋" w:hAnsi="仿宋" w:eastAsia="仿宋" w:cs="仿宋"/>
          <w:strike w:val="0"/>
          <w:dstrike w:val="0"/>
          <w:color w:val="auto"/>
          <w:sz w:val="24"/>
          <w:highlight w:val="none"/>
          <w:lang w:eastAsia="zh-CN"/>
        </w:rPr>
        <w:t>审及</w:t>
      </w:r>
      <w:r>
        <w:rPr>
          <w:rFonts w:hint="eastAsia" w:ascii="仿宋" w:hAnsi="仿宋" w:eastAsia="仿宋" w:cs="仿宋"/>
          <w:strike w:val="0"/>
          <w:dstrike w:val="0"/>
          <w:color w:val="auto"/>
          <w:sz w:val="24"/>
          <w:highlight w:val="none"/>
        </w:rPr>
        <w:t>定标结果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10"/>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6"/>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0"/>
              <w:spacing w:line="800" w:lineRule="exact"/>
              <w:jc w:val="left"/>
              <w:rPr>
                <w:rFonts w:hint="eastAsia" w:ascii="宋体" w:hAnsi="宋体" w:eastAsia="宋体"/>
                <w:b/>
                <w:color w:val="auto"/>
                <w:sz w:val="30"/>
                <w:szCs w:val="30"/>
                <w:highlight w:val="none"/>
                <w:lang w:eastAsia="zh-CN"/>
              </w:rPr>
            </w:pPr>
          </w:p>
          <w:p>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10"/>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10"/>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10"/>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10"/>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9"/>
        <w:numPr>
          <w:ilvl w:val="0"/>
          <w:numId w:val="6"/>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6"/>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9"/>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合同总额包括乙方包装费、仓储费、运输费、保险费、装卸费、随机零配件、安装调试费、培训费、施工费、税费、设备与医院公众号小程序的接口费用以及项目实施过程中的应预见或不可预见费用。</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30天内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1.</w:t>
      </w:r>
      <w:r>
        <w:rPr>
          <w:rFonts w:hint="eastAsia" w:ascii="宋体" w:hAnsi="宋体"/>
          <w:color w:val="auto"/>
          <w:sz w:val="24"/>
          <w:highlight w:val="none"/>
          <w:lang w:val="en-US"/>
        </w:rPr>
        <w:t>经验收合格安装调试完毕后15日内，一次性支付合同金额的100%。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2.</w:t>
      </w:r>
      <w:r>
        <w:rPr>
          <w:rFonts w:hint="eastAsia" w:ascii="宋体" w:hAnsi="宋体"/>
          <w:color w:val="auto"/>
          <w:sz w:val="24"/>
          <w:highlight w:val="none"/>
          <w:lang w:val="en-US"/>
        </w:rPr>
        <w:t>支付方式采用银行转账支付。</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3.</w:t>
      </w:r>
      <w:r>
        <w:rPr>
          <w:rFonts w:hint="eastAsia" w:ascii="宋体" w:hAnsi="宋体"/>
          <w:color w:val="auto"/>
          <w:sz w:val="24"/>
          <w:highlight w:val="none"/>
          <w:lang w:val="en-US"/>
        </w:rPr>
        <w:t>供应商须向采购人出具合法有效完整的完税发票及凭证进行支付结算。</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。质保期内非甲方的人为原因而出现产品质量及安装问题，由乙方负责包修、包换包退、包</w:t>
      </w:r>
      <w:r>
        <w:rPr>
          <w:rFonts w:hint="eastAsia" w:ascii="宋体" w:hAnsi="宋体"/>
          <w:color w:val="auto"/>
          <w:sz w:val="24"/>
          <w:highlight w:val="none"/>
        </w:rPr>
        <w:t>维护保养，并承担因此而产生的一切费用。</w:t>
      </w:r>
      <w:r>
        <w:rPr>
          <w:rFonts w:hint="eastAsia" w:ascii="宋体" w:hAnsi="宋体"/>
          <w:color w:val="auto"/>
          <w:sz w:val="24"/>
          <w:highlight w:val="none"/>
          <w:lang w:val="en-US" w:eastAsia="zh-CN"/>
        </w:rPr>
        <w:t>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须提供同类型的设备予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乙方必须依照采购文件的要求和报价文件的承诺，将设备、系统安装并调试至正常运行的最佳状态。</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进口产品必须具备原产地证明和商检局的检验证明及合法进货渠道证明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报关单、完税凭证</w:t>
      </w:r>
      <w:r>
        <w:rPr>
          <w:rFonts w:hint="eastAsia" w:ascii="宋体" w:hAnsi="宋体" w:eastAsia="宋体" w:cs="宋体"/>
          <w:color w:val="auto"/>
          <w:sz w:val="24"/>
          <w:highlight w:val="none"/>
          <w:lang w:eastAsia="zh-CN"/>
        </w:rPr>
        <w:t>等资料</w:t>
      </w:r>
      <w:r>
        <w:rPr>
          <w:rFonts w:hint="eastAsia" w:ascii="宋体" w:hAnsi="宋体" w:eastAsia="宋体" w:cs="宋体"/>
          <w:color w:val="auto"/>
          <w:sz w:val="24"/>
          <w:highlight w:val="none"/>
        </w:rPr>
        <w:t>。</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乙方应将关键设备的用户手册、保修手册、有关单证资料及配备件、随机工具等交付给甲方，使用操作及安全须知等重要资料应附有中文说明。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6.乙方验收时须一并提供由生产商负责质保期内全部售后服务的承诺函并加盖生产商公章，未能提供则验收不通过。甲方有权追溯乙方的响应文件，视为提供虚假材料。</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仿宋" w:hAnsi="仿宋" w:eastAsia="仿宋" w:cs="仿宋"/>
          <w:color w:val="auto"/>
          <w:sz w:val="24"/>
          <w:highlight w:val="none"/>
          <w:lang w:val="en-US" w:eastAsia="zh-CN"/>
        </w:rPr>
        <w:t>7.</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甲方违约责任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）甲方无正当理由拒收货物的，甲方应向乙方支付合同金额的5%违约金；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）甲方逾期支付货款的，甲方应向乙方支付欠款金额的3‰的滞纳金，滞纳金累计不得超过欠款金额的5%；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乙方违约责任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）”项规定由乙方偿付违约赔偿金给甲方。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7"/>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w:t>
      </w:r>
      <w:r>
        <w:rPr>
          <w:rFonts w:hint="eastAsia" w:ascii="宋体" w:hAnsi="宋体"/>
          <w:color w:val="auto"/>
          <w:sz w:val="24"/>
          <w:highlight w:val="none"/>
          <w:lang w:eastAsia="zh-CN"/>
        </w:rPr>
        <w:t>定</w:t>
      </w:r>
      <w:r>
        <w:rPr>
          <w:rFonts w:hint="eastAsia" w:ascii="宋体" w:hAnsi="宋体"/>
          <w:color w:val="auto"/>
          <w:sz w:val="24"/>
          <w:highlight w:val="none"/>
        </w:rPr>
        <w:t>代表人或其授权代表签字盖章后生效。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2.一式伍份，甲方持肆份，乙方持壹份。</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宋体"/>
          <w:color w:val="auto"/>
          <w:sz w:val="24"/>
          <w:highlight w:val="none"/>
        </w:rPr>
        <w:t>法</w:t>
      </w:r>
      <w:r>
        <w:rPr>
          <w:rFonts w:hint="eastAsia" w:ascii="宋体" w:hAnsi="宋体"/>
          <w:color w:val="auto"/>
          <w:sz w:val="24"/>
          <w:highlight w:val="none"/>
          <w:lang w:eastAsia="zh-CN"/>
        </w:rPr>
        <w:t>定</w:t>
      </w:r>
      <w:r>
        <w:rPr>
          <w:rFonts w:hint="eastAsia" w:ascii="宋体" w:hAnsi="宋体"/>
          <w:color w:val="auto"/>
          <w:sz w:val="24"/>
          <w:highlight w:val="none"/>
        </w:rPr>
        <w:t>代表人</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 xml:space="preserve">                          </w:t>
      </w:r>
      <w:r>
        <w:rPr>
          <w:rFonts w:hint="eastAsia" w:ascii="宋体" w:hAnsi="宋体"/>
          <w:color w:val="auto"/>
          <w:sz w:val="24"/>
          <w:highlight w:val="none"/>
        </w:rPr>
        <w:t>法</w:t>
      </w:r>
      <w:r>
        <w:rPr>
          <w:rFonts w:hint="eastAsia" w:ascii="宋体" w:hAnsi="宋体"/>
          <w:color w:val="auto"/>
          <w:sz w:val="24"/>
          <w:highlight w:val="none"/>
          <w:lang w:eastAsia="zh-CN"/>
        </w:rPr>
        <w:t>定</w:t>
      </w:r>
      <w:r>
        <w:rPr>
          <w:rFonts w:hint="eastAsia" w:ascii="宋体" w:hAnsi="宋体"/>
          <w:color w:val="auto"/>
          <w:sz w:val="24"/>
          <w:highlight w:val="none"/>
        </w:rPr>
        <w:t>代表人</w:t>
      </w:r>
      <w:r>
        <w:rPr>
          <w:rFonts w:hint="eastAsia" w:ascii="宋体"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w:t>
      </w:r>
      <w:r>
        <w:rPr>
          <w:rFonts w:hint="eastAsia" w:ascii="宋体" w:hAnsi="宋体" w:cs="宋体"/>
          <w:color w:val="auto"/>
          <w:sz w:val="24"/>
          <w:szCs w:val="24"/>
          <w:highlight w:val="none"/>
          <w:lang w:val="en-US" w:eastAsia="zh-CN"/>
        </w:rPr>
        <w:t>2-7806062</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0"/>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0"/>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0"/>
        <w:adjustRightInd w:val="0"/>
        <w:snapToGrid w:val="0"/>
        <w:spacing w:line="360" w:lineRule="auto"/>
        <w:jc w:val="center"/>
        <w:rPr>
          <w:rFonts w:hint="eastAsia" w:ascii="仿宋" w:hAnsi="仿宋" w:eastAsia="仿宋" w:cs="仿宋"/>
          <w:b/>
          <w:color w:val="auto"/>
          <w:kern w:val="0"/>
          <w:sz w:val="72"/>
          <w:szCs w:val="72"/>
          <w:highlight w:val="none"/>
        </w:rPr>
      </w:pPr>
    </w:p>
    <w:p>
      <w:pPr>
        <w:pStyle w:val="10"/>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0"/>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0"/>
        <w:adjustRightInd w:val="0"/>
        <w:snapToGrid w:val="0"/>
        <w:spacing w:line="360" w:lineRule="auto"/>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0"/>
        <w:spacing w:line="360" w:lineRule="auto"/>
        <w:rPr>
          <w:rFonts w:hint="eastAsia" w:ascii="仿宋" w:hAnsi="仿宋" w:eastAsia="仿宋" w:cs="仿宋"/>
          <w:b/>
          <w:color w:val="auto"/>
          <w:sz w:val="28"/>
          <w:szCs w:val="28"/>
          <w:highlight w:val="none"/>
        </w:rPr>
      </w:pPr>
    </w:p>
    <w:p>
      <w:pPr>
        <w:pStyle w:val="10"/>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0"/>
        <w:adjustRightInd w:val="0"/>
        <w:snapToGrid w:val="0"/>
        <w:spacing w:line="440" w:lineRule="exact"/>
        <w:rPr>
          <w:rFonts w:hint="eastAsia"/>
          <w:color w:val="auto"/>
          <w:highlight w:val="none"/>
        </w:rPr>
      </w:pPr>
      <w:bookmarkStart w:id="3" w:name="_Toc202820350"/>
      <w:bookmarkStart w:id="4" w:name="_Toc202252033"/>
      <w:bookmarkStart w:id="5" w:name="_Toc202254104"/>
      <w:bookmarkStart w:id="6" w:name="_Toc202251699"/>
      <w:bookmarkStart w:id="7" w:name="_Toc202251074"/>
      <w:bookmarkStart w:id="8" w:name="_Toc202816995"/>
      <w:bookmarkStart w:id="9" w:name="_Toc202819877"/>
      <w:r>
        <w:rPr>
          <w:color w:val="auto"/>
          <w:highlight w:val="none"/>
        </w:rPr>
        <w:br w:type="page"/>
      </w:r>
      <w:r>
        <w:rPr>
          <w:rFonts w:hint="eastAsia" w:ascii="仿宋" w:hAnsi="仿宋" w:eastAsia="仿宋" w:cs="仿宋"/>
          <w:b/>
          <w:bCs/>
          <w:color w:val="auto"/>
          <w:sz w:val="28"/>
          <w:highlight w:val="none"/>
        </w:rPr>
        <w:t xml:space="preserve">1 </w:t>
      </w:r>
      <w:bookmarkEnd w:id="3"/>
      <w:bookmarkEnd w:id="4"/>
      <w:bookmarkEnd w:id="5"/>
      <w:bookmarkEnd w:id="6"/>
      <w:bookmarkEnd w:id="7"/>
      <w:bookmarkEnd w:id="8"/>
      <w:bookmarkEnd w:id="9"/>
      <w:r>
        <w:rPr>
          <w:rFonts w:hint="eastAsia" w:ascii="仿宋" w:hAnsi="仿宋" w:eastAsia="仿宋" w:cs="仿宋"/>
          <w:b/>
          <w:bCs/>
          <w:color w:val="auto"/>
          <w:sz w:val="28"/>
          <w:highlight w:val="none"/>
        </w:rPr>
        <w:t>资格性/符合性自查表</w:t>
      </w:r>
    </w:p>
    <w:tbl>
      <w:tblPr>
        <w:tblStyle w:val="1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12.报名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10"/>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6"/>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20"/>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0"/>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20"/>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01" w:type="dxa"/>
            <w:noWrap w:val="0"/>
            <w:vAlign w:val="center"/>
          </w:tcPr>
          <w:p>
            <w:pPr>
              <w:pStyle w:val="20"/>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对用户服务需求中带▲号的响应程度</w:t>
            </w:r>
          </w:p>
        </w:tc>
        <w:tc>
          <w:tcPr>
            <w:tcW w:w="5232" w:type="dxa"/>
            <w:noWrap w:val="0"/>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所投产品参数全部满足用户需求书中带▲的重要技术参数的，得6分；一项不满足扣3分；如此类推，每不满足一项带▲的重要技术参数的得分减少3分，当达到2项或以上时，视为严重偏离本项不得分。</w:t>
            </w:r>
          </w:p>
          <w:p>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对用户服务需求不带▲号的响应程度 </w:t>
            </w:r>
          </w:p>
        </w:tc>
        <w:tc>
          <w:tcPr>
            <w:tcW w:w="5232" w:type="dxa"/>
            <w:noWrap w:val="0"/>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根据各响应供应商所提供的服务是否满足用户需求书响应程度进行评分：</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完全满足不带▲号的一般技术参数，得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有一项不带▲号条款负偏离，</w:t>
            </w:r>
            <w:r>
              <w:rPr>
                <w:rFonts w:hint="eastAsia" w:ascii="仿宋" w:hAnsi="仿宋" w:eastAsia="仿宋" w:cs="仿宋"/>
                <w:color w:val="auto"/>
                <w:kern w:val="0"/>
                <w:sz w:val="24"/>
                <w:highlight w:val="none"/>
                <w:lang w:val="en-US" w:eastAsia="zh-CN"/>
              </w:rPr>
              <w:t>扣1</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以此类推，当不带▲号条款负偏离达到</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项（含）以上时，视为严重偏离此评分项不得分。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实施方案</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根据响应供应商提供的实施方案（包括但不限于对本项目的目标定位、实施过程、进度安排、测试验收等）进行综合评审：</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1.方案详细且优于或完全满足采购需求、可操作性强，有完善可行的质保承诺，得1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2.方案比较详细且完全满足采购需求、可操作性较强，有比较完善可行的质保承诺，得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3、方案比较简单且基本满足采购需求、可操作性一般，有质保承诺但不完善的，得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4.无提供保修实施方案不得分。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突发事件处理</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根据各供应商对机器重大故障如着火、机器掉落等影响业务正常开展等各种突发事件处理方案等情况进行评价，包括人员到位时间、处置措施等情况进行比较和评价。</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1.突发事情处理方案完善，针对性强与可操作性强，得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2.突发事情处理方案较完善，有一定针对性与可操作性较强，得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3.突发事情处理方案不够完善，针对性与可操作性较差，得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4.无提供不得分。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同类业绩</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根据供应商提供的2021年1月1日至今的同类项目业绩情况进行评分，每提供一个业绩得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分。 </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同类业绩证明文件是中标/成交通知书或合同关键页的复印件或扫描件（合同关键页是指包括：①能显示设备相关信息；②签订合同双方的单位名称、合同项目名称；③签订合同双方的签章、盖章及签订日期），无提供不得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拟投入本项目的项目负责人</w:t>
            </w:r>
          </w:p>
        </w:tc>
        <w:tc>
          <w:tcPr>
            <w:tcW w:w="5232" w:type="dxa"/>
            <w:noWrap w:val="0"/>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根据各响应供应商拟投入本项目的项目负责人进行评分：</w:t>
            </w:r>
          </w:p>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响应供应商需提供至少1名项目负责人，负责项目全流程。本项最高得3分。 </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（所投人员需提供近半年内任意一个月的社保缴纳证明文件复印件，无提供不得分。）</w:t>
            </w:r>
          </w:p>
        </w:tc>
        <w:tc>
          <w:tcPr>
            <w:tcW w:w="1701"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提供售后服务清晰,对应维保年限、维修响应时间及便利性、配件供应、技术支持、培训计划等明确承诺评比。</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1.提供售后服务方案且清晰,对应维保年限、维修响应时间及便利性、配件供应、技术支持、培训计划等明确承诺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2.提供售后服务方案，对应承诺但不够清晰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3.仅提供售后服务方案不清晰且未对应承诺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4.不提供，不得分。</w:t>
            </w:r>
          </w:p>
        </w:tc>
        <w:tc>
          <w:tcPr>
            <w:tcW w:w="1701"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报价得分</w:t>
            </w:r>
          </w:p>
        </w:tc>
        <w:tc>
          <w:tcPr>
            <w:tcW w:w="5232" w:type="dxa"/>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701"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见响应文件第（      ）页</w:t>
            </w:r>
          </w:p>
        </w:tc>
      </w:tr>
    </w:tbl>
    <w:p>
      <w:pPr>
        <w:widowControl/>
        <w:jc w:val="center"/>
        <w:rPr>
          <w:rFonts w:hint="eastAsia" w:ascii="仿宋" w:hAnsi="仿宋" w:eastAsia="仿宋" w:cs="仿宋"/>
          <w:color w:val="auto"/>
          <w:kern w:val="0"/>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0" w:name="_Toc202251700"/>
      <w:bookmarkStart w:id="11" w:name="_Toc202820351"/>
      <w:bookmarkStart w:id="12" w:name="_Toc202254105"/>
      <w:bookmarkStart w:id="13" w:name="_Toc202252034"/>
      <w:bookmarkStart w:id="14" w:name="_Toc202819878"/>
      <w:bookmarkStart w:id="15" w:name="_Toc202816996"/>
      <w:bookmarkStart w:id="16" w:name="_Toc202251075"/>
      <w:r>
        <w:rPr>
          <w:rFonts w:hint="eastAsia" w:ascii="仿宋" w:hAnsi="仿宋" w:eastAsia="仿宋" w:cs="仿宋"/>
          <w:b/>
          <w:bCs/>
          <w:color w:val="auto"/>
          <w:sz w:val="28"/>
          <w:szCs w:val="28"/>
          <w:highlight w:val="none"/>
        </w:rPr>
        <w:t>3 资格性文件</w:t>
      </w:r>
      <w:bookmarkEnd w:id="10"/>
      <w:bookmarkEnd w:id="11"/>
      <w:bookmarkEnd w:id="12"/>
      <w:bookmarkEnd w:id="13"/>
      <w:bookmarkEnd w:id="14"/>
      <w:bookmarkEnd w:id="15"/>
      <w:bookmarkEnd w:id="16"/>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1"/>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1"/>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1"/>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1"/>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7" w:name="_Toc202251076"/>
      <w:bookmarkStart w:id="18" w:name="_Toc202251701"/>
      <w:bookmarkStart w:id="19" w:name="_Toc202819879"/>
      <w:bookmarkStart w:id="20" w:name="_Toc202254106"/>
      <w:bookmarkStart w:id="21" w:name="_Toc202252035"/>
      <w:bookmarkStart w:id="22" w:name="_Toc202820352"/>
      <w:bookmarkStart w:id="23" w:name="_Toc202816997"/>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7"/>
      <w:bookmarkEnd w:id="18"/>
      <w:bookmarkEnd w:id="19"/>
      <w:bookmarkEnd w:id="20"/>
      <w:bookmarkEnd w:id="21"/>
      <w:bookmarkEnd w:id="22"/>
      <w:bookmarkEnd w:id="23"/>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4"/>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816998"/>
      <w:bookmarkStart w:id="25" w:name="_Toc202254107"/>
      <w:bookmarkStart w:id="26" w:name="_Toc202251702"/>
      <w:bookmarkStart w:id="27" w:name="_Toc202819880"/>
      <w:bookmarkStart w:id="28" w:name="_Toc202252036"/>
      <w:bookmarkStart w:id="29" w:name="_Toc202251077"/>
      <w:bookmarkStart w:id="30" w:name="_Toc202820353"/>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3"/>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4"/>
      <w:bookmarkEnd w:id="25"/>
      <w:bookmarkEnd w:id="26"/>
      <w:bookmarkEnd w:id="27"/>
      <w:bookmarkEnd w:id="28"/>
      <w:bookmarkEnd w:id="29"/>
      <w:bookmarkEnd w:id="30"/>
    </w:p>
    <w:p>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2"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2"/>
      <w:r>
        <w:rPr>
          <w:rFonts w:hint="eastAsia" w:ascii="仿宋" w:hAnsi="仿宋" w:eastAsia="仿宋" w:cs="仿宋"/>
          <w:b/>
          <w:color w:val="auto"/>
          <w:sz w:val="24"/>
          <w:highlight w:val="none"/>
        </w:rPr>
        <w:t>响应表（单页填写）</w:t>
      </w:r>
    </w:p>
    <w:p>
      <w:pPr>
        <w:pStyle w:val="10"/>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6"/>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0"/>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0"/>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6"/>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6"/>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bookmarkEnd w:id="0"/>
    <w:p>
      <w:pPr>
        <w:rPr>
          <w:color w:val="auto"/>
          <w:highlight w:val="none"/>
        </w:rPr>
      </w:pPr>
    </w:p>
    <w:p>
      <w:pPr>
        <w:rPr>
          <w:color w:val="auto"/>
          <w:highlight w:val="none"/>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7.定标部分</w:t>
      </w:r>
    </w:p>
    <w:p>
      <w:pPr>
        <w:pStyle w:val="3"/>
        <w:numPr>
          <w:ilvl w:val="2"/>
          <w:numId w:val="0"/>
        </w:numPr>
        <w:spacing w:line="360" w:lineRule="auto"/>
        <w:ind w:leftChars="0"/>
        <w:jc w:val="center"/>
        <w:outlineLvl w:val="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定标因素表</w:t>
      </w:r>
    </w:p>
    <w:tbl>
      <w:tblPr>
        <w:tblStyle w:val="16"/>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269"/>
        <w:gridCol w:w="183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序号</w:t>
            </w:r>
          </w:p>
        </w:tc>
        <w:tc>
          <w:tcPr>
            <w:tcW w:w="3389" w:type="dxa"/>
            <w:gridSpan w:val="2"/>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定标因素</w:t>
            </w:r>
          </w:p>
        </w:tc>
        <w:tc>
          <w:tcPr>
            <w:tcW w:w="2269"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投标人</w:t>
            </w:r>
            <w:r>
              <w:rPr>
                <w:rFonts w:hint="eastAsia" w:ascii="仿宋" w:hAnsi="仿宋" w:eastAsia="仿宋" w:cs="仿宋"/>
                <w:b/>
                <w:bCs/>
                <w:color w:val="auto"/>
                <w:spacing w:val="0"/>
                <w:sz w:val="24"/>
                <w:szCs w:val="24"/>
                <w:highlight w:val="none"/>
                <w:lang w:val="en-US" w:eastAsia="zh-CN"/>
              </w:rPr>
              <w:t>响应</w:t>
            </w:r>
            <w:r>
              <w:rPr>
                <w:rFonts w:hint="eastAsia" w:ascii="仿宋" w:hAnsi="仿宋" w:eastAsia="仿宋" w:cs="仿宋"/>
                <w:b/>
                <w:bCs/>
                <w:color w:val="auto"/>
                <w:spacing w:val="0"/>
                <w:sz w:val="24"/>
                <w:szCs w:val="24"/>
                <w:highlight w:val="none"/>
              </w:rPr>
              <w:t>情况</w:t>
            </w:r>
          </w:p>
        </w:tc>
        <w:tc>
          <w:tcPr>
            <w:tcW w:w="1836"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证明材料所在页码</w:t>
            </w:r>
          </w:p>
        </w:tc>
        <w:tc>
          <w:tcPr>
            <w:tcW w:w="1050"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企业实力</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自行提交材料</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2</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企业信誉</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自行提交材料</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投标文件响应情况</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按文件响应内容提供，提交汇总表</w:t>
            </w:r>
          </w:p>
        </w:tc>
        <w:tc>
          <w:tcPr>
            <w:tcW w:w="2269" w:type="dxa"/>
            <w:noWrap w:val="0"/>
            <w:vAlign w:val="center"/>
          </w:tcPr>
          <w:p>
            <w:pPr>
              <w:adjustRightInd w:val="0"/>
              <w:snapToGrid w:val="0"/>
              <w:spacing w:line="360" w:lineRule="auto"/>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招标文件需求内容负偏离:</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rPr>
              <w:t>条</w:t>
            </w: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4</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投标报价</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按投标文件内容提供</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5</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拟派团队管理能力与水平</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按投标文件内容提供</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778"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bl>
    <w:p>
      <w:pPr>
        <w:numPr>
          <w:ilvl w:val="0"/>
          <w:numId w:val="0"/>
        </w:numPr>
        <w:rPr>
          <w:rFonts w:hint="eastAsia" w:ascii="仿宋" w:hAnsi="仿宋" w:eastAsia="仿宋" w:cs="仿宋"/>
          <w:color w:val="auto"/>
          <w:sz w:val="24"/>
          <w:szCs w:val="24"/>
          <w:highlight w:val="none"/>
          <w:lang w:val="en-US" w:eastAsia="zh-CN"/>
        </w:rPr>
      </w:pPr>
    </w:p>
    <w:bookmarkEnd w:id="1"/>
    <w:p>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58</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58</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7DDBC0B"/>
    <w:multiLevelType w:val="singleLevel"/>
    <w:tmpl w:val="C7DDBC0B"/>
    <w:lvl w:ilvl="0" w:tentative="0">
      <w:start w:val="2"/>
      <w:numFmt w:val="chineseCounting"/>
      <w:suff w:val="nothing"/>
      <w:lvlText w:val="（%1）"/>
      <w:lvlJc w:val="left"/>
      <w:rPr>
        <w:rFonts w:hint="eastAsia"/>
      </w:rPr>
    </w:lvl>
  </w:abstractNum>
  <w:abstractNum w:abstractNumId="2">
    <w:nsid w:val="D2A08375"/>
    <w:multiLevelType w:val="singleLevel"/>
    <w:tmpl w:val="D2A08375"/>
    <w:lvl w:ilvl="0" w:tentative="0">
      <w:start w:val="4"/>
      <w:numFmt w:val="chineseCounting"/>
      <w:suff w:val="nothing"/>
      <w:lvlText w:val="%1、"/>
      <w:lvlJc w:val="left"/>
      <w:rPr>
        <w:rFonts w:hint="eastAsia"/>
      </w:rPr>
    </w:lvl>
  </w:abstractNum>
  <w:abstractNum w:abstractNumId="3">
    <w:nsid w:val="ECF2D562"/>
    <w:multiLevelType w:val="singleLevel"/>
    <w:tmpl w:val="ECF2D562"/>
    <w:lvl w:ilvl="0" w:tentative="0">
      <w:start w:val="1"/>
      <w:numFmt w:val="decimal"/>
      <w:suff w:val="nothing"/>
      <w:lvlText w:val="（%1）"/>
      <w:lvlJc w:val="left"/>
    </w:lvl>
  </w:abstractNum>
  <w:abstractNum w:abstractNumId="4">
    <w:nsid w:val="08A9BB30"/>
    <w:multiLevelType w:val="singleLevel"/>
    <w:tmpl w:val="08A9BB30"/>
    <w:lvl w:ilvl="0" w:tentative="0">
      <w:start w:val="12"/>
      <w:numFmt w:val="chineseCounting"/>
      <w:suff w:val="nothing"/>
      <w:lvlText w:val="%1、"/>
      <w:lvlJc w:val="left"/>
      <w:rPr>
        <w:rFonts w:hint="eastAsia"/>
      </w:rPr>
    </w:lvl>
  </w:abstractNum>
  <w:abstractNum w:abstractNumId="5">
    <w:nsid w:val="1FD1C40F"/>
    <w:multiLevelType w:val="singleLevel"/>
    <w:tmpl w:val="1FD1C40F"/>
    <w:lvl w:ilvl="0" w:tentative="0">
      <w:start w:val="3"/>
      <w:numFmt w:val="decimal"/>
      <w:suff w:val="nothing"/>
      <w:lvlText w:val="（%1）"/>
      <w:lvlJc w:val="left"/>
    </w:lvl>
  </w:abstractNum>
  <w:abstractNum w:abstractNumId="6">
    <w:nsid w:val="569C8C25"/>
    <w:multiLevelType w:val="singleLevel"/>
    <w:tmpl w:val="569C8C25"/>
    <w:lvl w:ilvl="0" w:tentative="0">
      <w:start w:val="1"/>
      <w:numFmt w:val="chineseCounting"/>
      <w:suff w:val="nothing"/>
      <w:lvlText w:val="%1、"/>
      <w:lvlJc w:val="left"/>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06F5"/>
    <w:rsid w:val="00FF48F2"/>
    <w:rsid w:val="010B3404"/>
    <w:rsid w:val="08154DA0"/>
    <w:rsid w:val="0C6A6692"/>
    <w:rsid w:val="18CE3129"/>
    <w:rsid w:val="1B7624F9"/>
    <w:rsid w:val="20FE2FC9"/>
    <w:rsid w:val="275A6AA7"/>
    <w:rsid w:val="27EA0990"/>
    <w:rsid w:val="2892482C"/>
    <w:rsid w:val="2D8E22FA"/>
    <w:rsid w:val="2FD748A6"/>
    <w:rsid w:val="388962F3"/>
    <w:rsid w:val="39071EB7"/>
    <w:rsid w:val="3EE92B22"/>
    <w:rsid w:val="41714AEE"/>
    <w:rsid w:val="475C1B8D"/>
    <w:rsid w:val="52F42637"/>
    <w:rsid w:val="602654E8"/>
    <w:rsid w:val="60C218EF"/>
    <w:rsid w:val="617006C5"/>
    <w:rsid w:val="625C0808"/>
    <w:rsid w:val="63975857"/>
    <w:rsid w:val="65C73B42"/>
    <w:rsid w:val="680031CA"/>
    <w:rsid w:val="6D03125E"/>
    <w:rsid w:val="6D952123"/>
    <w:rsid w:val="7A447975"/>
    <w:rsid w:val="7C34660D"/>
    <w:rsid w:val="7DCD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6"/>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customStyle="1" w:styleId="6">
    <w:name w:val="样式 正文文本 + 宋体 首行缩进:  0.74 厘米 行距: 1.5 倍行距"/>
    <w:basedOn w:val="2"/>
    <w:qFormat/>
    <w:uiPriority w:val="0"/>
    <w:rPr>
      <w:rFonts w:ascii="Calibri" w:hAnsi="Calibri"/>
      <w:sz w:val="24"/>
      <w:szCs w:val="22"/>
    </w:r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index heading"/>
    <w:basedOn w:val="1"/>
    <w:next w:val="15"/>
    <w:qFormat/>
    <w:uiPriority w:val="0"/>
    <w:rPr>
      <w:szCs w:val="20"/>
    </w:rPr>
  </w:style>
  <w:style w:type="paragraph" w:styleId="15">
    <w:name w:val="index 1"/>
    <w:basedOn w:val="1"/>
    <w:next w:val="1"/>
    <w:qFormat/>
    <w:uiPriority w:val="0"/>
  </w:style>
  <w:style w:type="paragraph" w:customStyle="1" w:styleId="18">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9">
    <w:name w:val="列出段落1"/>
    <w:basedOn w:val="1"/>
    <w:qFormat/>
    <w:uiPriority w:val="0"/>
    <w:pPr>
      <w:ind w:firstLine="420" w:firstLineChars="200"/>
    </w:pPr>
    <w:rPr>
      <w:rFonts w:ascii="Calibri" w:hAnsi="Calibri" w:eastAsia="宋体" w:cs="Times New Roman"/>
    </w:rPr>
  </w:style>
  <w:style w:type="paragraph" w:customStyle="1" w:styleId="20">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1">
    <w:name w:val="null3"/>
    <w:qFormat/>
    <w:uiPriority w:val="0"/>
    <w:rPr>
      <w:rFonts w:hint="eastAsia" w:ascii="Calibri" w:hAnsi="Calibri" w:eastAsia="宋体" w:cs="Times New Roman"/>
      <w:lang w:val="en-US" w:eastAsia="zh-Hans"/>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题注4"/>
    <w:basedOn w:val="1"/>
    <w:next w:val="7"/>
    <w:qFormat/>
    <w:uiPriority w:val="0"/>
    <w:pPr>
      <w:ind w:left="-132" w:leftChars="-64" w:right="-105" w:rightChars="-50" w:hanging="2"/>
      <w:jc w:val="center"/>
    </w:pPr>
    <w:rPr>
      <w:b/>
      <w:color w:val="FF0000"/>
      <w:szCs w:val="21"/>
      <w:lang w:val="en-GB"/>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1351</Words>
  <Characters>1512</Characters>
  <Lines>0</Lines>
  <Paragraphs>0</Paragraphs>
  <TotalTime>0</TotalTime>
  <ScaleCrop>false</ScaleCrop>
  <LinksUpToDate>false</LinksUpToDate>
  <CharactersWithSpaces>1603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2025-05-13T02:41:00Z</dcterms:created>
  <dc:creator>Administrator.FY-202308300715</dc:creator>
  <cp:lastModifiedBy>Mao</cp:lastModifiedBy>
  <dcterms:modified xsi:type="dcterms:W3CDTF">2025-06-03T08:15:16Z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KSOTemplateDocerSaveRecord">
    <vt:lpwstr>eyJoZGlkIjoiOTE0Mzg4MDUwZDc3NzZmZWNkZDIyMGE1OTU0YTVhZDkiLCJ1c2VySWQiOiIzMzU4ODEyMDAifQ==</vt:lpwstr>
  </property>
  <property fmtid="{D5CDD505-2E9C-101B-9397-08002B2CF9AE}" pid="4" name="ICV">
    <vt:lpwstr>48F5BCA9D1D24D0EB1F819FA9BA9D590_12</vt:lpwstr>
  </property>
</Properties>
</file>