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ZCB-YN-2025021</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ab/>
      </w:r>
      <w:r>
        <w:rPr>
          <w:rFonts w:hint="eastAsia" w:ascii="仿宋" w:hAnsi="仿宋" w:eastAsia="仿宋" w:cs="仿宋"/>
          <w:b/>
          <w:color w:val="auto"/>
          <w:sz w:val="28"/>
          <w:szCs w:val="28"/>
          <w:highlight w:val="none"/>
          <w:lang w:eastAsia="zh-CN"/>
        </w:rPr>
        <w:t>惠州市第一妇幼保健院2025年电子病历系统接口开发服务采购项目</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3"/>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9"/>
        <w:rPr>
          <w:rFonts w:hint="eastAsia"/>
          <w:color w:val="auto"/>
          <w:highlight w:val="none"/>
          <w:lang w:eastAsia="zh-CN"/>
        </w:rPr>
      </w:pPr>
    </w:p>
    <w:p>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惠州市第一妇幼保健院2025年电子病历系统接口开发服务采购项目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ZCB-YN-2025021</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惠州市第一妇幼保健院2025年电子病历系统接口开发服务采购项目</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8"/>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64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971"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惠州市第一妇幼保健院2025年电子病历系统接口开发服务采购项目</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120000.00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eastAsia="zh-CN"/>
              </w:rPr>
              <w:t>技术要求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spacing w:line="420" w:lineRule="exact"/>
        <w:ind w:firstLine="504" w:firstLineChars="210"/>
        <w:rPr>
          <w:rFonts w:hint="eastAsia" w:ascii="仿宋" w:hAnsi="仿宋" w:eastAsia="仿宋" w:cs="仿宋"/>
          <w:color w:val="auto"/>
          <w:sz w:val="24"/>
          <w:highlight w:val="none"/>
          <w:lang w:val="zh-CN"/>
        </w:rPr>
      </w:pPr>
    </w:p>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日（08:00-12:00，14:30-17:30，法定节假日除外）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22"/>
        <w:rPr>
          <w:rFonts w:hint="eastAsia"/>
          <w:color w:val="auto"/>
          <w:highlight w:val="none"/>
          <w:lang w:val="en-US" w:eastAsia="zh-CN"/>
        </w:rPr>
      </w:pP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8</w:t>
      </w:r>
      <w:bookmarkStart w:id="0" w:name="_GoBack"/>
      <w:bookmarkEnd w:id="0"/>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tabs>
          <w:tab w:val="left" w:pos="0"/>
        </w:tabs>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供应商必须具有良好的商业信誉和健全的财务会计制度。可提供：①</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年至今任意一年经审计的审计报告复印件（包含审计报告中所涉及的财务报表和报表附注）；或②</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年度至今任意一年</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内部的财务报表复印件（新成立公司提供成立至今的月或季度财务报表复印件）；或③截至</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文件递交截止日</w:t>
      </w:r>
      <w:r>
        <w:rPr>
          <w:rFonts w:hint="eastAsia" w:ascii="仿宋" w:hAnsi="仿宋" w:eastAsia="仿宋" w:cs="仿宋"/>
          <w:color w:val="auto"/>
          <w:sz w:val="24"/>
          <w:szCs w:val="24"/>
          <w:highlight w:val="none"/>
          <w:lang w:eastAsia="zh-CN"/>
        </w:rPr>
        <w:t>12个月内银行</w:t>
      </w:r>
      <w:r>
        <w:rPr>
          <w:rFonts w:hint="eastAsia" w:ascii="仿宋" w:hAnsi="仿宋" w:eastAsia="仿宋" w:cs="仿宋"/>
          <w:color w:val="auto"/>
          <w:sz w:val="24"/>
          <w:szCs w:val="24"/>
          <w:highlight w:val="none"/>
        </w:rPr>
        <w:t>出具的资信证明（复印件）；</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r>
        <w:rPr>
          <w:rFonts w:hint="eastAsia" w:ascii="仿宋" w:hAnsi="仿宋" w:eastAsia="仿宋" w:cs="仿宋"/>
          <w:color w:val="auto"/>
          <w:sz w:val="24"/>
          <w:highlight w:val="none"/>
          <w:lang w:eastAsia="zh-CN"/>
        </w:rPr>
        <w:t>或书面声明</w:t>
      </w:r>
      <w:r>
        <w:rPr>
          <w:rFonts w:hint="eastAsia" w:ascii="仿宋" w:hAnsi="仿宋" w:eastAsia="仿宋" w:cs="仿宋"/>
          <w:b/>
          <w:bCs/>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lang w:eastAsia="zh-CN"/>
        </w:rPr>
        <w:t>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val="zh-CN"/>
        </w:rPr>
        <w:t>或者未划分包号的同一采购项目。</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4.为本采购项目提供整体设计、规范编制或者项目管理、监理、检测等服务的供应商，不得再参加本采购项目的采购活动。</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本项目不接受联合体参加比选，不允许响应供应商对各比选项目进行分包或转包</w:t>
      </w:r>
      <w:r>
        <w:rPr>
          <w:rFonts w:hint="eastAsia" w:ascii="仿宋" w:hAnsi="仿宋" w:eastAsia="仿宋" w:cs="仿宋"/>
          <w:b/>
          <w:bCs/>
          <w:color w:val="auto"/>
          <w:sz w:val="24"/>
          <w:highlight w:val="none"/>
        </w:rPr>
        <w:t>(供应商出具声明函)</w:t>
      </w:r>
      <w:r>
        <w:rPr>
          <w:rFonts w:hint="eastAsia" w:ascii="仿宋" w:hAnsi="仿宋" w:eastAsia="仿宋" w:cs="仿宋"/>
          <w:color w:val="auto"/>
          <w:sz w:val="24"/>
          <w:highlight w:val="none"/>
          <w:lang w:eastAsia="zh-CN"/>
        </w:rPr>
        <w:t>。</w:t>
      </w:r>
    </w:p>
    <w:p>
      <w:pPr>
        <w:tabs>
          <w:tab w:val="left" w:pos="0"/>
        </w:tabs>
        <w:wordWrap w:val="0"/>
        <w:spacing w:line="360" w:lineRule="auto"/>
        <w:ind w:firstLine="480" w:firstLineChars="200"/>
        <w:jc w:val="left"/>
        <w:rPr>
          <w:rFonts w:hint="eastAsia" w:ascii="仿宋" w:hAnsi="仿宋" w:eastAsia="仿宋" w:cs="仿宋"/>
          <w:b w:val="0"/>
          <w:bCs w:val="0"/>
          <w:strike w:val="0"/>
          <w:color w:val="auto"/>
          <w:sz w:val="24"/>
          <w:highlight w:val="none"/>
          <w:lang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lang w:eastAsia="zh-CN"/>
        </w:rPr>
        <w:t>本项目是专门面向中小企业采购的项目，供应商应为中小微企业。（提供《中小企业声明函》,具体格式文件见比选文件P</w:t>
      </w:r>
      <w:r>
        <w:rPr>
          <w:rFonts w:hint="eastAsia" w:ascii="仿宋" w:hAnsi="仿宋" w:eastAsia="仿宋" w:cs="仿宋"/>
          <w:strike w:val="0"/>
          <w:color w:val="auto"/>
          <w:sz w:val="24"/>
          <w:highlight w:val="none"/>
          <w:lang w:val="en-US" w:eastAsia="zh-CN"/>
        </w:rPr>
        <w:t>50</w:t>
      </w:r>
      <w:r>
        <w:rPr>
          <w:rFonts w:hint="eastAsia" w:ascii="仿宋" w:hAnsi="仿宋" w:eastAsia="仿宋" w:cs="仿宋"/>
          <w:strike w:val="0"/>
          <w:color w:val="auto"/>
          <w:sz w:val="24"/>
          <w:highlight w:val="none"/>
          <w:lang w:eastAsia="zh-CN"/>
        </w:rPr>
        <w:t>中小企业声明函，未按要求提供声明函的将导致响应无效）。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分标准所属行业为</w:t>
      </w:r>
      <w:r>
        <w:rPr>
          <w:rFonts w:hint="eastAsia" w:ascii="仿宋" w:hAnsi="仿宋" w:eastAsia="仿宋" w:cs="仿宋"/>
          <w:b w:val="0"/>
          <w:bCs w:val="0"/>
          <w:strike w:val="0"/>
          <w:color w:val="auto"/>
          <w:sz w:val="24"/>
          <w:highlight w:val="none"/>
          <w:lang w:eastAsia="zh-CN"/>
        </w:rPr>
        <w:t>：</w:t>
      </w:r>
      <w:r>
        <w:rPr>
          <w:rFonts w:hint="eastAsia" w:ascii="仿宋" w:hAnsi="仿宋" w:eastAsia="仿宋" w:cs="仿宋"/>
          <w:color w:val="auto"/>
          <w:sz w:val="24"/>
          <w:highlight w:val="none"/>
          <w:u w:val="none" w:color="auto"/>
        </w:rPr>
        <w:t>软件和信息技术服务业</w:t>
      </w:r>
      <w:r>
        <w:rPr>
          <w:rFonts w:hint="eastAsia" w:ascii="仿宋" w:hAnsi="仿宋" w:eastAsia="仿宋" w:cs="仿宋"/>
          <w:color w:val="auto"/>
          <w:sz w:val="24"/>
          <w:highlight w:val="none"/>
          <w:u w:val="none" w:color="auto"/>
          <w:lang w:eastAsia="zh-CN"/>
        </w:rPr>
        <w:t>。</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autoSpaceDE w:val="0"/>
        <w:autoSpaceDN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响应供应商必须满足以上资格要求，如出现对任意一条不满足的，资格性审查将不通过。</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autoSpaceDE w:val="0"/>
        <w:autoSpaceDN w:val="0"/>
        <w:spacing w:line="440" w:lineRule="exact"/>
        <w:ind w:firstLine="482" w:firstLineChars="200"/>
        <w:rPr>
          <w:rFonts w:hint="eastAsia" w:ascii="仿宋" w:hAnsi="仿宋" w:eastAsia="仿宋" w:cs="仿宋"/>
          <w:b/>
          <w:color w:val="auto"/>
          <w:sz w:val="24"/>
          <w:highlight w:val="none"/>
          <w:lang w:eastAsia="zh-CN"/>
        </w:rPr>
      </w:pPr>
      <w:r>
        <w:rPr>
          <w:rFonts w:hint="eastAsia" w:ascii="仿宋" w:hAnsi="仿宋" w:eastAsia="仿宋" w:cs="仿宋"/>
          <w:b/>
          <w:bCs/>
          <w:color w:val="auto"/>
          <w:sz w:val="24"/>
          <w:highlight w:val="none"/>
          <w:lang w:val="en-US" w:eastAsia="zh-CN"/>
        </w:rPr>
        <w:t>（二）</w:t>
      </w:r>
      <w:r>
        <w:rPr>
          <w:rFonts w:hint="eastAsia" w:ascii="仿宋" w:hAnsi="仿宋" w:eastAsia="仿宋" w:cs="仿宋"/>
          <w:b/>
          <w:color w:val="auto"/>
          <w:sz w:val="24"/>
          <w:highlight w:val="none"/>
          <w:lang w:eastAsia="zh-CN"/>
        </w:rPr>
        <w:t>项目概况</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我院实际业务以及医院信息化建设需求，为实现门诊电子病历、住院电子病历、无纸化病案归档系统与医嘱系统的数据互联互通性，确保病历完整性，提高病历数据质量，减少医疗纠纷。需要采购新增门诊电子病历、住院电子病历、无纸化病案归档系统与医嘱系统接口对接相关工作。</w:t>
      </w:r>
    </w:p>
    <w:p>
      <w:pPr>
        <w:numPr>
          <w:ilvl w:val="0"/>
          <w:numId w:val="3"/>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项目内容：</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1.服务清单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7594"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模块名称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p>
        </w:tc>
        <w:tc>
          <w:tcPr>
            <w:tcW w:w="7594"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门诊电子病历与医嘱系统门诊工作站COM方式集成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7594"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住院电子病历与医嘱系统患者信息数据接口对接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7594"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无纸化病案归档系统与医嘱系统医嘱单PDF、Web方式接口对接</w:t>
            </w:r>
          </w:p>
        </w:tc>
      </w:tr>
    </w:tbl>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lang w:val="zh-CN" w:eastAsia="zh-CN"/>
        </w:rPr>
        <w:t>服务要求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lang w:val="zh-CN" w:eastAsia="zh-CN"/>
        </w:rPr>
        <w:t>门诊电子病历与医嘱系统门诊工作站COM方式集成。</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2.1.1</w:t>
      </w:r>
      <w:r>
        <w:rPr>
          <w:rFonts w:hint="eastAsia" w:ascii="仿宋" w:hAnsi="仿宋" w:eastAsia="仿宋" w:cs="仿宋"/>
          <w:color w:val="auto"/>
          <w:sz w:val="24"/>
          <w:highlight w:val="none"/>
          <w:lang w:val="zh-CN" w:eastAsia="zh-CN"/>
        </w:rPr>
        <w:t>服务要求：设置门诊电子病历COM集成，HIS程序可调用门诊电子病历，实现电子病历程序在HIS程序的嵌套。实现门诊医生病历书写时可与HIS的数据交互，提升病历书写的严谨性和完整性。</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w:t>
      </w:r>
      <w:r>
        <w:rPr>
          <w:rFonts w:hint="eastAsia" w:ascii="仿宋" w:hAnsi="仿宋" w:eastAsia="仿宋" w:cs="仿宋"/>
          <w:color w:val="auto"/>
          <w:sz w:val="24"/>
          <w:highlight w:val="none"/>
          <w:lang w:val="zh-CN" w:eastAsia="zh-CN"/>
        </w:rPr>
        <w:t>门诊电子病历提供可调用方法：</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2.1.2.1</w:t>
      </w:r>
      <w:r>
        <w:rPr>
          <w:rFonts w:hint="eastAsia" w:ascii="仿宋" w:hAnsi="仿宋" w:eastAsia="仿宋" w:cs="仿宋"/>
          <w:color w:val="auto"/>
          <w:sz w:val="24"/>
          <w:highlight w:val="none"/>
          <w:lang w:val="zh-CN" w:eastAsia="zh-CN"/>
        </w:rPr>
        <w:t>传入患者基本信息方法；</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2.1.2.2</w:t>
      </w:r>
      <w:r>
        <w:rPr>
          <w:rFonts w:hint="eastAsia" w:ascii="仿宋" w:hAnsi="仿宋" w:eastAsia="仿宋" w:cs="仿宋"/>
          <w:color w:val="auto"/>
          <w:sz w:val="24"/>
          <w:highlight w:val="none"/>
          <w:lang w:val="zh-CN" w:eastAsia="zh-CN"/>
        </w:rPr>
        <w:t>保存病历方法；</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2.1.2.3</w:t>
      </w:r>
      <w:r>
        <w:rPr>
          <w:rFonts w:hint="eastAsia" w:ascii="仿宋" w:hAnsi="仿宋" w:eastAsia="仿宋" w:cs="仿宋"/>
          <w:color w:val="auto"/>
          <w:sz w:val="24"/>
          <w:highlight w:val="none"/>
          <w:lang w:val="zh-CN" w:eastAsia="zh-CN"/>
        </w:rPr>
        <w:t>病历打印方法；</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2.1.2.4</w:t>
      </w:r>
      <w:r>
        <w:rPr>
          <w:rFonts w:hint="eastAsia" w:ascii="仿宋" w:hAnsi="仿宋" w:eastAsia="仿宋" w:cs="仿宋"/>
          <w:color w:val="auto"/>
          <w:sz w:val="24"/>
          <w:highlight w:val="none"/>
          <w:lang w:val="zh-CN" w:eastAsia="zh-CN"/>
        </w:rPr>
        <w:t>调整组件大小函数；</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2.1.2.5</w:t>
      </w:r>
      <w:r>
        <w:rPr>
          <w:rFonts w:hint="eastAsia" w:ascii="仿宋" w:hAnsi="仿宋" w:eastAsia="仿宋" w:cs="仿宋"/>
          <w:color w:val="auto"/>
          <w:sz w:val="24"/>
          <w:highlight w:val="none"/>
          <w:lang w:val="zh-CN" w:eastAsia="zh-CN"/>
        </w:rPr>
        <w:t>设置病历中处置诊断等数据；</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2.1.2.6</w:t>
      </w:r>
      <w:r>
        <w:rPr>
          <w:rFonts w:hint="eastAsia" w:ascii="仿宋" w:hAnsi="仿宋" w:eastAsia="仿宋" w:cs="仿宋"/>
          <w:color w:val="auto"/>
          <w:sz w:val="24"/>
          <w:highlight w:val="none"/>
          <w:lang w:val="zh-CN" w:eastAsia="zh-CN"/>
        </w:rPr>
        <w:t>获取病历中元素的值；</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2.1.2.7</w:t>
      </w:r>
      <w:r>
        <w:rPr>
          <w:rFonts w:hint="eastAsia" w:ascii="仿宋" w:hAnsi="仿宋" w:eastAsia="仿宋" w:cs="仿宋"/>
          <w:color w:val="auto"/>
          <w:sz w:val="24"/>
          <w:highlight w:val="none"/>
          <w:lang w:val="zh-CN" w:eastAsia="zh-CN"/>
        </w:rPr>
        <w:t>获取病历中节点数据；</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2.1.2.8</w:t>
      </w:r>
      <w:r>
        <w:rPr>
          <w:rFonts w:hint="eastAsia" w:ascii="仿宋" w:hAnsi="仿宋" w:eastAsia="仿宋" w:cs="仿宋"/>
          <w:color w:val="auto"/>
          <w:sz w:val="24"/>
          <w:highlight w:val="none"/>
          <w:lang w:val="zh-CN" w:eastAsia="zh-CN"/>
        </w:rPr>
        <w:t>设置病历中宏元素的函数；</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2.1.2.9</w:t>
      </w:r>
      <w:r>
        <w:rPr>
          <w:rFonts w:hint="eastAsia" w:ascii="仿宋" w:hAnsi="仿宋" w:eastAsia="仿宋" w:cs="仿宋"/>
          <w:color w:val="auto"/>
          <w:sz w:val="24"/>
          <w:highlight w:val="none"/>
          <w:lang w:val="zh-CN" w:eastAsia="zh-CN"/>
        </w:rPr>
        <w:t>设置病历中元素值函数；</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2.1.2.10</w:t>
      </w:r>
      <w:r>
        <w:rPr>
          <w:rFonts w:hint="eastAsia" w:ascii="仿宋" w:hAnsi="仿宋" w:eastAsia="仿宋" w:cs="仿宋"/>
          <w:color w:val="auto"/>
          <w:sz w:val="24"/>
          <w:highlight w:val="none"/>
          <w:lang w:val="zh-CN" w:eastAsia="zh-CN"/>
        </w:rPr>
        <w:t>浏览病历函数；</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2.1.2.11</w:t>
      </w:r>
      <w:r>
        <w:rPr>
          <w:rFonts w:hint="eastAsia" w:ascii="仿宋" w:hAnsi="仿宋" w:eastAsia="仿宋" w:cs="仿宋"/>
          <w:color w:val="auto"/>
          <w:sz w:val="24"/>
          <w:highlight w:val="none"/>
          <w:lang w:val="zh-CN" w:eastAsia="zh-CN"/>
        </w:rPr>
        <w:t>获取诊断数据函数；</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2.1.2.12</w:t>
      </w:r>
      <w:r>
        <w:rPr>
          <w:rFonts w:hint="eastAsia" w:ascii="仿宋" w:hAnsi="仿宋" w:eastAsia="仿宋" w:cs="仿宋"/>
          <w:color w:val="auto"/>
          <w:sz w:val="24"/>
          <w:highlight w:val="none"/>
          <w:lang w:val="zh-CN" w:eastAsia="zh-CN"/>
        </w:rPr>
        <w:t>签名患者所有病历；</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2.1.2.13</w:t>
      </w:r>
      <w:r>
        <w:rPr>
          <w:rFonts w:hint="eastAsia" w:ascii="仿宋" w:hAnsi="仿宋" w:eastAsia="仿宋" w:cs="仿宋"/>
          <w:color w:val="auto"/>
          <w:sz w:val="24"/>
          <w:highlight w:val="none"/>
          <w:lang w:val="zh-CN" w:eastAsia="zh-CN"/>
        </w:rPr>
        <w:t>名患者当前病历；</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2.1.2.14</w:t>
      </w:r>
      <w:r>
        <w:rPr>
          <w:rFonts w:hint="eastAsia" w:ascii="仿宋" w:hAnsi="仿宋" w:eastAsia="仿宋" w:cs="仿宋"/>
          <w:color w:val="auto"/>
          <w:sz w:val="24"/>
          <w:highlight w:val="none"/>
          <w:lang w:val="zh-CN" w:eastAsia="zh-CN"/>
        </w:rPr>
        <w:t>获取当前病历的签名状态；</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2.1.2.15</w:t>
      </w:r>
      <w:r>
        <w:rPr>
          <w:rFonts w:hint="eastAsia" w:ascii="仿宋" w:hAnsi="仿宋" w:eastAsia="仿宋" w:cs="仿宋"/>
          <w:color w:val="auto"/>
          <w:sz w:val="24"/>
          <w:highlight w:val="none"/>
          <w:lang w:val="zh-CN" w:eastAsia="zh-CN"/>
        </w:rPr>
        <w:t>获取患者所有门诊病历的签名状态；</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2.1.2.16</w:t>
      </w:r>
      <w:r>
        <w:rPr>
          <w:rFonts w:hint="eastAsia" w:ascii="仿宋" w:hAnsi="仿宋" w:eastAsia="仿宋" w:cs="仿宋"/>
          <w:color w:val="auto"/>
          <w:sz w:val="24"/>
          <w:highlight w:val="none"/>
          <w:lang w:val="zh-CN" w:eastAsia="zh-CN"/>
        </w:rPr>
        <w:t>获取是否创建文书；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2.1.2.17</w:t>
      </w:r>
      <w:r>
        <w:rPr>
          <w:rFonts w:hint="eastAsia" w:ascii="仿宋" w:hAnsi="仿宋" w:eastAsia="仿宋" w:cs="仿宋"/>
          <w:color w:val="auto"/>
          <w:sz w:val="24"/>
          <w:highlight w:val="none"/>
          <w:lang w:val="zh-CN" w:eastAsia="zh-CN"/>
        </w:rPr>
        <w:t>切换患者之前调用，提示保存；</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2.1.2.18</w:t>
      </w:r>
      <w:r>
        <w:rPr>
          <w:rFonts w:hint="eastAsia" w:ascii="仿宋" w:hAnsi="仿宋" w:eastAsia="仿宋" w:cs="仿宋"/>
          <w:color w:val="auto"/>
          <w:sz w:val="24"/>
          <w:highlight w:val="none"/>
          <w:lang w:val="zh-CN" w:eastAsia="zh-CN"/>
        </w:rPr>
        <w:t>获取文书修改状态；</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2.1.2.19</w:t>
      </w:r>
      <w:r>
        <w:rPr>
          <w:rFonts w:hint="eastAsia" w:ascii="仿宋" w:hAnsi="仿宋" w:eastAsia="仿宋" w:cs="仿宋"/>
          <w:color w:val="auto"/>
          <w:sz w:val="24"/>
          <w:highlight w:val="none"/>
          <w:lang w:val="zh-CN" w:eastAsia="zh-CN"/>
        </w:rPr>
        <w:t>获取患者文书列表；</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2.1.2.20</w:t>
      </w:r>
      <w:r>
        <w:rPr>
          <w:rFonts w:hint="eastAsia" w:ascii="仿宋" w:hAnsi="仿宋" w:eastAsia="仿宋" w:cs="仿宋"/>
          <w:color w:val="auto"/>
          <w:sz w:val="24"/>
          <w:highlight w:val="none"/>
          <w:lang w:val="zh-CN" w:eastAsia="zh-CN"/>
        </w:rPr>
        <w:t>打印指定编号文书；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2.1.2.21</w:t>
      </w:r>
      <w:r>
        <w:rPr>
          <w:rFonts w:hint="eastAsia" w:ascii="仿宋" w:hAnsi="仿宋" w:eastAsia="仿宋" w:cs="仿宋"/>
          <w:color w:val="auto"/>
          <w:sz w:val="24"/>
          <w:highlight w:val="none"/>
          <w:lang w:val="zh-CN" w:eastAsia="zh-CN"/>
        </w:rPr>
        <w:t>his取消就诊；</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2.1.2.22</w:t>
      </w:r>
      <w:r>
        <w:rPr>
          <w:rFonts w:hint="eastAsia" w:ascii="仿宋" w:hAnsi="仿宋" w:eastAsia="仿宋" w:cs="仿宋"/>
          <w:color w:val="auto"/>
          <w:sz w:val="24"/>
          <w:highlight w:val="none"/>
          <w:lang w:val="zh-CN" w:eastAsia="zh-CN"/>
        </w:rPr>
        <w:t>删除患者所有病历；</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2.1.2.23</w:t>
      </w:r>
      <w:r>
        <w:rPr>
          <w:rFonts w:hint="eastAsia" w:ascii="仿宋" w:hAnsi="仿宋" w:eastAsia="仿宋" w:cs="仿宋"/>
          <w:color w:val="auto"/>
          <w:sz w:val="24"/>
          <w:highlight w:val="none"/>
          <w:lang w:val="zh-CN" w:eastAsia="zh-CN"/>
        </w:rPr>
        <w:t>关闭患者所有文书。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2.1.3</w:t>
      </w:r>
      <w:r>
        <w:rPr>
          <w:rFonts w:hint="eastAsia" w:ascii="仿宋" w:hAnsi="仿宋" w:eastAsia="仿宋" w:cs="仿宋"/>
          <w:color w:val="auto"/>
          <w:sz w:val="24"/>
          <w:highlight w:val="none"/>
          <w:lang w:val="zh-CN" w:eastAsia="zh-CN"/>
        </w:rPr>
        <w:t>门诊集成数据项明细清单：</w:t>
      </w:r>
    </w:p>
    <w:tbl>
      <w:tblPr>
        <w:tblStyle w:val="18"/>
        <w:tblpPr w:leftFromText="180" w:rightFromText="180" w:vertAnchor="text" w:horzAnchor="page" w:tblpX="1796" w:tblpY="464"/>
        <w:tblOverlap w:val="never"/>
        <w:tblW w:w="8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884"/>
        <w:gridCol w:w="1392"/>
        <w:gridCol w:w="780"/>
        <w:gridCol w:w="862"/>
        <w:gridCol w:w="3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
              </w:rPr>
              <w:t>序号</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right="0" w:firstLine="241" w:firstLineChars="100"/>
              <w:jc w:val="both"/>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
              </w:rPr>
              <w:t>USER项目</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
              </w:rPr>
              <w:t>数据类型</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
              </w:rPr>
              <w:t>长度</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
              </w:rPr>
              <w:t>允许空</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right="0" w:firstLine="1205" w:firstLineChars="500"/>
              <w:jc w:val="both"/>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1</w:t>
            </w:r>
          </w:p>
        </w:tc>
        <w:tc>
          <w:tcPr>
            <w:tcW w:w="1884"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DEPT_CODE</w:t>
            </w:r>
          </w:p>
        </w:tc>
        <w:tc>
          <w:tcPr>
            <w:tcW w:w="139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15</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否</w:t>
            </w:r>
          </w:p>
        </w:tc>
        <w:tc>
          <w:tcPr>
            <w:tcW w:w="306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用户科室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2</w:t>
            </w:r>
          </w:p>
        </w:tc>
        <w:tc>
          <w:tcPr>
            <w:tcW w:w="1884"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DEPT_NAME</w:t>
            </w:r>
          </w:p>
        </w:tc>
        <w:tc>
          <w:tcPr>
            <w:tcW w:w="139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Number</w:t>
            </w:r>
          </w:p>
        </w:tc>
        <w:tc>
          <w:tcPr>
            <w:tcW w:w="78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5</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否</w:t>
            </w:r>
          </w:p>
        </w:tc>
        <w:tc>
          <w:tcPr>
            <w:tcW w:w="306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用户科室名称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3</w:t>
            </w:r>
          </w:p>
        </w:tc>
        <w:tc>
          <w:tcPr>
            <w:tcW w:w="1884"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LOGIN_NAME</w:t>
            </w:r>
          </w:p>
        </w:tc>
        <w:tc>
          <w:tcPr>
            <w:tcW w:w="139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20</w:t>
            </w:r>
          </w:p>
        </w:tc>
        <w:tc>
          <w:tcPr>
            <w:tcW w:w="86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否</w:t>
            </w:r>
          </w:p>
        </w:tc>
        <w:tc>
          <w:tcPr>
            <w:tcW w:w="306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用户id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序号</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
              </w:rPr>
              <w:t>JHOUTPAT_INFO项目</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
              </w:rPr>
              <w:t>数据类型</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
              </w:rPr>
              <w:t>长度</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
              </w:rPr>
              <w:t>允许空</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PATIENT_ID</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15</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否</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患者病人ID号，医院内部患者标识，每个患者唯一，比如：就诊卡号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VISIT_ID</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Number</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5</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患者门诊就诊次（若HIS没有就诊次概念，此字段传空）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INP_NO</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病案号,关联调阅历次就诊病历，每个患者唯一，如无则无法关联调阅既往病历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5</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NAME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否</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患者姓名，如：张三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5</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NAME_PHONETIC</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15</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患者姓名全拼（大写）如：ZHANG SAN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7</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SEX</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8</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否</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性别，如：男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8</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DATE_OF_BIRTH</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DATE</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出生日期  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9</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AGE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8</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否</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10</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BIRTH_PLACE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80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出生地，如：北京市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11</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CITIZENSHIP</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28</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国籍，如：中国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12</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NATION</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民族，如：汉族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13</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JIGUAN</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50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籍贯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14</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ID_NO</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15</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IDENTITY</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15</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身份，如：干部、农民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16</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MAILING_ADDRESS</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200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家庭住址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17</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ZIP_CODE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5</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18</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PHONE_NUMBER_HOME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家庭电话或手机号码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19</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PHONE_NUMBER_BUSINESS</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20</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NEXT_OF_KIN</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联系人姓名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21</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RELATIONSHIP</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15</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联系人关系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22</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NEXT_OF_KIN_ADDR</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80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联系人地址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23</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NEXT_OF_KIN_ZIPCODE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5</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联系人邮编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23</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NEXT_OF_KIN_PHONE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25</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LAST_VISIT_DATE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Date</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上次就诊日期 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25</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VIP_INDICATOR</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Number</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重要人物标志：0普通1重要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27</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CREATE_DATE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Date</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患者信息建档日期 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28</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VISIT_DATE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Date</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宋体" w:cs="仿宋"/>
                <w:color w:val="auto"/>
                <w:kern w:val="2"/>
                <w:sz w:val="24"/>
                <w:szCs w:val="24"/>
                <w:highlight w:val="none"/>
                <w:lang w:val="en-US" w:eastAsia="zh-CN" w:bidi="ar"/>
              </w:rPr>
            </w:pPr>
            <w:r>
              <w:rPr>
                <w:rFonts w:hint="eastAsia"/>
                <w:color w:val="auto"/>
                <w:highlight w:val="none"/>
                <w:lang w:val="en-US" w:eastAsia="zh-CN"/>
              </w:rPr>
              <w:t>/</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否</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就诊日期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29</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HIS_REGISTER_PK</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否</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HIS就诊表主键，使用HIS主键，一般是挂号日期+流水号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30</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REGISTER_DATE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Date</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挂号日期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31</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VISIT_DEPT</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8</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否</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就诊科室编号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32</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DIAGNOSIS</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200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主诊断（显示用）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33</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DOCTOR_IN_CHARGE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8</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否</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看诊医生（工号）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34</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MARITAL_STATUS</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婚姻状况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35</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CHARGE_TYPE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15</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费别，如：自费、公费、医保等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36</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INSURANCE_TYPE</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15</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医保类别，如：新农合、铁路医保、城镇保险等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37</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INSURANCE_NO</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18</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医保号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38</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OCCUPATION</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39</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SERVICE_AGENCY</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80</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40</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BODY_WEIGHT</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NUMBER</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体重kg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41</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BODY_HEIGHT</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NUMBER</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身高cm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42</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NEXT_OF_KIN_ID_NO</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18</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联系人身份证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43</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CARD_NO</w:t>
            </w:r>
          </w:p>
        </w:tc>
        <w:tc>
          <w:tcPr>
            <w:tcW w:w="139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leftChars="0" w:right="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VARCHAR2</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18</w:t>
            </w:r>
          </w:p>
        </w:tc>
        <w:tc>
          <w:tcPr>
            <w:tcW w:w="8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是</w:t>
            </w:r>
          </w:p>
        </w:tc>
        <w:tc>
          <w:tcPr>
            <w:tcW w:w="3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20" w:beforeAutospacing="0" w:after="2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就诊卡号</w:t>
            </w:r>
          </w:p>
        </w:tc>
      </w:tr>
    </w:tbl>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lang w:val="zh-CN" w:eastAsia="zh-CN"/>
        </w:rPr>
        <w:t>住院电子病历与医嘱系统患者信息数据接口对接(视图方式)服务要求：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2.2.1</w:t>
      </w:r>
      <w:r>
        <w:rPr>
          <w:rFonts w:hint="eastAsia" w:ascii="仿宋" w:hAnsi="仿宋" w:eastAsia="仿宋" w:cs="仿宋"/>
          <w:color w:val="auto"/>
          <w:sz w:val="24"/>
          <w:highlight w:val="none"/>
          <w:lang w:val="zh-CN" w:eastAsia="zh-CN"/>
        </w:rPr>
        <w:t>根据以下数据字典字段提供相应视图，进行接口对接工作。</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2.2.1.1</w:t>
      </w:r>
      <w:r>
        <w:rPr>
          <w:rFonts w:hint="eastAsia" w:ascii="仿宋" w:hAnsi="仿宋" w:eastAsia="仿宋" w:cs="仿宋"/>
          <w:color w:val="auto"/>
          <w:sz w:val="24"/>
          <w:highlight w:val="none"/>
          <w:lang w:val="zh-CN" w:eastAsia="zh-CN"/>
        </w:rPr>
        <w:t>字典数据：用户字典、科室字典、床位字典、医嘱字典、数据字典、诊断字典、手术编码字典；患者数据：患者基本信息、患者医嘱、收费信息</w:t>
      </w:r>
      <w:r>
        <w:rPr>
          <w:rFonts w:hint="eastAsia" w:ascii="仿宋" w:hAnsi="仿宋" w:eastAsia="仿宋" w:cs="仿宋"/>
          <w:b w:val="0"/>
          <w:bCs w:val="0"/>
          <w:color w:val="auto"/>
          <w:sz w:val="24"/>
          <w:highlight w:val="none"/>
          <w:lang w:val="en-US" w:eastAsia="zh-CN"/>
        </w:rPr>
        <w:t>。</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2.2.1.2</w:t>
      </w:r>
      <w:r>
        <w:rPr>
          <w:rFonts w:hint="eastAsia" w:ascii="仿宋" w:hAnsi="仿宋" w:eastAsia="仿宋" w:cs="仿宋"/>
          <w:color w:val="auto"/>
          <w:sz w:val="24"/>
          <w:highlight w:val="none"/>
          <w:lang w:val="zh-CN" w:eastAsia="zh-CN"/>
        </w:rPr>
        <w:t>数据字典类别、患者状态编码字；</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lang w:val="zh-CN" w:eastAsia="zh-CN"/>
        </w:rPr>
        <w:t>无纸化病案归档系统与医嘱系统医嘱单PDF、Webservice方式接口对接：</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2.3.1</w:t>
      </w:r>
      <w:r>
        <w:rPr>
          <w:rFonts w:hint="eastAsia" w:ascii="仿宋" w:hAnsi="仿宋" w:eastAsia="仿宋" w:cs="仿宋"/>
          <w:color w:val="auto"/>
          <w:sz w:val="24"/>
          <w:highlight w:val="none"/>
          <w:lang w:val="zh-CN" w:eastAsia="zh-CN"/>
        </w:rPr>
        <w:t>无纸化病案归档系统与医嘱系统的数据交互，以推送PDF文件方式，来实现数据交互的目的</w:t>
      </w:r>
      <w:r>
        <w:rPr>
          <w:rFonts w:hint="eastAsia" w:ascii="仿宋" w:hAnsi="仿宋" w:eastAsia="仿宋" w:cs="仿宋"/>
          <w:b w:val="0"/>
          <w:bCs w:val="0"/>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2.3.2</w:t>
      </w:r>
      <w:r>
        <w:rPr>
          <w:rFonts w:hint="eastAsia" w:ascii="仿宋" w:hAnsi="仿宋" w:eastAsia="仿宋" w:cs="仿宋"/>
          <w:color w:val="auto"/>
          <w:sz w:val="24"/>
          <w:highlight w:val="none"/>
          <w:lang w:val="zh-CN" w:eastAsia="zh-CN"/>
        </w:rPr>
        <w:t>Web 推送接口服务</w:t>
      </w:r>
      <w:r>
        <w:rPr>
          <w:rFonts w:hint="eastAsia" w:ascii="仿宋" w:hAnsi="仿宋" w:eastAsia="仿宋" w:cs="仿宋"/>
          <w:b w:val="0"/>
          <w:bCs w:val="0"/>
          <w:color w:val="auto"/>
          <w:sz w:val="24"/>
          <w:highlight w:val="none"/>
          <w:lang w:val="en-US" w:eastAsia="zh-CN"/>
        </w:rPr>
        <w:t>。</w:t>
      </w:r>
    </w:p>
    <w:p>
      <w:pPr>
        <w:numPr>
          <w:ilvl w:val="0"/>
          <w:numId w:val="0"/>
        </w:numPr>
        <w:autoSpaceDE w:val="0"/>
        <w:autoSpaceDN w:val="0"/>
        <w:spacing w:line="360" w:lineRule="auto"/>
        <w:ind w:firstLine="480" w:firstLineChars="200"/>
        <w:rPr>
          <w:color w:val="auto"/>
          <w:highlight w:val="none"/>
        </w:rPr>
      </w:pPr>
      <w:r>
        <w:rPr>
          <w:rFonts w:hint="eastAsia" w:ascii="仿宋" w:hAnsi="仿宋" w:eastAsia="仿宋" w:cs="仿宋"/>
          <w:color w:val="auto"/>
          <w:sz w:val="24"/>
          <w:highlight w:val="none"/>
          <w:lang w:val="en-US" w:eastAsia="zh-CN"/>
        </w:rPr>
        <w:t>2.3.3</w:t>
      </w:r>
      <w:r>
        <w:rPr>
          <w:rFonts w:hint="eastAsia" w:ascii="仿宋" w:hAnsi="仿宋" w:eastAsia="仿宋" w:cs="仿宋"/>
          <w:color w:val="auto"/>
          <w:sz w:val="24"/>
          <w:highlight w:val="none"/>
          <w:lang w:val="zh-CN" w:eastAsia="zh-CN"/>
        </w:rPr>
        <w:t>业务系统病案召回方案</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调用接口通过已配置规则与当前患者病案的状态对比，返回是否需要进行召回申请。不在规则内的均为通过，即不需要进行召回申请。</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3.人员要求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de-DE" w:eastAsia="zh-CN"/>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lang w:val="de-DE" w:eastAsia="zh-CN"/>
        </w:rPr>
        <w:t>供应商需拟派项目服务团队</w:t>
      </w:r>
      <w:r>
        <w:rPr>
          <w:rFonts w:hint="eastAsia" w:ascii="仿宋" w:hAnsi="仿宋" w:eastAsia="仿宋" w:cs="仿宋"/>
          <w:b w:val="0"/>
          <w:bCs w:val="0"/>
          <w:color w:val="auto"/>
          <w:sz w:val="24"/>
          <w:highlight w:val="none"/>
          <w:lang w:val="en-US" w:eastAsia="zh-CN"/>
        </w:rPr>
        <w:t>（至少3人）</w:t>
      </w:r>
      <w:r>
        <w:rPr>
          <w:rFonts w:hint="eastAsia" w:ascii="仿宋" w:hAnsi="仿宋" w:eastAsia="仿宋" w:cs="仿宋"/>
          <w:color w:val="auto"/>
          <w:sz w:val="24"/>
          <w:highlight w:val="none"/>
          <w:lang w:val="de-DE"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627"/>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right="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序号</w:t>
            </w:r>
          </w:p>
        </w:tc>
        <w:tc>
          <w:tcPr>
            <w:tcW w:w="1627"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right="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人员名称</w:t>
            </w:r>
          </w:p>
        </w:tc>
        <w:tc>
          <w:tcPr>
            <w:tcW w:w="5985"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right="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1627"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项目经理</w:t>
            </w:r>
          </w:p>
        </w:tc>
        <w:tc>
          <w:tcPr>
            <w:tcW w:w="5985"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rPr>
              <w:t>负责制定计划、管理进度，对接客户需求并汇报状态，协调开发与运维团队</w:t>
            </w:r>
            <w:r>
              <w:rPr>
                <w:rFonts w:hint="eastAsia" w:ascii="仿宋" w:hAnsi="仿宋" w:eastAsia="仿宋" w:cs="仿宋"/>
                <w:i w:val="0"/>
                <w:iCs w:val="0"/>
                <w:caps w:val="0"/>
                <w:color w:val="auto"/>
                <w:spacing w:val="0"/>
                <w:sz w:val="24"/>
                <w:szCs w:val="24"/>
                <w:highlight w:val="none"/>
                <w:shd w:val="clear" w:color="auto" w:fill="FFFFFF"/>
                <w:lang w:eastAsia="zh-CN"/>
              </w:rPr>
              <w:t>工</w:t>
            </w:r>
            <w:r>
              <w:rPr>
                <w:rFonts w:hint="eastAsia" w:ascii="仿宋" w:hAnsi="仿宋" w:eastAsia="仿宋" w:cs="仿宋"/>
                <w:i w:val="0"/>
                <w:iCs w:val="0"/>
                <w:caps w:val="0"/>
                <w:color w:val="auto"/>
                <w:spacing w:val="0"/>
                <w:sz w:val="24"/>
                <w:szCs w:val="24"/>
                <w:highlight w:val="none"/>
                <w:shd w:val="clear" w:color="auto" w:fill="FFFFFF"/>
              </w:rPr>
              <w:t>作，管控风险，确保维保服务符合合同要求</w:t>
            </w:r>
            <w:r>
              <w:rPr>
                <w:rFonts w:hint="eastAsia" w:ascii="仿宋" w:hAnsi="仿宋" w:eastAsia="仿宋" w:cs="仿宋"/>
                <w:i w:val="0"/>
                <w:iCs w:val="0"/>
                <w:caps w:val="0"/>
                <w:color w:val="auto"/>
                <w:spacing w:val="0"/>
                <w:sz w:val="24"/>
                <w:szCs w:val="24"/>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1627"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开发工程师</w:t>
            </w:r>
          </w:p>
        </w:tc>
        <w:tc>
          <w:tcPr>
            <w:tcW w:w="5985"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rPr>
              <w:t>分析并修复</w:t>
            </w:r>
            <w:r>
              <w:rPr>
                <w:rFonts w:hint="eastAsia" w:ascii="仿宋" w:hAnsi="仿宋" w:eastAsia="仿宋" w:cs="仿宋"/>
                <w:b w:val="0"/>
                <w:bCs w:val="0"/>
                <w:color w:val="auto"/>
                <w:sz w:val="24"/>
                <w:highlight w:val="none"/>
                <w:lang w:val="en-US" w:eastAsia="zh-CN"/>
              </w:rPr>
              <w:t>BUG</w:t>
            </w:r>
            <w:r>
              <w:rPr>
                <w:rFonts w:hint="eastAsia" w:ascii="仿宋" w:hAnsi="仿宋" w:eastAsia="仿宋" w:cs="仿宋"/>
                <w:i w:val="0"/>
                <w:iCs w:val="0"/>
                <w:caps w:val="0"/>
                <w:color w:val="auto"/>
                <w:spacing w:val="0"/>
                <w:sz w:val="24"/>
                <w:szCs w:val="24"/>
                <w:highlight w:val="none"/>
                <w:shd w:val="clear" w:color="auto" w:fill="FFFFFF"/>
              </w:rPr>
              <w:t>，根据</w:t>
            </w:r>
            <w:r>
              <w:rPr>
                <w:rFonts w:hint="eastAsia" w:ascii="仿宋" w:hAnsi="仿宋" w:eastAsia="仿宋" w:cs="仿宋"/>
                <w:i w:val="0"/>
                <w:iCs w:val="0"/>
                <w:caps w:val="0"/>
                <w:color w:val="auto"/>
                <w:spacing w:val="0"/>
                <w:sz w:val="24"/>
                <w:szCs w:val="24"/>
                <w:highlight w:val="none"/>
                <w:shd w:val="clear" w:color="auto" w:fill="FFFFFF"/>
                <w:lang w:val="en-US" w:eastAsia="zh-CN"/>
              </w:rPr>
              <w:t>合理</w:t>
            </w:r>
            <w:r>
              <w:rPr>
                <w:rFonts w:hint="eastAsia" w:ascii="仿宋" w:hAnsi="仿宋" w:eastAsia="仿宋" w:cs="仿宋"/>
                <w:i w:val="0"/>
                <w:iCs w:val="0"/>
                <w:caps w:val="0"/>
                <w:color w:val="auto"/>
                <w:spacing w:val="0"/>
                <w:sz w:val="24"/>
                <w:szCs w:val="24"/>
                <w:highlight w:val="none"/>
                <w:shd w:val="clear" w:color="auto" w:fill="FFFFFF"/>
              </w:rPr>
              <w:t>需求进行功能调整或优化，协助运维分析解决深层技术问题，并配合版本更新。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1627"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运维工程师</w:t>
            </w:r>
          </w:p>
        </w:tc>
        <w:tc>
          <w:tcPr>
            <w:tcW w:w="5985" w:type="dxa"/>
            <w:noWrap w:val="0"/>
            <w:vAlign w:val="top"/>
          </w:tcPr>
          <w:p>
            <w:pPr>
              <w:keepNext w:val="0"/>
              <w:keepLines w:val="0"/>
              <w:numPr>
                <w:ilvl w:val="0"/>
                <w:numId w:val="0"/>
              </w:numPr>
              <w:suppressLineNumbers w:val="0"/>
              <w:autoSpaceDE w:val="0"/>
              <w:autoSpaceDN w:val="0"/>
              <w:spacing w:before="0" w:beforeAutospacing="0" w:after="0" w:afterAutospacing="0" w:line="360" w:lineRule="auto"/>
              <w:ind w:left="0" w:leftChars="0" w:right="0" w:rightChars="0" w:firstLine="0" w:firstLineChars="0"/>
              <w:jc w:val="left"/>
              <w:rPr>
                <w:rFonts w:hint="eastAsia" w:ascii="仿宋" w:hAnsi="仿宋" w:eastAsia="仿宋" w:cs="仿宋"/>
                <w:b w:val="0"/>
                <w:bCs w:val="0"/>
                <w:color w:val="auto"/>
                <w:sz w:val="24"/>
                <w:szCs w:val="24"/>
                <w:highlight w:val="none"/>
                <w:vertAlign w:val="baseline"/>
                <w:lang w:val="en-US" w:eastAsia="zh-CN"/>
              </w:rPr>
            </w:pPr>
            <w:r>
              <w:rPr>
                <w:rStyle w:val="21"/>
                <w:rFonts w:hint="eastAsia" w:ascii="仿宋" w:hAnsi="仿宋" w:eastAsia="仿宋" w:cs="仿宋"/>
                <w:b w:val="0"/>
                <w:bCs w:val="0"/>
                <w:i w:val="0"/>
                <w:iCs w:val="0"/>
                <w:caps w:val="0"/>
                <w:color w:val="auto"/>
                <w:spacing w:val="0"/>
                <w:sz w:val="24"/>
                <w:szCs w:val="24"/>
                <w:highlight w:val="none"/>
                <w:shd w:val="clear" w:color="auto" w:fill="FFFFFF"/>
              </w:rPr>
              <w:t>7×24小时系统监控与故障响应</w:t>
            </w:r>
            <w:r>
              <w:rPr>
                <w:rStyle w:val="21"/>
                <w:rFonts w:hint="eastAsia" w:ascii="仿宋" w:hAnsi="仿宋" w:eastAsia="仿宋" w:cs="仿宋"/>
                <w:b w:val="0"/>
                <w:bCs w:val="0"/>
                <w:i w:val="0"/>
                <w:iCs w:val="0"/>
                <w:caps w:val="0"/>
                <w:color w:val="auto"/>
                <w:spacing w:val="0"/>
                <w:sz w:val="24"/>
                <w:szCs w:val="24"/>
                <w:highlight w:val="none"/>
                <w:shd w:val="clear" w:color="auto" w:fill="FFFFFF"/>
                <w:lang w:eastAsia="zh-CN"/>
              </w:rPr>
              <w:t>，</w:t>
            </w:r>
            <w:r>
              <w:rPr>
                <w:rFonts w:hint="eastAsia" w:ascii="仿宋" w:hAnsi="仿宋" w:eastAsia="仿宋" w:cs="仿宋"/>
                <w:b w:val="0"/>
                <w:bCs w:val="0"/>
                <w:i w:val="0"/>
                <w:iCs w:val="0"/>
                <w:caps w:val="0"/>
                <w:color w:val="auto"/>
                <w:spacing w:val="0"/>
                <w:sz w:val="24"/>
                <w:szCs w:val="24"/>
                <w:highlight w:val="none"/>
                <w:shd w:val="clear" w:color="auto" w:fill="FFFFFF"/>
              </w:rPr>
              <w:t>执行日常维护，确保</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系统</w:t>
            </w:r>
            <w:r>
              <w:rPr>
                <w:rFonts w:hint="eastAsia" w:ascii="仿宋" w:hAnsi="仿宋" w:eastAsia="仿宋" w:cs="仿宋"/>
                <w:b w:val="0"/>
                <w:bCs w:val="0"/>
                <w:i w:val="0"/>
                <w:iCs w:val="0"/>
                <w:caps w:val="0"/>
                <w:color w:val="auto"/>
                <w:spacing w:val="0"/>
                <w:sz w:val="24"/>
                <w:szCs w:val="24"/>
                <w:highlight w:val="none"/>
                <w:shd w:val="clear" w:color="auto" w:fill="FFFFFF"/>
              </w:rPr>
              <w:t>稳定运行，并处理</w:t>
            </w:r>
            <w:r>
              <w:rPr>
                <w:rFonts w:hint="eastAsia" w:ascii="仿宋" w:hAnsi="仿宋" w:eastAsia="仿宋" w:cs="仿宋"/>
                <w:b w:val="0"/>
                <w:bCs w:val="0"/>
                <w:i w:val="0"/>
                <w:iCs w:val="0"/>
                <w:caps w:val="0"/>
                <w:strike w:val="0"/>
                <w:dstrike w:val="0"/>
                <w:color w:val="auto"/>
                <w:spacing w:val="0"/>
                <w:sz w:val="24"/>
                <w:szCs w:val="24"/>
                <w:highlight w:val="none"/>
                <w:shd w:val="clear" w:color="auto" w:fill="FFFFFF"/>
                <w:lang w:eastAsia="zh-CN"/>
              </w:rPr>
              <w:t>采购人</w:t>
            </w:r>
            <w:r>
              <w:rPr>
                <w:rFonts w:hint="eastAsia" w:ascii="仿宋" w:hAnsi="仿宋" w:eastAsia="仿宋" w:cs="仿宋"/>
                <w:b w:val="0"/>
                <w:bCs w:val="0"/>
                <w:i w:val="0"/>
                <w:iCs w:val="0"/>
                <w:caps w:val="0"/>
                <w:color w:val="auto"/>
                <w:spacing w:val="0"/>
                <w:sz w:val="24"/>
                <w:szCs w:val="24"/>
                <w:highlight w:val="none"/>
                <w:shd w:val="clear" w:color="auto" w:fill="FFFFFF"/>
              </w:rPr>
              <w:t>操作支持</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与培训</w:t>
            </w:r>
            <w:r>
              <w:rPr>
                <w:rFonts w:hint="eastAsia" w:ascii="仿宋" w:hAnsi="仿宋" w:eastAsia="仿宋" w:cs="仿宋"/>
                <w:b w:val="0"/>
                <w:bCs w:val="0"/>
                <w:i w:val="0"/>
                <w:iCs w:val="0"/>
                <w:caps w:val="0"/>
                <w:color w:val="auto"/>
                <w:spacing w:val="0"/>
                <w:sz w:val="24"/>
                <w:szCs w:val="24"/>
                <w:highlight w:val="none"/>
                <w:shd w:val="clear" w:color="auto" w:fill="FFFFFF"/>
              </w:rPr>
              <w:t>。</w:t>
            </w:r>
          </w:p>
        </w:tc>
      </w:tr>
    </w:tbl>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 供应商应指派固定的技术人员进行服务，在服务期开始前提供技术人员档案备案。如无特殊原因不得更换运维技术人员，如需更换技术人员需提前一个月告知并提供在职证明，如发现外包人员，采购人可终止合作或索赔。如发现外包人员，采购人可终止合作或索赔。</w:t>
      </w:r>
    </w:p>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（四）商务要求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报价方式为供应商以总价报价的方式进行报价，为整体项目包干价。</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val="zh-CN" w:eastAsia="zh-CN"/>
        </w:rPr>
        <w:t>报价中必须包括服务过程产生的但不限于人工、工具使用、各项税费及合同实施过程中的应预见和不可预见费用等完成合同规定责任和义务、达到合同目的的一切费用及企业利润。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lang w:val="zh-CN" w:eastAsia="zh-CN"/>
        </w:rPr>
        <w:t>供应商必须自行考虑本项目在实施期间的一切可能产生的费用。在合同执行过程中，采购人将不再另行支付与本项目相关的任何费用。</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2.服务期限及质保服务期：</w:t>
      </w:r>
    </w:p>
    <w:p>
      <w:pPr>
        <w:numPr>
          <w:ilvl w:val="0"/>
          <w:numId w:val="0"/>
        </w:numPr>
        <w:autoSpaceDE w:val="0"/>
        <w:autoSpaceDN w:val="0"/>
        <w:spacing w:line="360" w:lineRule="auto"/>
        <w:ind w:firstLine="480" w:firstLineChars="200"/>
        <w:rPr>
          <w:rFonts w:hint="eastAsia" w:ascii="仿宋" w:hAnsi="仿宋" w:eastAsia="仿宋" w:cs="仿宋"/>
          <w:strike w:val="0"/>
          <w:dstrike w:val="0"/>
          <w:color w:val="auto"/>
          <w:sz w:val="24"/>
          <w:highlight w:val="none"/>
          <w:lang w:val="zh-CN" w:eastAsia="zh-CN"/>
        </w:rPr>
      </w:pPr>
      <w:r>
        <w:rPr>
          <w:rFonts w:hint="eastAsia" w:ascii="仿宋" w:hAnsi="仿宋" w:eastAsia="仿宋" w:cs="仿宋"/>
          <w:color w:val="auto"/>
          <w:sz w:val="24"/>
          <w:highlight w:val="none"/>
          <w:lang w:val="en-US" w:eastAsia="zh-CN"/>
        </w:rPr>
        <w:t>2.1服务期限</w:t>
      </w:r>
      <w:r>
        <w:rPr>
          <w:rFonts w:hint="eastAsia" w:ascii="仿宋" w:hAnsi="仿宋" w:eastAsia="仿宋" w:cs="仿宋"/>
          <w:color w:val="auto"/>
          <w:sz w:val="24"/>
          <w:highlight w:val="none"/>
          <w:lang w:val="zh-CN" w:eastAsia="zh-CN"/>
        </w:rPr>
        <w:t>：</w:t>
      </w:r>
      <w:r>
        <w:rPr>
          <w:rFonts w:hint="eastAsia" w:ascii="仿宋" w:hAnsi="仿宋" w:eastAsia="仿宋" w:cs="仿宋"/>
          <w:strike w:val="0"/>
          <w:dstrike w:val="0"/>
          <w:color w:val="auto"/>
          <w:sz w:val="24"/>
          <w:highlight w:val="none"/>
          <w:lang w:val="zh-CN" w:eastAsia="zh-CN"/>
        </w:rPr>
        <w:t>成交供应商</w:t>
      </w:r>
      <w:r>
        <w:rPr>
          <w:rFonts w:hint="eastAsia" w:ascii="仿宋" w:hAnsi="仿宋" w:eastAsia="仿宋" w:cs="仿宋"/>
          <w:color w:val="auto"/>
          <w:sz w:val="24"/>
          <w:highlight w:val="none"/>
          <w:lang w:val="zh-CN" w:eastAsia="zh-CN"/>
        </w:rPr>
        <w:t>自合同签订后90个日历</w:t>
      </w:r>
      <w:r>
        <w:rPr>
          <w:rFonts w:hint="eastAsia" w:ascii="仿宋" w:hAnsi="仿宋" w:eastAsia="仿宋" w:cs="仿宋"/>
          <w:strike w:val="0"/>
          <w:dstrike w:val="0"/>
          <w:color w:val="auto"/>
          <w:sz w:val="24"/>
          <w:highlight w:val="none"/>
          <w:lang w:val="zh-CN" w:eastAsia="zh-CN"/>
        </w:rPr>
        <w:t>日内完成。</w:t>
      </w:r>
    </w:p>
    <w:p>
      <w:pPr>
        <w:numPr>
          <w:ilvl w:val="0"/>
          <w:numId w:val="0"/>
        </w:numPr>
        <w:autoSpaceDE w:val="0"/>
        <w:autoSpaceDN w:val="0"/>
        <w:spacing w:line="360" w:lineRule="auto"/>
        <w:ind w:firstLine="480" w:firstLineChars="200"/>
        <w:rPr>
          <w:rFonts w:hint="eastAsia" w:ascii="仿宋" w:hAnsi="仿宋" w:eastAsia="仿宋" w:cs="仿宋"/>
          <w:strike w:val="0"/>
          <w:dstrike w:val="0"/>
          <w:color w:val="auto"/>
          <w:sz w:val="24"/>
          <w:highlight w:val="none"/>
          <w:lang w:val="zh-CN" w:eastAsia="zh-CN"/>
        </w:rPr>
      </w:pPr>
      <w:r>
        <w:rPr>
          <w:rFonts w:hint="eastAsia" w:ascii="仿宋" w:hAnsi="仿宋" w:eastAsia="仿宋" w:cs="仿宋"/>
          <w:strike w:val="0"/>
          <w:dstrike w:val="0"/>
          <w:color w:val="auto"/>
          <w:sz w:val="24"/>
          <w:highlight w:val="none"/>
          <w:lang w:val="en-US" w:eastAsia="zh-CN"/>
        </w:rPr>
        <w:t>2.2</w:t>
      </w:r>
      <w:r>
        <w:rPr>
          <w:rFonts w:hint="eastAsia" w:ascii="仿宋" w:hAnsi="仿宋" w:eastAsia="仿宋" w:cs="仿宋"/>
          <w:strike w:val="0"/>
          <w:dstrike w:val="0"/>
          <w:color w:val="auto"/>
          <w:sz w:val="24"/>
          <w:highlight w:val="none"/>
          <w:lang w:val="zh-CN" w:eastAsia="zh-CN"/>
        </w:rPr>
        <w:t>质保服务期</w:t>
      </w:r>
      <w:r>
        <w:rPr>
          <w:rFonts w:hint="eastAsia" w:ascii="仿宋" w:hAnsi="仿宋" w:eastAsia="仿宋" w:cs="仿宋"/>
          <w:strike w:val="0"/>
          <w:dstrike w:val="0"/>
          <w:color w:val="auto"/>
          <w:sz w:val="24"/>
          <w:highlight w:val="none"/>
          <w:lang w:val="en-US" w:eastAsia="zh-CN"/>
        </w:rPr>
        <w:t>:</w:t>
      </w:r>
      <w:r>
        <w:rPr>
          <w:rFonts w:hint="eastAsia" w:ascii="仿宋" w:hAnsi="仿宋" w:eastAsia="仿宋" w:cs="仿宋"/>
          <w:strike w:val="0"/>
          <w:dstrike w:val="0"/>
          <w:color w:val="auto"/>
          <w:sz w:val="24"/>
          <w:highlight w:val="none"/>
          <w:lang w:val="zh-CN" w:eastAsia="zh-CN"/>
        </w:rPr>
        <w:t>质保期自验收合格次日起12个月。</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2.3服务地点：惠州市第一妇幼保健院指定地点。</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付款方式：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lang w:val="zh-CN" w:eastAsia="zh-CN"/>
        </w:rPr>
        <w:t>合同签订后20个工作日内，支付本合同中费用总额的30%；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lang w:val="zh-CN" w:eastAsia="zh-CN"/>
        </w:rPr>
        <w:t>接口开发上线启用后20个工作日内，支付本合同中费用总额的30%；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3.3</w:t>
      </w:r>
      <w:r>
        <w:rPr>
          <w:rFonts w:hint="eastAsia" w:ascii="仿宋" w:hAnsi="仿宋" w:eastAsia="仿宋" w:cs="仿宋"/>
          <w:color w:val="auto"/>
          <w:sz w:val="24"/>
          <w:highlight w:val="none"/>
          <w:lang w:val="zh-CN" w:eastAsia="zh-CN"/>
        </w:rPr>
        <w:t>接口开发完成，验收后20个工作日内，支付本合同中费用总额的40%；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lang w:val="zh-CN" w:eastAsia="zh-CN"/>
        </w:rPr>
        <w:t>支付方式采用银行转账方式；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lang w:val="zh-CN" w:eastAsia="zh-CN"/>
        </w:rPr>
        <w:t>供应商必须向采购人出具合法有效完整的完税发票及凭证进行支付结算。</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lang w:val="zh-CN" w:eastAsia="zh-CN"/>
        </w:rPr>
        <w:t>验收</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lang w:val="zh-CN" w:eastAsia="zh-CN"/>
        </w:rPr>
        <w:t>验收标准：验收的主要依据包括本项目的采购文件、响应文件、合同等。</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4.2</w:t>
      </w:r>
      <w:r>
        <w:rPr>
          <w:rFonts w:hint="eastAsia" w:ascii="仿宋" w:hAnsi="仿宋" w:eastAsia="仿宋" w:cs="仿宋"/>
          <w:color w:val="auto"/>
          <w:sz w:val="24"/>
          <w:highlight w:val="none"/>
          <w:lang w:val="zh-CN" w:eastAsia="zh-CN"/>
        </w:rPr>
        <w:t>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4.3</w:t>
      </w:r>
      <w:r>
        <w:rPr>
          <w:rFonts w:hint="eastAsia" w:ascii="仿宋" w:hAnsi="仿宋" w:eastAsia="仿宋" w:cs="仿宋"/>
          <w:color w:val="auto"/>
          <w:sz w:val="24"/>
          <w:highlight w:val="none"/>
          <w:lang w:val="zh-CN" w:eastAsia="zh-CN"/>
        </w:rPr>
        <w:t>在采购人的监督下，服务过程中的各项工作和文档，须达到采购文件中技术要求的标准。</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lang w:val="zh-CN" w:eastAsia="zh-CN"/>
        </w:rPr>
        <w:t>保密条款</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5.1</w:t>
      </w:r>
      <w:r>
        <w:rPr>
          <w:rFonts w:hint="eastAsia" w:ascii="仿宋" w:hAnsi="仿宋" w:eastAsia="仿宋" w:cs="仿宋"/>
          <w:color w:val="auto"/>
          <w:sz w:val="24"/>
          <w:highlight w:val="none"/>
          <w:lang w:val="zh-CN" w:eastAsia="zh-CN"/>
        </w:rPr>
        <w:t>供应商必须严格保守对因本</w:t>
      </w:r>
      <w:r>
        <w:rPr>
          <w:rFonts w:hint="eastAsia" w:ascii="仿宋" w:hAnsi="仿宋" w:eastAsia="仿宋" w:cs="仿宋"/>
          <w:strike w:val="0"/>
          <w:dstrike w:val="0"/>
          <w:color w:val="auto"/>
          <w:sz w:val="24"/>
          <w:highlight w:val="none"/>
          <w:lang w:val="zh-CN" w:eastAsia="zh-CN"/>
        </w:rPr>
        <w:t>项目</w:t>
      </w:r>
      <w:r>
        <w:rPr>
          <w:rFonts w:hint="eastAsia" w:ascii="仿宋" w:hAnsi="仿宋" w:eastAsia="仿宋" w:cs="仿宋"/>
          <w:color w:val="auto"/>
          <w:sz w:val="24"/>
          <w:highlight w:val="none"/>
          <w:lang w:val="zh-CN" w:eastAsia="zh-CN"/>
        </w:rPr>
        <w:t>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5.2</w:t>
      </w:r>
      <w:r>
        <w:rPr>
          <w:rFonts w:hint="eastAsia" w:ascii="仿宋" w:hAnsi="仿宋" w:eastAsia="仿宋" w:cs="仿宋"/>
          <w:color w:val="auto"/>
          <w:sz w:val="24"/>
          <w:highlight w:val="none"/>
          <w:lang w:val="zh-CN" w:eastAsia="zh-CN"/>
        </w:rPr>
        <w:t>保密义务不因合同履行完毕或解除而终止，除非保密信息已经对外披露或者公众所知。</w:t>
      </w:r>
    </w:p>
    <w:p>
      <w:pPr>
        <w:numPr>
          <w:ilvl w:val="0"/>
          <w:numId w:val="0"/>
        </w:numPr>
        <w:autoSpaceDE w:val="0"/>
        <w:autoSpaceDN w:val="0"/>
        <w:spacing w:line="360" w:lineRule="auto"/>
        <w:ind w:firstLine="480" w:firstLineChars="200"/>
        <w:rPr>
          <w:rFonts w:hint="default"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6.</w:t>
      </w:r>
      <w:r>
        <w:rPr>
          <w:rFonts w:hint="default" w:ascii="仿宋" w:hAnsi="仿宋" w:eastAsia="仿宋" w:cs="仿宋"/>
          <w:b w:val="0"/>
          <w:bCs w:val="0"/>
          <w:color w:val="auto"/>
          <w:sz w:val="24"/>
          <w:highlight w:val="none"/>
          <w:lang w:val="en-US" w:eastAsia="zh-CN"/>
        </w:rPr>
        <w:t>其它要求</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6.1</w:t>
      </w:r>
      <w:r>
        <w:rPr>
          <w:rFonts w:hint="default" w:ascii="仿宋" w:hAnsi="仿宋" w:eastAsia="仿宋" w:cs="仿宋"/>
          <w:color w:val="auto"/>
          <w:sz w:val="24"/>
          <w:highlight w:val="none"/>
          <w:lang w:val="en-US" w:eastAsia="zh-CN"/>
        </w:rPr>
        <w:t>培训要求：供应商提供详细的</w:t>
      </w:r>
      <w:r>
        <w:rPr>
          <w:rFonts w:hint="eastAsia" w:ascii="仿宋" w:hAnsi="仿宋" w:eastAsia="仿宋" w:cs="仿宋"/>
          <w:color w:val="auto"/>
          <w:sz w:val="24"/>
          <w:highlight w:val="none"/>
          <w:lang w:val="en-US" w:eastAsia="zh-CN"/>
        </w:rPr>
        <w:t>培训方案，包括但不限于</w:t>
      </w:r>
      <w:r>
        <w:rPr>
          <w:rFonts w:hint="default" w:ascii="仿宋" w:hAnsi="仿宋" w:eastAsia="仿宋" w:cs="仿宋"/>
          <w:color w:val="auto"/>
          <w:sz w:val="24"/>
          <w:highlight w:val="none"/>
          <w:lang w:val="en-US" w:eastAsia="zh-CN"/>
        </w:rPr>
        <w:t>培训计划、培训内容及列明培训时间、地点。因培训发生的所有费用应包含在总报价内。</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6.2</w:t>
      </w:r>
      <w:r>
        <w:rPr>
          <w:rFonts w:hint="default" w:ascii="仿宋" w:hAnsi="仿宋" w:eastAsia="仿宋" w:cs="仿宋"/>
          <w:color w:val="auto"/>
          <w:sz w:val="24"/>
          <w:highlight w:val="none"/>
          <w:lang w:val="en-US" w:eastAsia="zh-CN"/>
        </w:rPr>
        <w:t>要求供应商提供科学性、合理性、实施可行性、可靠性等的项目方案，包括但不限于实战培训方案、实施改善项目方案、项目实施保障、预期成果；</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6.3</w:t>
      </w:r>
      <w:r>
        <w:rPr>
          <w:rFonts w:hint="default" w:ascii="仿宋" w:hAnsi="仿宋" w:eastAsia="仿宋" w:cs="仿宋"/>
          <w:color w:val="auto"/>
          <w:sz w:val="24"/>
          <w:highlight w:val="none"/>
          <w:lang w:val="en-US" w:eastAsia="zh-CN"/>
        </w:rPr>
        <w:t>要求供应商提供制定的项目进度计划方案包含时间进度安排及保障措施；</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6.4</w:t>
      </w:r>
      <w:r>
        <w:rPr>
          <w:rFonts w:hint="default" w:ascii="仿宋" w:hAnsi="仿宋" w:eastAsia="仿宋" w:cs="仿宋"/>
          <w:color w:val="auto"/>
          <w:sz w:val="24"/>
          <w:highlight w:val="none"/>
          <w:lang w:val="en-US" w:eastAsia="zh-CN"/>
        </w:rPr>
        <w:t>要求供应商提供质量保障方案，包括但不限于质量保障体系、质量保障措施、质量提升合理化建议等；</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6.5</w:t>
      </w:r>
      <w:r>
        <w:rPr>
          <w:rFonts w:hint="default" w:ascii="仿宋" w:hAnsi="仿宋" w:eastAsia="仿宋" w:cs="仿宋"/>
          <w:color w:val="auto"/>
          <w:sz w:val="24"/>
          <w:highlight w:val="none"/>
          <w:lang w:val="en-US" w:eastAsia="zh-CN"/>
        </w:rPr>
        <w:t>要求供应商提供安全保证措施；</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6.6</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highlight w:val="none"/>
          <w:lang w:val="en-US" w:eastAsia="zh-CN"/>
        </w:rPr>
        <w:t>2022</w:t>
      </w:r>
      <w:r>
        <w:rPr>
          <w:rFonts w:hint="default" w:ascii="仿宋" w:hAnsi="仿宋" w:eastAsia="仿宋" w:cs="仿宋"/>
          <w:color w:val="auto"/>
          <w:sz w:val="24"/>
          <w:highlight w:val="none"/>
          <w:lang w:val="en-US" w:eastAsia="zh-CN"/>
        </w:rPr>
        <w:t>年1月1日至今的同类项目业绩数量情况</w:t>
      </w:r>
      <w:r>
        <w:rPr>
          <w:rFonts w:hint="eastAsia" w:ascii="仿宋" w:hAnsi="仿宋" w:eastAsia="仿宋" w:cs="仿宋"/>
          <w:color w:val="auto"/>
          <w:sz w:val="24"/>
          <w:highlight w:val="none"/>
          <w:lang w:val="en-US" w:eastAsia="zh-CN"/>
        </w:rPr>
        <w:t>。</w:t>
      </w:r>
    </w:p>
    <w:p>
      <w:pPr>
        <w:spacing w:line="380" w:lineRule="exact"/>
        <w:jc w:val="center"/>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p>
    <w:p>
      <w:pPr>
        <w:spacing w:line="380" w:lineRule="exact"/>
        <w:jc w:val="both"/>
        <w:rPr>
          <w:rFonts w:hint="eastAsia" w:ascii="仿宋" w:hAnsi="仿宋" w:eastAsia="仿宋" w:cs="仿宋"/>
          <w:b/>
          <w:color w:val="auto"/>
          <w:sz w:val="28"/>
          <w:szCs w:val="28"/>
          <w:highlight w:val="none"/>
        </w:rPr>
      </w:pPr>
    </w:p>
    <w:p>
      <w:pPr>
        <w:pStyle w:val="10"/>
        <w:rPr>
          <w:rFonts w:hint="eastAsia" w:ascii="仿宋" w:hAnsi="仿宋" w:eastAsia="仿宋" w:cs="仿宋"/>
          <w:b/>
          <w:color w:val="auto"/>
          <w:sz w:val="28"/>
          <w:szCs w:val="28"/>
          <w:highlight w:val="none"/>
        </w:rPr>
      </w:pPr>
    </w:p>
    <w:p>
      <w:pPr>
        <w:pStyle w:val="1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rPr>
          <w:rFonts w:hint="eastAsia" w:ascii="仿宋" w:hAnsi="仿宋" w:eastAsia="仿宋" w:cs="仿宋"/>
          <w:b/>
          <w:color w:val="auto"/>
          <w:sz w:val="28"/>
          <w:szCs w:val="28"/>
          <w:highlight w:val="none"/>
        </w:rPr>
      </w:pPr>
    </w:p>
    <w:p>
      <w:pPr>
        <w:pStyle w:val="10"/>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第三部分  响应供应商须知</w:t>
      </w:r>
    </w:p>
    <w:p>
      <w:pPr>
        <w:pStyle w:val="11"/>
        <w:adjustRightInd w:val="0"/>
        <w:snapToGrid w:val="0"/>
        <w:spacing w:line="380" w:lineRule="exact"/>
        <w:rPr>
          <w:rFonts w:hint="eastAsia" w:ascii="仿宋" w:hAnsi="仿宋" w:eastAsia="仿宋" w:cs="仿宋"/>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是采购活动当事人之一，负责项目的整体规划、技术方案可行性设计论证与实施，作为合同采购方（用户）的主体承担质疑回复、履行合同、验收与评价等义务。</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w:t>
      </w:r>
      <w:r>
        <w:rPr>
          <w:rFonts w:hint="eastAsia" w:ascii="仿宋" w:hAnsi="仿宋" w:eastAsia="仿宋" w:cs="仿宋"/>
          <w:snapToGrid w:val="0"/>
          <w:color w:val="auto"/>
          <w:kern w:val="0"/>
          <w:sz w:val="24"/>
          <w:szCs w:val="24"/>
          <w:highlight w:val="none"/>
          <w:lang w:eastAsia="zh-CN"/>
        </w:rPr>
        <w:t>中华人民共和国政府采购法</w:t>
      </w:r>
      <w:r>
        <w:rPr>
          <w:rFonts w:hint="eastAsia" w:ascii="仿宋" w:hAnsi="仿宋" w:eastAsia="仿宋" w:cs="仿宋"/>
          <w:snapToGrid w:val="0"/>
          <w:color w:val="auto"/>
          <w:kern w:val="0"/>
          <w:sz w:val="24"/>
          <w:szCs w:val="24"/>
          <w:highlight w:val="none"/>
        </w:rPr>
        <w:t>》第二十二条规定的供应商。</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w:t>
      </w:r>
      <w:r>
        <w:rPr>
          <w:rFonts w:hint="eastAsia" w:ascii="仿宋" w:hAnsi="仿宋" w:eastAsia="仿宋" w:cs="仿宋"/>
          <w:color w:val="auto"/>
          <w:sz w:val="24"/>
          <w:szCs w:val="24"/>
          <w:highlight w:val="none"/>
          <w:lang w:eastAsia="zh-CN"/>
        </w:rPr>
        <w:t>按评审结果顺序推荐的成交候选人及采购文件中明确的定标方法，由采购人党委会或（院长办公会）确定的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时，提供由省级以上监狱管理局、戒毒管理局(含新疆生产建设兵团)出具的属于监狱企业的证明文件，不再提供《中小企业声明函》。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者，须履行本项目下保密义务，不得将因本次项目获得的信息向第三人外传，不得将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auto"/>
          <w:sz w:val="24"/>
          <w:szCs w:val="24"/>
          <w:highlight w:val="none"/>
          <w:lang w:eastAsia="zh-CN"/>
        </w:rPr>
        <w:t>招采</w:t>
      </w:r>
      <w:r>
        <w:rPr>
          <w:rFonts w:hint="eastAsia" w:ascii="仿宋" w:hAnsi="仿宋" w:eastAsia="仿宋" w:cs="仿宋"/>
          <w:color w:val="auto"/>
          <w:sz w:val="24"/>
          <w:szCs w:val="24"/>
          <w:highlight w:val="none"/>
          <w:lang w:val="en-US" w:eastAsia="zh-CN"/>
        </w:rPr>
        <w:t>部门</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（一）评审方法</w:t>
      </w:r>
    </w:p>
    <w:p>
      <w:pPr>
        <w:pStyle w:val="11"/>
        <w:adjustRightInd w:val="0"/>
        <w:snapToGrid w:val="0"/>
        <w:spacing w:line="360" w:lineRule="auto"/>
        <w:ind w:firstLine="480" w:firstLineChars="20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color w:val="auto"/>
          <w:sz w:val="24"/>
          <w:szCs w:val="24"/>
          <w:highlight w:val="none"/>
          <w:lang w:eastAsia="zh-CN"/>
        </w:rPr>
        <w:t>本项目采用“定量评审”方式。</w:t>
      </w:r>
      <w:r>
        <w:rPr>
          <w:rFonts w:hint="eastAsia" w:ascii="仿宋" w:hAnsi="仿宋" w:eastAsia="仿宋" w:cs="仿宋"/>
          <w:color w:val="auto"/>
          <w:sz w:val="24"/>
          <w:szCs w:val="24"/>
          <w:highlight w:val="none"/>
          <w:lang w:val="en-US" w:eastAsia="zh-CN"/>
        </w:rPr>
        <w:t>采用“定量评审”方式推荐成交候选人的，评审小组根据比选文件规定的评审办法对通过资格性、符合性审查的响应文件进行评审，按评审结果顺序，推荐前3名成交候选人。</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(二)评审步骤</w:t>
      </w:r>
    </w:p>
    <w:p>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宣读评审纪律</w:t>
      </w:r>
    </w:p>
    <w:p>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8"/>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响应文件的资格性、符合性审查</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8"/>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suppressLineNumbers w:val="0"/>
              <w:spacing w:before="0" w:beforeAutospacing="0" w:after="0" w:afterAutospacing="0" w:line="380" w:lineRule="exact"/>
              <w:ind w:left="-171" w:right="0"/>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r>
              <w:rPr>
                <w:rFonts w:hint="eastAsia" w:ascii="仿宋" w:hAnsi="仿宋" w:eastAsia="仿宋" w:cs="仿宋"/>
                <w:color w:val="auto"/>
                <w:szCs w:val="21"/>
                <w:highlight w:val="none"/>
                <w:lang w:eastAsia="zh-CN"/>
              </w:rPr>
              <w:t>或书面声明</w:t>
            </w:r>
            <w:r>
              <w:rPr>
                <w:rFonts w:hint="eastAsia" w:ascii="仿宋" w:hAnsi="仿宋" w:eastAsia="仿宋" w:cs="仿宋"/>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w:t>
            </w:r>
            <w:r>
              <w:rPr>
                <w:rFonts w:hint="eastAsia" w:ascii="仿宋" w:hAnsi="仿宋" w:eastAsia="仿宋" w:cs="仿宋"/>
                <w:color w:val="auto"/>
                <w:szCs w:val="21"/>
                <w:highlight w:val="none"/>
                <w:lang w:eastAsia="zh-CN"/>
              </w:rPr>
              <w:t>P50</w:t>
            </w:r>
            <w:r>
              <w:rPr>
                <w:rFonts w:hint="eastAsia" w:ascii="仿宋" w:hAnsi="仿宋" w:eastAsia="仿宋" w:cs="仿宋"/>
                <w:color w:val="auto"/>
                <w:szCs w:val="21"/>
                <w:highlight w:val="none"/>
              </w:rPr>
              <w:t>中小企业声明函，未按要求提供声明函的将导致响应无效）。本项目中小企业划分标准所属行业为：软件和信息技术服务业。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1"/>
        <w:adjustRightInd w:val="0"/>
        <w:snapToGrid w:val="0"/>
        <w:spacing w:line="360" w:lineRule="auto"/>
        <w:ind w:right="32"/>
        <w:rPr>
          <w:rFonts w:hint="eastAsia" w:ascii="仿宋" w:hAnsi="仿宋" w:eastAsia="仿宋" w:cs="仿宋"/>
          <w:b w:val="0"/>
          <w:bCs/>
          <w:color w:val="auto"/>
          <w:sz w:val="24"/>
          <w:szCs w:val="24"/>
          <w:highlight w:val="none"/>
        </w:rPr>
      </w:pPr>
    </w:p>
    <w:p>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8"/>
        <w:tblW w:w="8729" w:type="dxa"/>
        <w:tblInd w:w="0" w:type="dxa"/>
        <w:tblLayout w:type="fixed"/>
        <w:tblCellMar>
          <w:top w:w="0" w:type="dxa"/>
          <w:left w:w="108" w:type="dxa"/>
          <w:bottom w:w="0" w:type="dxa"/>
          <w:right w:w="108" w:type="dxa"/>
        </w:tblCellMar>
      </w:tblPr>
      <w:tblGrid>
        <w:gridCol w:w="750"/>
        <w:gridCol w:w="1224"/>
        <w:gridCol w:w="954"/>
        <w:gridCol w:w="580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39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对</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kern w:val="0"/>
                <w:sz w:val="24"/>
                <w:szCs w:val="24"/>
                <w:highlight w:val="none"/>
                <w:lang w:val="en-US" w:eastAsia="zh-CN"/>
              </w:rPr>
              <w:t>中</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号条款</w:t>
            </w:r>
            <w:r>
              <w:rPr>
                <w:rFonts w:hint="eastAsia" w:ascii="仿宋" w:hAnsi="仿宋" w:eastAsia="仿宋" w:cs="仿宋"/>
                <w:color w:val="auto"/>
                <w:kern w:val="0"/>
                <w:sz w:val="24"/>
                <w:szCs w:val="24"/>
                <w:highlight w:val="none"/>
              </w:rPr>
              <w:t>的响应程度</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18</w:t>
            </w:r>
          </w:p>
        </w:tc>
        <w:tc>
          <w:tcPr>
            <w:tcW w:w="58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根据各响应供应商所提供的服务是否满足</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sz w:val="24"/>
                <w:szCs w:val="24"/>
                <w:highlight w:val="none"/>
              </w:rPr>
              <w:t>响应程度进行评分：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满足所有</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val="en-US" w:eastAsia="zh-CN"/>
              </w:rPr>
              <w:t>条款</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有一项▲号条款负偏离，得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分； </w:t>
            </w:r>
          </w:p>
          <w:p>
            <w:pPr>
              <w:widowControl/>
              <w:jc w:val="left"/>
              <w:rPr>
                <w:rFonts w:hint="eastAsia"/>
                <w:color w:val="auto"/>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以此类推，当▲号条款负偏离达到</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项（含）以上时，视为严重偏离此评分项不得分。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注：①技术条款中要求提供证明资料的，则响应文件中应提供对应条款的证明资料，未提供不得分；②未要求提供证明资料的以响应供应商填写的技术/服务要求响应表为准。</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对</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sz w:val="24"/>
                <w:szCs w:val="24"/>
                <w:highlight w:val="none"/>
                <w:lang w:val="en-US" w:eastAsia="zh-CN"/>
              </w:rPr>
              <w:t>中不带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号条款</w:t>
            </w:r>
            <w:r>
              <w:rPr>
                <w:rFonts w:hint="eastAsia" w:ascii="仿宋" w:hAnsi="仿宋" w:eastAsia="仿宋" w:cs="仿宋"/>
                <w:color w:val="auto"/>
                <w:sz w:val="24"/>
                <w:szCs w:val="24"/>
                <w:highlight w:val="none"/>
              </w:rPr>
              <w:t>的响应程度</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12</w:t>
            </w:r>
          </w:p>
        </w:tc>
        <w:tc>
          <w:tcPr>
            <w:tcW w:w="58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根据各响应供应商所提供的服务是否满足项目要求响应程度进行评分：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满足所有</w:t>
            </w:r>
            <w:r>
              <w:rPr>
                <w:rFonts w:hint="eastAsia" w:ascii="仿宋" w:hAnsi="仿宋" w:eastAsia="仿宋" w:cs="仿宋"/>
                <w:color w:val="auto"/>
                <w:sz w:val="24"/>
                <w:szCs w:val="24"/>
                <w:highlight w:val="none"/>
              </w:rPr>
              <w:t>不带▲号</w:t>
            </w:r>
            <w:r>
              <w:rPr>
                <w:rFonts w:hint="eastAsia" w:ascii="仿宋" w:hAnsi="仿宋" w:eastAsia="仿宋" w:cs="仿宋"/>
                <w:color w:val="auto"/>
                <w:sz w:val="24"/>
                <w:szCs w:val="24"/>
                <w:highlight w:val="none"/>
                <w:lang w:val="en-US" w:eastAsia="zh-CN"/>
              </w:rPr>
              <w:t>条款</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有一项不带▲号条款负偏离，得</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有二项不带▲号条款负偏离，得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有三项不带▲号条款负偏离，得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以此类推，当不带▲号条款负偏离达到</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项（含）以上时，视为严重偏离此评分项不得分。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项目实施方案</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16</w:t>
            </w:r>
          </w:p>
        </w:tc>
        <w:tc>
          <w:tcPr>
            <w:tcW w:w="5801"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提供的项目实施方案（包括对项目需求的理解、项目实施部署与计划）进行评审：</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1.方案内容完整、详细、表述清晰、科学合理、切实可行，对项目理解全面、准确、深入，完全符合</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需求的，得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2.方案内容比较完整、详细、表述比较清晰、合理、可行，较符合</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需求的，得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3.方案内容基本完整，基本满足采购需求，方案一般的，得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Hans" w:bidi="ar-SA"/>
              </w:rPr>
            </w:pPr>
            <w:r>
              <w:rPr>
                <w:rFonts w:hint="eastAsia" w:ascii="仿宋" w:hAnsi="仿宋" w:eastAsia="仿宋" w:cs="仿宋"/>
                <w:color w:val="auto"/>
                <w:kern w:val="0"/>
                <w:sz w:val="24"/>
                <w:szCs w:val="24"/>
                <w:highlight w:val="none"/>
                <w:lang w:val="en-US" w:eastAsia="zh-Hans" w:bidi="ar-SA"/>
              </w:rPr>
              <w:t>综合实力</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w:t>
            </w:r>
          </w:p>
        </w:tc>
        <w:tc>
          <w:tcPr>
            <w:tcW w:w="5801" w:type="dxa"/>
            <w:tcBorders>
              <w:top w:val="single" w:color="000000" w:sz="4" w:space="0"/>
              <w:left w:val="single" w:color="000000" w:sz="4" w:space="0"/>
              <w:bottom w:val="single" w:color="000000" w:sz="4" w:space="0"/>
              <w:right w:val="single" w:color="000000" w:sz="4" w:space="0"/>
            </w:tcBorders>
            <w:noWrap w:val="0"/>
            <w:vAlign w:val="top"/>
          </w:tcPr>
          <w:p>
            <w:pPr>
              <w:widowControl/>
              <w:numPr>
                <w:ilvl w:val="0"/>
                <w:numId w:val="0"/>
              </w:numPr>
              <w:jc w:val="left"/>
              <w:rPr>
                <w:rFonts w:hint="eastAsia" w:ascii="仿宋" w:hAnsi="仿宋" w:eastAsia="仿宋" w:cs="仿宋"/>
                <w:color w:val="auto"/>
                <w:kern w:val="0"/>
                <w:sz w:val="24"/>
                <w:highlight w:val="none"/>
                <w:lang w:val="en-GB" w:eastAsia="zh-CN"/>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en-GB" w:eastAsia="zh-CN"/>
              </w:rPr>
              <w:t>供应商</w:t>
            </w:r>
            <w:r>
              <w:rPr>
                <w:rFonts w:hint="eastAsia" w:ascii="仿宋" w:hAnsi="仿宋" w:eastAsia="仿宋" w:cs="仿宋"/>
                <w:color w:val="auto"/>
                <w:kern w:val="0"/>
                <w:sz w:val="24"/>
                <w:highlight w:val="none"/>
                <w:lang w:val="en-GB"/>
              </w:rPr>
              <w:t>具有技术服务所需的自主开发能力，</w:t>
            </w:r>
            <w:r>
              <w:rPr>
                <w:rFonts w:hint="eastAsia" w:ascii="仿宋" w:hAnsi="仿宋" w:eastAsia="仿宋" w:cs="仿宋"/>
                <w:color w:val="auto"/>
                <w:kern w:val="0"/>
                <w:sz w:val="24"/>
                <w:highlight w:val="none"/>
                <w:lang w:val="en-GB" w:eastAsia="zh-CN"/>
              </w:rPr>
              <w:t>能提供</w:t>
            </w:r>
            <w:r>
              <w:rPr>
                <w:rFonts w:hint="eastAsia" w:ascii="仿宋" w:hAnsi="仿宋" w:eastAsia="仿宋" w:cs="仿宋"/>
                <w:color w:val="auto"/>
                <w:kern w:val="0"/>
                <w:sz w:val="24"/>
                <w:highlight w:val="none"/>
                <w:lang w:val="en-GB"/>
              </w:rPr>
              <w:t>由国家版权局颁发的相关计算机软件著作权登记证书。每提供一个得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val="en-GB"/>
              </w:rPr>
              <w:t>分，满分</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en-GB"/>
              </w:rPr>
              <w:t>分</w:t>
            </w:r>
            <w:r>
              <w:rPr>
                <w:rFonts w:hint="eastAsia" w:ascii="仿宋" w:hAnsi="仿宋" w:eastAsia="仿宋" w:cs="仿宋"/>
                <w:color w:val="auto"/>
                <w:kern w:val="0"/>
                <w:sz w:val="24"/>
                <w:highlight w:val="none"/>
                <w:lang w:val="en-GB" w:eastAsia="zh-CN"/>
              </w:rPr>
              <w:t>。</w:t>
            </w:r>
          </w:p>
          <w:p>
            <w:pPr>
              <w:widowControl/>
              <w:numPr>
                <w:ilvl w:val="0"/>
                <w:numId w:val="0"/>
              </w:numPr>
              <w:jc w:val="left"/>
              <w:rPr>
                <w:rFonts w:hint="eastAsia" w:ascii="仿宋" w:hAnsi="仿宋" w:eastAsia="仿宋" w:cs="仿宋"/>
                <w:color w:val="auto"/>
                <w:kern w:val="0"/>
                <w:sz w:val="24"/>
                <w:highlight w:val="none"/>
                <w:lang w:val="en-GB" w:eastAsia="zh-CN"/>
              </w:rPr>
            </w:pPr>
            <w:r>
              <w:rPr>
                <w:rFonts w:hint="eastAsia" w:ascii="仿宋" w:hAnsi="仿宋" w:eastAsia="仿宋" w:cs="仿宋"/>
                <w:color w:val="auto"/>
                <w:kern w:val="0"/>
                <w:sz w:val="24"/>
                <w:highlight w:val="none"/>
                <w:lang w:val="en-GB"/>
              </w:rPr>
              <w:t>注：需提供相关证明材料并加盖</w:t>
            </w:r>
            <w:r>
              <w:rPr>
                <w:rFonts w:hint="eastAsia" w:ascii="仿宋" w:hAnsi="仿宋" w:eastAsia="仿宋" w:cs="仿宋"/>
                <w:color w:val="auto"/>
                <w:kern w:val="0"/>
                <w:sz w:val="24"/>
                <w:highlight w:val="none"/>
                <w:lang w:val="en-GB" w:eastAsia="zh-CN"/>
              </w:rPr>
              <w:t>供应商</w:t>
            </w:r>
            <w:r>
              <w:rPr>
                <w:rFonts w:hint="eastAsia" w:ascii="仿宋" w:hAnsi="仿宋" w:eastAsia="仿宋" w:cs="仿宋"/>
                <w:color w:val="auto"/>
                <w:kern w:val="0"/>
                <w:sz w:val="24"/>
                <w:highlight w:val="none"/>
                <w:lang w:val="en-GB"/>
              </w:rPr>
              <w:t>公章</w:t>
            </w:r>
            <w:r>
              <w:rPr>
                <w:rFonts w:hint="eastAsia" w:ascii="仿宋" w:hAnsi="仿宋" w:eastAsia="仿宋" w:cs="仿宋"/>
                <w:color w:val="auto"/>
                <w:kern w:val="0"/>
                <w:sz w:val="24"/>
                <w:highlight w:val="none"/>
                <w:lang w:val="en-GB" w:eastAsia="zh-CN"/>
              </w:rPr>
              <w:t>，</w:t>
            </w:r>
            <w:r>
              <w:rPr>
                <w:rFonts w:hint="eastAsia" w:ascii="仿宋" w:hAnsi="仿宋" w:eastAsia="仿宋" w:cs="仿宋"/>
                <w:color w:val="auto"/>
                <w:kern w:val="0"/>
                <w:sz w:val="24"/>
                <w:highlight w:val="none"/>
                <w:lang w:val="en-GB"/>
              </w:rPr>
              <w:t>提供与住院电子病历系统、门诊电子病历系统无关的证书不得分</w:t>
            </w:r>
            <w:r>
              <w:rPr>
                <w:rFonts w:hint="eastAsia" w:ascii="仿宋" w:hAnsi="仿宋" w:eastAsia="仿宋" w:cs="仿宋"/>
                <w:color w:val="auto"/>
                <w:kern w:val="0"/>
                <w:sz w:val="24"/>
                <w:highlight w:val="none"/>
                <w:lang w:val="en-GB" w:eastAsia="zh-CN"/>
              </w:rPr>
              <w:t>。</w:t>
            </w:r>
          </w:p>
          <w:p>
            <w:pPr>
              <w:widowControl/>
              <w:numPr>
                <w:ilvl w:val="0"/>
                <w:numId w:val="0"/>
              </w:numPr>
              <w:jc w:val="left"/>
              <w:rPr>
                <w:rFonts w:hint="eastAsia" w:ascii="仿宋" w:hAnsi="仿宋" w:eastAsia="仿宋" w:cs="仿宋"/>
                <w:color w:val="auto"/>
                <w:kern w:val="0"/>
                <w:sz w:val="24"/>
                <w:highlight w:val="none"/>
                <w:lang w:val="en-GB"/>
              </w:rPr>
            </w:pPr>
            <w:r>
              <w:rPr>
                <w:rFonts w:hint="eastAsia" w:ascii="仿宋" w:hAnsi="仿宋" w:eastAsia="仿宋" w:cs="仿宋"/>
                <w:color w:val="auto"/>
                <w:kern w:val="0"/>
                <w:sz w:val="24"/>
                <w:highlight w:val="none"/>
                <w:lang w:val="en-US" w:eastAsia="zh-CN"/>
              </w:rPr>
              <w:t>2.供应商</w:t>
            </w:r>
            <w:r>
              <w:rPr>
                <w:rFonts w:hint="eastAsia" w:ascii="仿宋" w:hAnsi="仿宋" w:eastAsia="仿宋" w:cs="仿宋"/>
                <w:color w:val="auto"/>
                <w:kern w:val="0"/>
                <w:sz w:val="24"/>
                <w:highlight w:val="none"/>
                <w:lang w:val="en-GB"/>
              </w:rPr>
              <w:t>具备以下有效证书的，每提供一项得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val="en-GB"/>
              </w:rPr>
              <w:t>分，最高得</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en-GB"/>
              </w:rPr>
              <w:t>分。</w:t>
            </w:r>
          </w:p>
          <w:p>
            <w:pPr>
              <w:widowControl/>
              <w:numPr>
                <w:ilvl w:val="0"/>
                <w:numId w:val="0"/>
              </w:numPr>
              <w:jc w:val="left"/>
              <w:rPr>
                <w:rFonts w:hint="eastAsia" w:ascii="仿宋" w:hAnsi="仿宋" w:eastAsia="仿宋" w:cs="仿宋"/>
                <w:color w:val="auto"/>
                <w:kern w:val="0"/>
                <w:sz w:val="24"/>
                <w:highlight w:val="none"/>
                <w:lang w:val="en-GB"/>
              </w:rPr>
            </w:pPr>
            <w:r>
              <w:rPr>
                <w:rFonts w:hint="eastAsia" w:ascii="仿宋" w:hAnsi="仿宋" w:eastAsia="仿宋" w:cs="仿宋"/>
                <w:color w:val="auto"/>
                <w:kern w:val="0"/>
                <w:sz w:val="24"/>
                <w:highlight w:val="none"/>
                <w:lang w:val="en-GB"/>
              </w:rPr>
              <w:t>（1）具有质量管理体系认证证书；</w:t>
            </w:r>
          </w:p>
          <w:p>
            <w:pPr>
              <w:widowControl/>
              <w:numPr>
                <w:ilvl w:val="0"/>
                <w:numId w:val="0"/>
              </w:numPr>
              <w:jc w:val="left"/>
              <w:rPr>
                <w:rFonts w:hint="eastAsia" w:ascii="仿宋" w:hAnsi="仿宋" w:eastAsia="仿宋" w:cs="仿宋"/>
                <w:color w:val="auto"/>
                <w:kern w:val="0"/>
                <w:sz w:val="24"/>
                <w:highlight w:val="none"/>
                <w:lang w:val="en-GB"/>
              </w:rPr>
            </w:pPr>
            <w:r>
              <w:rPr>
                <w:rFonts w:hint="eastAsia" w:ascii="仿宋" w:hAnsi="仿宋" w:eastAsia="仿宋" w:cs="仿宋"/>
                <w:color w:val="auto"/>
                <w:kern w:val="0"/>
                <w:sz w:val="24"/>
                <w:highlight w:val="none"/>
                <w:lang w:val="en-GB"/>
              </w:rPr>
              <w:t>（2）具有环境管理体系认证证书；</w:t>
            </w:r>
          </w:p>
          <w:p>
            <w:pPr>
              <w:widowControl/>
              <w:numPr>
                <w:ilvl w:val="0"/>
                <w:numId w:val="0"/>
              </w:numPr>
              <w:jc w:val="left"/>
              <w:rPr>
                <w:rFonts w:hint="eastAsia" w:ascii="仿宋" w:hAnsi="仿宋" w:eastAsia="仿宋" w:cs="仿宋"/>
                <w:color w:val="auto"/>
                <w:kern w:val="0"/>
                <w:sz w:val="24"/>
                <w:highlight w:val="none"/>
                <w:lang w:val="en-GB" w:eastAsia="zh-CN"/>
              </w:rPr>
            </w:pPr>
            <w:r>
              <w:rPr>
                <w:rFonts w:hint="eastAsia" w:ascii="仿宋" w:hAnsi="仿宋" w:eastAsia="仿宋" w:cs="仿宋"/>
                <w:color w:val="auto"/>
                <w:kern w:val="0"/>
                <w:sz w:val="24"/>
                <w:highlight w:val="none"/>
                <w:lang w:val="en-GB"/>
              </w:rPr>
              <w:t>（3）具有职业健康安全管理体系认证证书</w:t>
            </w:r>
            <w:r>
              <w:rPr>
                <w:rFonts w:hint="eastAsia" w:ascii="仿宋" w:hAnsi="仿宋" w:eastAsia="仿宋" w:cs="仿宋"/>
                <w:color w:val="auto"/>
                <w:kern w:val="0"/>
                <w:sz w:val="24"/>
                <w:highlight w:val="none"/>
                <w:lang w:val="en-GB" w:eastAsia="zh-CN"/>
              </w:rPr>
              <w:t>。</w:t>
            </w:r>
          </w:p>
          <w:p>
            <w:pPr>
              <w:widowControl/>
              <w:numPr>
                <w:ilvl w:val="0"/>
                <w:numId w:val="0"/>
              </w:numPr>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highlight w:val="none"/>
                <w:lang w:val="en-GB"/>
              </w:rPr>
              <w:t>注：</w:t>
            </w:r>
            <w:r>
              <w:rPr>
                <w:rFonts w:hint="eastAsia" w:ascii="仿宋" w:hAnsi="仿宋" w:eastAsia="仿宋" w:cs="仿宋"/>
                <w:color w:val="auto"/>
                <w:kern w:val="0"/>
                <w:sz w:val="24"/>
                <w:highlight w:val="none"/>
                <w:lang w:val="en-GB" w:eastAsia="zh-CN"/>
              </w:rPr>
              <w:t>供应商</w:t>
            </w:r>
            <w:r>
              <w:rPr>
                <w:rFonts w:hint="eastAsia" w:ascii="仿宋" w:hAnsi="仿宋" w:eastAsia="仿宋" w:cs="仿宋"/>
                <w:color w:val="auto"/>
                <w:kern w:val="0"/>
                <w:sz w:val="24"/>
                <w:highlight w:val="none"/>
                <w:lang w:val="en-GB"/>
              </w:rPr>
              <w:t>需提供证书扫描件及在全国认证认可信息公共服务平台上对证书的查询结果截图为证明材料，并加盖</w:t>
            </w:r>
            <w:r>
              <w:rPr>
                <w:rFonts w:hint="eastAsia" w:ascii="仿宋" w:hAnsi="仿宋" w:eastAsia="仿宋" w:cs="仿宋"/>
                <w:color w:val="auto"/>
                <w:kern w:val="0"/>
                <w:sz w:val="24"/>
                <w:highlight w:val="none"/>
                <w:lang w:val="en-GB" w:eastAsia="zh-CN"/>
              </w:rPr>
              <w:t>供应商</w:t>
            </w:r>
            <w:r>
              <w:rPr>
                <w:rFonts w:hint="eastAsia" w:ascii="仿宋" w:hAnsi="仿宋" w:eastAsia="仿宋" w:cs="仿宋"/>
                <w:color w:val="auto"/>
                <w:kern w:val="0"/>
                <w:sz w:val="24"/>
                <w:highlight w:val="none"/>
                <w:lang w:val="en-GB"/>
              </w:rPr>
              <w:t>公章，否则不得分。</w:t>
            </w:r>
          </w:p>
        </w:tc>
      </w:tr>
      <w:tr>
        <w:tblPrEx>
          <w:tblCellMar>
            <w:top w:w="0" w:type="dxa"/>
            <w:left w:w="108" w:type="dxa"/>
            <w:bottom w:w="0" w:type="dxa"/>
            <w:right w:w="108" w:type="dxa"/>
          </w:tblCellMar>
        </w:tblPrEx>
        <w:trPr>
          <w:trHeight w:val="3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Hans" w:bidi="ar-SA"/>
              </w:rPr>
              <w:t>项目团队</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w:t>
            </w:r>
          </w:p>
        </w:tc>
        <w:tc>
          <w:tcPr>
            <w:tcW w:w="5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拟投入本项目团队人员：</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1.拟派出1名项目负责人，</w:t>
            </w:r>
            <w:r>
              <w:rPr>
                <w:rFonts w:hint="eastAsia" w:ascii="仿宋" w:hAnsi="仿宋" w:eastAsia="仿宋" w:cs="仿宋"/>
                <w:color w:val="auto"/>
                <w:kern w:val="0"/>
                <w:sz w:val="24"/>
                <w:szCs w:val="24"/>
                <w:highlight w:val="none"/>
                <w:lang w:val="en-GB" w:eastAsia="zh-CN" w:bidi="ar-SA"/>
              </w:rPr>
              <w:t>具备国家工业和信息化部（原国家信息产业部）和人力资源和社会保障部颁发的中级或以上</w:t>
            </w:r>
            <w:r>
              <w:rPr>
                <w:rFonts w:hint="eastAsia" w:ascii="仿宋" w:hAnsi="仿宋" w:eastAsia="仿宋" w:cs="仿宋"/>
                <w:color w:val="auto"/>
                <w:kern w:val="0"/>
                <w:sz w:val="24"/>
                <w:szCs w:val="24"/>
                <w:highlight w:val="none"/>
                <w:lang w:val="en-US" w:eastAsia="zh-CN" w:bidi="ar-SA"/>
              </w:rPr>
              <w:t>信息系统项目管理师证书的，得2分；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2.拟派项目维护服务人员</w:t>
            </w:r>
            <w:r>
              <w:rPr>
                <w:rFonts w:hint="eastAsia" w:ascii="仿宋" w:hAnsi="仿宋" w:eastAsia="仿宋" w:cs="仿宋"/>
                <w:strike w:val="0"/>
                <w:dstrike w:val="0"/>
                <w:color w:val="auto"/>
                <w:kern w:val="0"/>
                <w:sz w:val="24"/>
                <w:szCs w:val="24"/>
                <w:highlight w:val="none"/>
                <w:lang w:val="en-US" w:eastAsia="zh-CN" w:bidi="ar-SA"/>
              </w:rPr>
              <w:t>（不含项目负责人、人员不重复计算）</w:t>
            </w:r>
            <w:r>
              <w:rPr>
                <w:rFonts w:hint="eastAsia" w:ascii="仿宋" w:hAnsi="仿宋" w:eastAsia="仿宋" w:cs="仿宋"/>
                <w:strike w:val="0"/>
                <w:color w:val="auto"/>
                <w:kern w:val="0"/>
                <w:sz w:val="24"/>
                <w:szCs w:val="24"/>
                <w:highlight w:val="none"/>
                <w:lang w:val="en-US" w:eastAsia="zh-CN" w:bidi="ar-SA"/>
              </w:rPr>
              <w:t>不少于2人</w:t>
            </w:r>
            <w:r>
              <w:rPr>
                <w:rFonts w:hint="eastAsia" w:ascii="仿宋" w:hAnsi="仿宋" w:eastAsia="仿宋" w:cs="仿宋"/>
                <w:color w:val="auto"/>
                <w:kern w:val="0"/>
                <w:sz w:val="24"/>
                <w:szCs w:val="24"/>
                <w:highlight w:val="none"/>
                <w:lang w:val="en-US" w:eastAsia="zh-CN" w:bidi="ar-SA"/>
              </w:rPr>
              <w:t>，维护服务人员应满足：</w:t>
            </w:r>
            <w:r>
              <w:rPr>
                <w:rFonts w:hint="eastAsia" w:ascii="仿宋" w:hAnsi="仿宋" w:eastAsia="仿宋" w:cs="仿宋"/>
                <w:color w:val="auto"/>
                <w:kern w:val="0"/>
                <w:sz w:val="24"/>
                <w:szCs w:val="24"/>
                <w:highlight w:val="none"/>
                <w:lang w:val="en-GB" w:eastAsia="zh-CN" w:bidi="ar-SA"/>
              </w:rPr>
              <w:t>具备国家工业和信息化部（原国家信息产业部）和人力资源和社会保障部颁发的初级或以上网络工程师证书</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GB" w:eastAsia="zh-CN" w:bidi="ar-SA"/>
              </w:rPr>
              <w:t>每提供1</w:t>
            </w:r>
            <w:r>
              <w:rPr>
                <w:rFonts w:hint="eastAsia" w:ascii="仿宋" w:hAnsi="仿宋" w:eastAsia="仿宋" w:cs="仿宋"/>
                <w:color w:val="auto"/>
                <w:kern w:val="0"/>
                <w:sz w:val="24"/>
                <w:szCs w:val="24"/>
                <w:highlight w:val="none"/>
                <w:lang w:val="en-US" w:eastAsia="zh-CN" w:bidi="ar-SA"/>
              </w:rPr>
              <w:t>份，</w:t>
            </w:r>
            <w:r>
              <w:rPr>
                <w:rFonts w:hint="eastAsia" w:ascii="仿宋" w:hAnsi="仿宋" w:eastAsia="仿宋" w:cs="仿宋"/>
                <w:color w:val="auto"/>
                <w:kern w:val="0"/>
                <w:sz w:val="24"/>
                <w:szCs w:val="24"/>
                <w:highlight w:val="none"/>
                <w:lang w:val="en-GB" w:eastAsia="zh-CN" w:bidi="ar-SA"/>
              </w:rPr>
              <w:t>得1分，本项最高得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分</w:t>
            </w:r>
            <w:r>
              <w:rPr>
                <w:rFonts w:hint="eastAsia" w:ascii="仿宋" w:hAnsi="仿宋" w:eastAsia="仿宋" w:cs="仿宋"/>
                <w:color w:val="auto"/>
                <w:kern w:val="0"/>
                <w:sz w:val="24"/>
                <w:szCs w:val="24"/>
                <w:highlight w:val="none"/>
                <w:lang w:val="en-US" w:eastAsia="zh-CN" w:bidi="ar-SA"/>
              </w:rPr>
              <w:t>。</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注：①需提供上述人员在</w:t>
            </w:r>
            <w:r>
              <w:rPr>
                <w:rFonts w:hint="eastAsia" w:ascii="仿宋" w:hAnsi="仿宋" w:eastAsia="仿宋" w:cs="仿宋"/>
                <w:color w:val="auto"/>
                <w:kern w:val="2"/>
                <w:sz w:val="24"/>
                <w:szCs w:val="24"/>
                <w:highlight w:val="none"/>
                <w:lang w:val="en-US" w:eastAsia="zh-CN" w:bidi="ar-SA"/>
              </w:rPr>
              <w:t>响应截止日前近半年内任意1个月</w:t>
            </w:r>
            <w:r>
              <w:rPr>
                <w:rFonts w:hint="eastAsia" w:ascii="仿宋" w:hAnsi="仿宋" w:eastAsia="仿宋" w:cs="仿宋"/>
                <w:color w:val="auto"/>
                <w:kern w:val="0"/>
                <w:sz w:val="24"/>
                <w:szCs w:val="24"/>
                <w:highlight w:val="none"/>
                <w:lang w:val="en-GB" w:eastAsia="zh-CN" w:bidi="ar-SA"/>
              </w:rPr>
              <w:t>缴纳的社保明细（若公司成立未到半年，按公司成立实际时间提供），并</w:t>
            </w:r>
            <w:r>
              <w:rPr>
                <w:rFonts w:hint="eastAsia" w:ascii="仿宋" w:hAnsi="仿宋" w:eastAsia="仿宋" w:cs="仿宋"/>
                <w:color w:val="auto"/>
                <w:kern w:val="0"/>
                <w:sz w:val="24"/>
                <w:highlight w:val="none"/>
                <w:lang w:val="en-GB"/>
              </w:rPr>
              <w:t>加盖</w:t>
            </w:r>
            <w:r>
              <w:rPr>
                <w:rFonts w:hint="eastAsia" w:ascii="仿宋" w:hAnsi="仿宋" w:eastAsia="仿宋" w:cs="仿宋"/>
                <w:color w:val="auto"/>
                <w:kern w:val="0"/>
                <w:sz w:val="24"/>
                <w:highlight w:val="none"/>
                <w:lang w:val="en-GB" w:eastAsia="zh-CN"/>
              </w:rPr>
              <w:t>供应商公</w:t>
            </w:r>
            <w:r>
              <w:rPr>
                <w:rFonts w:hint="eastAsia" w:ascii="仿宋" w:hAnsi="仿宋" w:eastAsia="仿宋" w:cs="仿宋"/>
                <w:color w:val="auto"/>
                <w:kern w:val="0"/>
                <w:sz w:val="24"/>
                <w:szCs w:val="24"/>
                <w:highlight w:val="none"/>
                <w:lang w:val="en-GB" w:eastAsia="zh-CN" w:bidi="ar-SA"/>
              </w:rPr>
              <w:t>章，以及相关证书复印件作为凭证；②以上人员不重复计分，同一人员按得分最高项计分。无提供或提供的材料不符合要求的不得分。</w:t>
            </w:r>
          </w:p>
        </w:tc>
      </w:tr>
      <w:tr>
        <w:tblPrEx>
          <w:tblCellMar>
            <w:top w:w="0" w:type="dxa"/>
            <w:left w:w="108" w:type="dxa"/>
            <w:bottom w:w="0" w:type="dxa"/>
            <w:right w:w="108" w:type="dxa"/>
          </w:tblCellMar>
        </w:tblPrEx>
        <w:trPr>
          <w:trHeight w:val="27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售后服务方案</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10</w:t>
            </w:r>
          </w:p>
        </w:tc>
        <w:tc>
          <w:tcPr>
            <w:tcW w:w="5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根据</w:t>
            </w:r>
            <w:r>
              <w:rPr>
                <w:rFonts w:hint="eastAsia" w:ascii="仿宋" w:hAnsi="仿宋" w:eastAsia="仿宋" w:cs="仿宋"/>
                <w:color w:val="auto"/>
                <w:kern w:val="0"/>
                <w:sz w:val="24"/>
                <w:szCs w:val="24"/>
                <w:highlight w:val="none"/>
                <w:lang w:val="en-GB" w:eastAsia="zh-CN" w:bidi="ar-SA"/>
              </w:rPr>
              <w:t>供应商</w:t>
            </w:r>
            <w:r>
              <w:rPr>
                <w:rFonts w:hint="eastAsia" w:ascii="仿宋" w:hAnsi="仿宋" w:eastAsia="仿宋" w:cs="仿宋"/>
                <w:color w:val="auto"/>
                <w:kern w:val="0"/>
                <w:sz w:val="24"/>
                <w:szCs w:val="24"/>
                <w:highlight w:val="none"/>
                <w:lang w:val="en-GB" w:eastAsia="zh-Hans" w:bidi="ar-SA"/>
              </w:rPr>
              <w:t>所提供的售后服务方案</w:t>
            </w:r>
            <w:r>
              <w:rPr>
                <w:rFonts w:hint="eastAsia" w:ascii="仿宋" w:hAnsi="仿宋" w:eastAsia="仿宋" w:cs="仿宋"/>
                <w:color w:val="auto"/>
                <w:kern w:val="0"/>
                <w:sz w:val="24"/>
                <w:highlight w:val="none"/>
                <w:lang w:val="en-GB" w:eastAsia="zh-Hans"/>
              </w:rPr>
              <w:t>（包括但不限于响应的及时性、</w:t>
            </w:r>
            <w:r>
              <w:rPr>
                <w:rFonts w:hint="eastAsia" w:ascii="仿宋" w:hAnsi="仿宋" w:eastAsia="仿宋" w:cs="仿宋"/>
                <w:color w:val="auto"/>
                <w:kern w:val="0"/>
                <w:sz w:val="24"/>
                <w:szCs w:val="24"/>
                <w:highlight w:val="none"/>
                <w:lang w:val="en-GB" w:eastAsia="zh-Hans"/>
              </w:rPr>
              <w:t>故障修复方案、售后服务人员配备</w:t>
            </w:r>
            <w:r>
              <w:rPr>
                <w:rFonts w:hint="eastAsia"/>
                <w:color w:val="auto"/>
                <w:highlight w:val="none"/>
                <w:lang w:eastAsia="zh-CN"/>
              </w:rPr>
              <w:t>）</w:t>
            </w:r>
            <w:r>
              <w:rPr>
                <w:rFonts w:hint="eastAsia" w:ascii="仿宋" w:hAnsi="仿宋" w:eastAsia="仿宋" w:cs="仿宋"/>
                <w:color w:val="auto"/>
                <w:kern w:val="0"/>
                <w:sz w:val="24"/>
                <w:szCs w:val="24"/>
                <w:highlight w:val="none"/>
                <w:lang w:val="en-GB" w:eastAsia="zh-Hans" w:bidi="ar-SA"/>
              </w:rPr>
              <w:t>进行评价：</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en-GB" w:eastAsia="zh-Hans" w:bidi="ar-SA"/>
              </w:rPr>
              <w:t>方案详细周全、科学合理、针对性强的，得</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en-GB" w:eastAsia="zh-Hans"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Hans" w:bidi="ar-SA"/>
              </w:rPr>
              <w:t>方案基本合理、清晰可行的，得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Hans"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en-GB" w:eastAsia="zh-Hans" w:bidi="ar-SA"/>
              </w:rPr>
              <w:t>方案较简略、针对性不强的，得2分；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US" w:eastAsia="zh-CN" w:bidi="ar-SA"/>
              </w:rPr>
              <w:t>4.无</w:t>
            </w:r>
            <w:r>
              <w:rPr>
                <w:rFonts w:hint="eastAsia" w:ascii="仿宋" w:hAnsi="仿宋" w:eastAsia="仿宋" w:cs="仿宋"/>
                <w:color w:val="auto"/>
                <w:kern w:val="0"/>
                <w:sz w:val="24"/>
                <w:szCs w:val="24"/>
                <w:highlight w:val="none"/>
                <w:lang w:val="en-GB" w:eastAsia="zh-Hans" w:bidi="ar-SA"/>
              </w:rPr>
              <w:t>提供</w:t>
            </w:r>
            <w:r>
              <w:rPr>
                <w:rFonts w:hint="eastAsia" w:ascii="仿宋" w:hAnsi="仿宋" w:eastAsia="仿宋" w:cs="仿宋"/>
                <w:color w:val="auto"/>
                <w:kern w:val="0"/>
                <w:sz w:val="24"/>
                <w:szCs w:val="24"/>
                <w:highlight w:val="none"/>
                <w:lang w:val="en-GB" w:eastAsia="zh-CN" w:bidi="ar-SA"/>
              </w:rPr>
              <w:t>不得</w:t>
            </w:r>
            <w:r>
              <w:rPr>
                <w:rFonts w:hint="eastAsia" w:ascii="仿宋" w:hAnsi="仿宋" w:eastAsia="仿宋" w:cs="仿宋"/>
                <w:color w:val="auto"/>
                <w:kern w:val="0"/>
                <w:sz w:val="24"/>
                <w:szCs w:val="24"/>
                <w:highlight w:val="none"/>
                <w:lang w:val="en-GB" w:eastAsia="zh-Hans" w:bidi="ar-SA"/>
              </w:rPr>
              <w:t>分。</w:t>
            </w:r>
          </w:p>
        </w:tc>
      </w:tr>
      <w:tr>
        <w:tblPrEx>
          <w:tblCellMar>
            <w:top w:w="0" w:type="dxa"/>
            <w:left w:w="108" w:type="dxa"/>
            <w:bottom w:w="0" w:type="dxa"/>
            <w:right w:w="108" w:type="dxa"/>
          </w:tblCellMar>
        </w:tblPrEx>
        <w:trPr>
          <w:trHeight w:val="204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培训方案</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58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提供的培训方案（包括培训目标、培训计划、培训内容等）进行评审。</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1.方案内容完整、详细、表述清晰、科学合理、切实可行，优于或满足采购需求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2.方案内容基本满足采购</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3.仅提供方案但无法满足采购需求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同类业绩</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5801"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w:t>
            </w:r>
            <w:r>
              <w:rPr>
                <w:rFonts w:hint="eastAsia" w:ascii="仿宋" w:hAnsi="仿宋" w:eastAsia="仿宋" w:cs="仿宋"/>
                <w:color w:val="auto"/>
                <w:sz w:val="24"/>
                <w:szCs w:val="24"/>
                <w:highlight w:val="none"/>
                <w:lang w:eastAsia="zh-CN"/>
              </w:rPr>
              <w:t>提供的</w:t>
            </w:r>
            <w:r>
              <w:rPr>
                <w:rFonts w:hint="eastAsia" w:ascii="仿宋" w:hAnsi="仿宋" w:eastAsia="仿宋" w:cs="仿宋"/>
                <w:color w:val="auto"/>
                <w:sz w:val="24"/>
                <w:szCs w:val="24"/>
                <w:highlight w:val="none"/>
                <w:lang w:val="en-US" w:eastAsia="zh-CN"/>
              </w:rPr>
              <w:t>2022</w:t>
            </w:r>
            <w:r>
              <w:rPr>
                <w:rFonts w:hint="eastAsia" w:ascii="仿宋" w:hAnsi="仿宋" w:eastAsia="仿宋" w:cs="仿宋"/>
                <w:color w:val="auto"/>
                <w:sz w:val="24"/>
                <w:szCs w:val="24"/>
                <w:highlight w:val="none"/>
              </w:rPr>
              <w:t>年1月1日至今的同类项目业绩情况进行评分，每提供一个业绩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分，本项最高得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分。 </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注：</w:t>
            </w:r>
            <w:r>
              <w:rPr>
                <w:rFonts w:hint="eastAsia" w:ascii="仿宋" w:hAnsi="仿宋" w:eastAsia="仿宋" w:cs="仿宋"/>
                <w:color w:val="auto"/>
                <w:sz w:val="24"/>
                <w:szCs w:val="24"/>
                <w:highlight w:val="none"/>
              </w:rPr>
              <w:t>同类业绩证明文件是中标/成交通知书或合同关键页的复印件或扫描件（合同关键页是指包括：①能显示</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相关信息；②签订合同双方的单位名称、合同项目名称；③签订合同双方的签章、盖章及签订日期），无提供不得分。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5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widowControl/>
        <w:jc w:val="center"/>
        <w:rPr>
          <w:rFonts w:hint="eastAsia" w:ascii="仿宋" w:hAnsi="仿宋" w:eastAsia="仿宋" w:cs="仿宋"/>
          <w:color w:val="auto"/>
          <w:kern w:val="0"/>
          <w:sz w:val="24"/>
          <w:szCs w:val="24"/>
          <w:highlight w:val="none"/>
        </w:rPr>
      </w:pP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7.推荐</w:t>
      </w:r>
      <w:r>
        <w:rPr>
          <w:rFonts w:hint="eastAsia" w:ascii="仿宋" w:hAnsi="仿宋" w:eastAsia="仿宋" w:cs="仿宋"/>
          <w:b w:val="0"/>
          <w:bCs/>
          <w:color w:val="auto"/>
          <w:sz w:val="24"/>
          <w:szCs w:val="24"/>
          <w:highlight w:val="none"/>
        </w:rPr>
        <w:t>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w:t>
      </w:r>
      <w:r>
        <w:rPr>
          <w:rFonts w:hint="eastAsia" w:ascii="仿宋" w:hAnsi="仿宋" w:eastAsia="仿宋" w:cs="仿宋"/>
          <w:color w:val="auto"/>
          <w:kern w:val="0"/>
          <w:sz w:val="24"/>
          <w:highlight w:val="none"/>
          <w:lang w:val="en-US" w:eastAsia="zh-CN"/>
        </w:rPr>
        <w:t>推荐前3名</w:t>
      </w:r>
      <w:r>
        <w:rPr>
          <w:rFonts w:hint="eastAsia" w:ascii="仿宋" w:hAnsi="仿宋" w:eastAsia="仿宋" w:cs="仿宋"/>
          <w:color w:val="auto"/>
          <w:kern w:val="0"/>
          <w:sz w:val="24"/>
          <w:highlight w:val="none"/>
        </w:rPr>
        <w:t>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11"/>
        <w:adjustRightInd w:val="0"/>
        <w:snapToGrid w:val="0"/>
        <w:spacing w:line="360" w:lineRule="auto"/>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（三）定标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1.定标方法：定标由采购人负责，按照科学、民主决策原则，根据评审结果和采购需求，由党委会（或院务会）从成交候选供应商中确定最终成交供应商。</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定标因素：本项目定标因素包括企业实力、企业信誉、投标文件响应情况、投标报价、拟派团队管理能力与水平等多方面因素，结合医院发展需求，择优选择履约能力较强、价格合理的供应商。</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定标时间：在评标报告</w:t>
      </w:r>
      <w:r>
        <w:rPr>
          <w:rFonts w:hint="eastAsia" w:ascii="仿宋" w:hAnsi="仿宋" w:eastAsia="仿宋" w:cs="仿宋"/>
          <w:color w:val="auto"/>
          <w:sz w:val="24"/>
          <w:szCs w:val="24"/>
          <w:highlight w:val="none"/>
          <w:lang w:val="en-US" w:eastAsia="zh-CN"/>
        </w:rPr>
        <w:t>出具后</w:t>
      </w:r>
      <w:r>
        <w:rPr>
          <w:rFonts w:hint="default" w:ascii="仿宋" w:hAnsi="仿宋" w:eastAsia="仿宋" w:cs="仿宋"/>
          <w:color w:val="auto"/>
          <w:sz w:val="24"/>
          <w:szCs w:val="24"/>
          <w:highlight w:val="none"/>
          <w:lang w:val="en-US" w:eastAsia="zh-CN"/>
        </w:rPr>
        <w:t>3周内完成定标工作。</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4.成交候选供应商公示</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采购人应当在决策确定后3个工作日内公示成交候选供应商，公示期不得少于1个工作日。公示应当包括以下内容:</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(1)响应供应商名称、报价；</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(2)成交候选供应商名单；</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(3)确定的成交供应商名单；</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(4)法律、法规和规章规定的其他内容。</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5.成交通知书：</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公示期满无异议或者异议不成立的，采购人确定成交候选供应商为成交供应商，发出成交通知书。成交供应商放弃中标、因不可抗力不能履行合同或者被查实存在影响中标结果的违法行为等情形，采购人可以按照成交候选供应商名单排序依次确定其他成交候选供应商为成交供应商，也可以重新比选。</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）供应商提出质疑应当提交质疑函和必要的证明材料(包括证明材料清单、证明文件及获取途径说明)。质疑函应当包括下列内容：</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七</w:t>
      </w:r>
      <w:r>
        <w:rPr>
          <w:rFonts w:hint="eastAsia" w:ascii="仿宋" w:hAnsi="仿宋" w:eastAsia="仿宋" w:cs="仿宋"/>
          <w:color w:val="auto"/>
          <w:sz w:val="24"/>
          <w:highlight w:val="none"/>
        </w:rPr>
        <w:t>）供应商捏造事实、提供虚假材料或者以非法手段取得证明材料进行质疑或投诉的，予以驳回，并列入黑名单。</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八</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）同一供应商不能对同一事项重复质疑。</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jc w:val="right"/>
        <w:rPr>
          <w:rFonts w:hint="eastAsia" w:ascii="仿宋" w:hAnsi="仿宋" w:eastAsia="仿宋" w:cs="仿宋"/>
          <w:color w:val="auto"/>
          <w:sz w:val="52"/>
          <w:highlight w:val="none"/>
        </w:rPr>
      </w:pPr>
      <w:r>
        <w:rPr>
          <w:rFonts w:hint="eastAsia" w:ascii="仿宋" w:hAnsi="仿宋" w:eastAsia="仿宋" w:cs="仿宋"/>
          <w:b/>
          <w:bCs/>
          <w:color w:val="auto"/>
          <w:sz w:val="24"/>
          <w:highlight w:val="none"/>
        </w:rPr>
        <w:t>合同编号：</w:t>
      </w:r>
    </w:p>
    <w:p>
      <w:pPr>
        <w:snapToGrid w:val="0"/>
        <w:spacing w:line="500" w:lineRule="exact"/>
        <w:jc w:val="center"/>
        <w:rPr>
          <w:rFonts w:hint="eastAsia" w:ascii="仿宋" w:hAnsi="仿宋" w:eastAsia="仿宋" w:cs="仿宋"/>
          <w:b/>
          <w:bCs/>
          <w:color w:val="auto"/>
          <w:sz w:val="48"/>
          <w:szCs w:val="48"/>
          <w:highlight w:val="none"/>
        </w:rPr>
      </w:pPr>
    </w:p>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tbl>
      <w:tblPr>
        <w:tblStyle w:val="18"/>
        <w:tblpPr w:leftFromText="180" w:rightFromText="180" w:vertAnchor="text" w:horzAnchor="page" w:tblpX="2875" w:tblpY="1610"/>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采购编号：</w:t>
            </w: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项目名称：</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乙方：</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签订地点：惠州市第一妇幼保健院</w:t>
            </w:r>
          </w:p>
          <w:p>
            <w:pPr>
              <w:keepNext w:val="0"/>
              <w:keepLines w:val="0"/>
              <w:suppressLineNumbers w:val="0"/>
              <w:tabs>
                <w:tab w:val="left" w:pos="720"/>
              </w:tabs>
              <w:spacing w:before="0" w:beforeAutospacing="0" w:after="0" w:afterAutospacing="0" w:line="360" w:lineRule="auto"/>
              <w:ind w:left="0" w:right="0"/>
              <w:rPr>
                <w:rFonts w:hint="default" w:ascii="宋体"/>
                <w:b/>
                <w:color w:val="auto"/>
                <w:sz w:val="30"/>
                <w:szCs w:val="30"/>
                <w:highlight w:val="none"/>
              </w:rPr>
            </w:pPr>
          </w:p>
        </w:tc>
      </w:tr>
    </w:tbl>
    <w:p>
      <w:pPr>
        <w:spacing w:line="360" w:lineRule="auto"/>
        <w:ind w:firstLine="480" w:firstLineChars="200"/>
        <w:rPr>
          <w:rFonts w:ascii="宋体"/>
          <w:b/>
          <w:strike/>
          <w:color w:val="auto"/>
          <w:sz w:val="24"/>
          <w:highlight w:val="none"/>
        </w:rPr>
      </w:pPr>
      <w:r>
        <w:rPr>
          <w:rFonts w:ascii="宋体"/>
          <w:bCs/>
          <w:color w:val="auto"/>
          <w:sz w:val="24"/>
          <w:highlight w:val="none"/>
        </w:rPr>
        <w:br w:type="page"/>
      </w:r>
    </w:p>
    <w:p>
      <w:pPr>
        <w:pStyle w:val="5"/>
        <w:ind w:left="0" w:leftChars="0" w:firstLine="0" w:firstLineChars="0"/>
        <w:rPr>
          <w:color w:val="auto"/>
          <w:highlight w:val="none"/>
        </w:rPr>
      </w:pPr>
    </w:p>
    <w:p>
      <w:pPr>
        <w:pStyle w:val="5"/>
        <w:rPr>
          <w:color w:val="auto"/>
          <w:highlight w:val="none"/>
        </w:rPr>
      </w:pPr>
    </w:p>
    <w:p>
      <w:pPr>
        <w:spacing w:line="360" w:lineRule="auto"/>
        <w:jc w:val="center"/>
        <w:rPr>
          <w:rFonts w:ascii="宋体"/>
          <w:b/>
          <w:color w:val="auto"/>
          <w:sz w:val="44"/>
          <w:szCs w:val="44"/>
          <w:highlight w:val="none"/>
        </w:rPr>
      </w:pP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）的中标结果，按照《中华人民共和国政府采购法》、《中华人民共和国民法典》的规定，经双方协商，本着平等互利和诚实信用的原则，一致同意签订本合同如下。</w:t>
      </w:r>
    </w:p>
    <w:p>
      <w:pPr>
        <w:pStyle w:val="23"/>
        <w:numPr>
          <w:ilvl w:val="0"/>
          <w:numId w:val="4"/>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pPr>
        <w:pStyle w:val="23"/>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本合同甲方委托乙方就</w:t>
      </w:r>
      <w:r>
        <w:rPr>
          <w:rFonts w:hint="eastAsia" w:ascii="宋体" w:hAnsi="宋体"/>
          <w:color w:val="auto"/>
          <w:sz w:val="24"/>
          <w:highlight w:val="none"/>
          <w:u w:val="single"/>
        </w:rPr>
        <w:t xml:space="preserve">                                </w:t>
      </w:r>
      <w:r>
        <w:rPr>
          <w:rFonts w:hint="eastAsia" w:ascii="宋体" w:hAnsi="宋体"/>
          <w:color w:val="auto"/>
          <w:sz w:val="24"/>
          <w:highlight w:val="none"/>
        </w:rPr>
        <w:t>项目进行的专项技术服务，并支付相应的技术服务报酬。</w:t>
      </w:r>
    </w:p>
    <w:p>
      <w:pPr>
        <w:pStyle w:val="23"/>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1.技术服务的目标：</w:t>
      </w:r>
    </w:p>
    <w:p>
      <w:pPr>
        <w:pStyle w:val="23"/>
        <w:tabs>
          <w:tab w:val="left" w:pos="960"/>
        </w:tabs>
        <w:spacing w:line="360" w:lineRule="auto"/>
        <w:ind w:firstLine="480"/>
        <w:rPr>
          <w:rFonts w:hint="eastAsia" w:ascii="宋体" w:hAnsi="宋体"/>
          <w:color w:val="auto"/>
          <w:sz w:val="24"/>
          <w:highlight w:val="none"/>
        </w:rPr>
      </w:pPr>
      <w:r>
        <w:rPr>
          <w:rFonts w:hint="eastAsia" w:ascii="宋体" w:hAnsi="宋体"/>
          <w:color w:val="auto"/>
          <w:sz w:val="24"/>
          <w:highlight w:val="none"/>
        </w:rPr>
        <w:t>2.技术服务的内容：</w:t>
      </w:r>
    </w:p>
    <w:p>
      <w:pPr>
        <w:pStyle w:val="23"/>
        <w:tabs>
          <w:tab w:val="left" w:pos="960"/>
        </w:tabs>
        <w:spacing w:line="360" w:lineRule="auto"/>
        <w:ind w:firstLine="480"/>
        <w:rPr>
          <w:rFonts w:ascii="宋体" w:hAnsi="宋体"/>
          <w:color w:val="auto"/>
          <w:sz w:val="24"/>
          <w:highlight w:val="none"/>
          <w:u w:val="single"/>
        </w:rPr>
      </w:pPr>
      <w:r>
        <w:rPr>
          <w:rFonts w:hint="eastAsia" w:ascii="宋体" w:hAnsi="宋体"/>
          <w:color w:val="auto"/>
          <w:sz w:val="24"/>
          <w:highlight w:val="none"/>
        </w:rPr>
        <w:t>3.技术服务的方式：</w:t>
      </w:r>
    </w:p>
    <w:p>
      <w:pPr>
        <w:pStyle w:val="23"/>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4.非售后服务内容：由甲乙双方另行协商约定。</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pPr>
        <w:spacing w:line="360" w:lineRule="auto"/>
        <w:ind w:firstLine="480" w:firstLineChars="200"/>
        <w:rPr>
          <w:rFonts w:hint="default" w:ascii="宋体" w:hAnsi="宋体" w:eastAsia="宋体"/>
          <w:b w:val="0"/>
          <w:bCs/>
          <w:color w:val="auto"/>
          <w:sz w:val="24"/>
          <w:highlight w:val="none"/>
          <w:lang w:val="en-US" w:eastAsia="zh-CN"/>
        </w:rPr>
      </w:pPr>
      <w:r>
        <w:rPr>
          <w:rFonts w:hint="eastAsia" w:ascii="宋体" w:hAnsi="宋体"/>
          <w:b w:val="0"/>
          <w:bCs/>
          <w:color w:val="auto"/>
          <w:sz w:val="24"/>
          <w:highlight w:val="none"/>
          <w:lang w:val="en-US" w:eastAsia="zh-CN"/>
        </w:rPr>
        <w:t>1.</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四、服务期限和服务地点</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1.服务期限：</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2.地点：甲方指定地点</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五、付款方式</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1.合同签订后20个工作日内，支付本合同中费用总额的30%；</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2.接口开发上线启用后20个工作日内，支付本合同中费用总额的30%；</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3.接口开发完成，验收后20个工作日内，支付本合同中费用总额的40%；</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4.支付方式采用银行转账方式；</w:t>
      </w:r>
    </w:p>
    <w:p>
      <w:pPr>
        <w:pStyle w:val="9"/>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5.乙方必须向甲方出具合法有效完整的完税发票及凭证进行支付结算。</w:t>
      </w:r>
    </w:p>
    <w:p>
      <w:pPr>
        <w:pStyle w:val="9"/>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ascii="宋体" w:hAnsi="宋体"/>
          <w:color w:val="auto"/>
          <w:sz w:val="24"/>
          <w:highlight w:val="none"/>
        </w:rPr>
      </w:pPr>
      <w:r>
        <w:rPr>
          <w:rFonts w:hint="eastAsia" w:ascii="宋体" w:hAnsi="宋体"/>
          <w:color w:val="auto"/>
          <w:sz w:val="24"/>
          <w:highlight w:val="none"/>
        </w:rPr>
        <w:t>乙方账户信息如下：</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w:t>
      </w:r>
    </w:p>
    <w:p>
      <w:pPr>
        <w:spacing w:line="46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1.</w:t>
      </w:r>
    </w:p>
    <w:p>
      <w:pPr>
        <w:spacing w:line="460" w:lineRule="exact"/>
        <w:ind w:firstLine="480" w:firstLineChars="200"/>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2.</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pPr>
        <w:tabs>
          <w:tab w:val="left" w:pos="900"/>
        </w:tabs>
        <w:spacing w:line="46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1.</w:t>
      </w:r>
    </w:p>
    <w:p>
      <w:pPr>
        <w:tabs>
          <w:tab w:val="left" w:pos="900"/>
        </w:tabs>
        <w:spacing w:line="460" w:lineRule="exact"/>
        <w:ind w:firstLine="480" w:firstLineChars="200"/>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2.</w:t>
      </w:r>
    </w:p>
    <w:p>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.乙方交付的货物、工程、提供的服务不符合采购文件、报价文件或本合同规定的，甲方有权拒收，并且乙方须向甲方支付本合同金额5%的违约金。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3.甲方无正当理由拒收货物、接受服务，到期拒付货物、工程、提供服务款项的，甲方向乙方偿付拒付款项的5%的违约金。甲方逾期付款，则每日按逾期款项的3‰向乙方偿付违约金。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（1）发生不可抗力；</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（3）一方财务状况严重恶化，不能支付到期债务；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（4）出现了本合同规定的或法定的解除事由。</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未经对方书面许可，任何一方不得向第三方提供或披露因本合同的签订和履行而得知的与对方业务有关的资料和信息，法律另有规定或本合同另有约定的除外。</w:t>
      </w:r>
    </w:p>
    <w:p>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w:t>
      </w:r>
      <w:r>
        <w:rPr>
          <w:rFonts w:hint="eastAsia" w:ascii="宋体" w:hAnsi="宋体"/>
          <w:color w:val="auto"/>
          <w:sz w:val="24"/>
          <w:highlight w:val="none"/>
          <w:lang w:eastAsia="zh-CN"/>
        </w:rPr>
        <w:t>响应</w:t>
      </w:r>
      <w:r>
        <w:rPr>
          <w:rFonts w:hint="eastAsia" w:ascii="宋体" w:hAnsi="宋体"/>
          <w:color w:val="auto"/>
          <w:sz w:val="24"/>
          <w:highlight w:val="none"/>
        </w:rPr>
        <w:t>文件、中标通知书均为合同的有效组成部分，与本合同具有同等法律效力，乙方除按本合同约定的履行合同义务外，还应按其提供的</w:t>
      </w:r>
      <w:r>
        <w:rPr>
          <w:rFonts w:hint="eastAsia" w:ascii="宋体" w:hAnsi="宋体"/>
          <w:color w:val="auto"/>
          <w:sz w:val="24"/>
          <w:highlight w:val="none"/>
          <w:lang w:eastAsia="zh-CN"/>
        </w:rPr>
        <w:t>响应</w:t>
      </w:r>
      <w:r>
        <w:rPr>
          <w:rFonts w:hint="eastAsia" w:ascii="宋体" w:hAnsi="宋体"/>
          <w:color w:val="auto"/>
          <w:sz w:val="24"/>
          <w:highlight w:val="none"/>
        </w:rPr>
        <w:t>文件中的承诺履行相关义务。</w:t>
      </w:r>
    </w:p>
    <w:p>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5.本合同及相关附件中所涉及的有关名词和技术术语，其定义和解释如下：</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（1）软件系统、项目等词除另有指明外，均指本合同项下由甲方出资，乙方承建的“年度维护服务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商业秘密：是指甲方、乙方双方各自所拥有的，不为公众所知的管理信息、方式、方法、顾客名单、数据、产品信息、销售渠道、技术诀窍、计算机文档和技术资料等，或由甲方、乙方双方在履行本合同过程中明确指明为商业秘密的、法律所认可的任何信息。</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（3）工作日：是指国家所规定的节假日之外的所有工作日，未指明为工作日的日期指自然顺延的日期。</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（4）规格：是指在技术或其它开发任务上所设定的关于硬件和软件的技术标准、规范。</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本合同所称日期月、日，如无特指，均指自然月、自然日</w:t>
      </w:r>
      <w:r>
        <w:rPr>
          <w:rFonts w:hint="eastAsia" w:ascii="宋体" w:hAnsi="宋体"/>
          <w:color w:val="auto"/>
          <w:sz w:val="24"/>
          <w:highlight w:val="none"/>
          <w:lang w:eastAsia="zh-CN"/>
        </w:rPr>
        <w:t>。</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numPr>
          <w:ilvl w:val="0"/>
          <w:numId w:val="5"/>
        </w:num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双方联系人</w:t>
      </w:r>
    </w:p>
    <w:p>
      <w:pPr>
        <w:spacing w:line="46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为甲方项目联系人，乙方指定</w:t>
      </w:r>
      <w:r>
        <w:rPr>
          <w:rFonts w:ascii="宋体" w:hAnsi="宋体"/>
          <w:color w:val="auto"/>
          <w:sz w:val="24"/>
          <w:highlight w:val="none"/>
          <w:u w:val="single"/>
        </w:rPr>
        <w:t xml:space="preserve">         </w:t>
      </w:r>
      <w:r>
        <w:rPr>
          <w:rFonts w:hint="eastAsia" w:ascii="宋体" w:hAnsi="宋体"/>
          <w:color w:val="auto"/>
          <w:sz w:val="24"/>
          <w:highlight w:val="none"/>
        </w:rPr>
        <w:t>为乙方项目联系人。项目联系人承担以下责任：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（1）对整个项目的进程负责。　　　　　　　</w:t>
      </w:r>
      <w:r>
        <w:rPr>
          <w:rFonts w:ascii="宋体" w:hAnsi="宋体"/>
          <w:color w:val="auto"/>
          <w:sz w:val="24"/>
          <w:highlight w:val="none"/>
        </w:rPr>
        <w:t xml:space="preserve"> </w:t>
      </w:r>
      <w:r>
        <w:rPr>
          <w:rFonts w:hint="eastAsia" w:ascii="宋体" w:hAnsi="宋体"/>
          <w:color w:val="auto"/>
          <w:sz w:val="24"/>
          <w:highlight w:val="none"/>
        </w:rPr>
        <w:t>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（2）作为双方在项目上互相沟通，协调的主要人员。</w:t>
      </w:r>
      <w:r>
        <w:rPr>
          <w:rFonts w:ascii="宋体" w:hAnsi="宋体"/>
          <w:color w:val="auto"/>
          <w:sz w:val="24"/>
          <w:highlight w:val="none"/>
        </w:rPr>
        <w:t xml:space="preserve">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（3）定时、及时的向对方汇报，交流项目的进展情况。</w:t>
      </w:r>
      <w:r>
        <w:rPr>
          <w:rFonts w:ascii="宋体" w:hAnsi="宋体"/>
          <w:color w:val="auto"/>
          <w:sz w:val="24"/>
          <w:highlight w:val="none"/>
        </w:rPr>
        <w:t xml:space="preserve">                                           </w:t>
      </w:r>
    </w:p>
    <w:p>
      <w:pPr>
        <w:spacing w:line="460" w:lineRule="exact"/>
        <w:ind w:firstLine="480" w:firstLineChars="200"/>
        <w:rPr>
          <w:color w:val="auto"/>
          <w:highlight w:val="none"/>
        </w:rPr>
      </w:pPr>
      <w:r>
        <w:rPr>
          <w:rFonts w:hint="eastAsia" w:ascii="宋体" w:hAnsi="宋体"/>
          <w:color w:val="auto"/>
          <w:sz w:val="24"/>
          <w:highlight w:val="none"/>
        </w:rPr>
        <w:t>（4）一方变更项目联系人的，应当及时以书面形式通知另一方，未及时通知并影响本合同履行或造成损失的，应承担相应的责任。</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十六、合同生效</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w:t>
      </w:r>
      <w:r>
        <w:rPr>
          <w:rFonts w:hint="eastAsia" w:ascii="宋体" w:hAnsi="宋体"/>
          <w:color w:val="auto"/>
          <w:sz w:val="24"/>
          <w:highlight w:val="none"/>
          <w:lang w:val="en-US" w:eastAsia="zh-CN"/>
        </w:rPr>
        <w:t>法定代表人</w:t>
      </w:r>
      <w:r>
        <w:rPr>
          <w:rFonts w:hint="eastAsia" w:ascii="宋体" w:hAnsi="宋体"/>
          <w:color w:val="auto"/>
          <w:sz w:val="24"/>
          <w:highlight w:val="none"/>
        </w:rPr>
        <w:t>或其授权代表签字盖章后生效。</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2.一式伍份，具有同等效力，甲方持肆份，乙方持壹份。</w:t>
      </w:r>
    </w:p>
    <w:p>
      <w:pPr>
        <w:pStyle w:val="9"/>
        <w:rPr>
          <w:rFonts w:hint="eastAsia" w:ascii="宋体" w:hAnsi="宋体"/>
          <w:color w:val="auto"/>
          <w:sz w:val="24"/>
          <w:highlight w:val="none"/>
        </w:rPr>
      </w:pPr>
    </w:p>
    <w:p>
      <w:pPr>
        <w:rPr>
          <w:rFonts w:hint="eastAsia"/>
          <w:color w:val="auto"/>
          <w:highlight w:val="none"/>
        </w:rPr>
      </w:pPr>
    </w:p>
    <w:p>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pPr>
        <w:spacing w:line="460" w:lineRule="exact"/>
        <w:ind w:left="5519" w:leftChars="228" w:hanging="5040" w:hangingChars="2100"/>
        <w:jc w:val="left"/>
        <w:rPr>
          <w:rFonts w:hint="eastAsia" w:ascii="宋体" w:hAnsi="宋体"/>
          <w:color w:val="auto"/>
          <w:sz w:val="24"/>
          <w:highlight w:val="none"/>
        </w:rPr>
      </w:pPr>
    </w:p>
    <w:p>
      <w:pPr>
        <w:spacing w:line="460" w:lineRule="exact"/>
        <w:ind w:left="5519" w:leftChars="228" w:hanging="5040" w:hangingChars="2100"/>
        <w:jc w:val="left"/>
        <w:rPr>
          <w:rFonts w:ascii="宋体"/>
          <w:color w:val="auto"/>
          <w:sz w:val="24"/>
          <w:highlight w:val="none"/>
        </w:rPr>
      </w:pPr>
      <w:r>
        <w:rPr>
          <w:rFonts w:hint="eastAsia" w:ascii="宋体" w:hAnsi="宋体"/>
          <w:color w:val="auto"/>
          <w:sz w:val="24"/>
          <w:highlight w:val="none"/>
        </w:rPr>
        <w:t>授权代表</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hAnsi="宋体"/>
          <w:color w:val="auto"/>
          <w:sz w:val="24"/>
          <w:highlight w:val="none"/>
          <w:lang w:val="en-US" w:eastAsia="zh-CN"/>
        </w:rPr>
        <w:t>法定代表人</w:t>
      </w:r>
    </w:p>
    <w:p>
      <w:pPr>
        <w:spacing w:line="460" w:lineRule="exact"/>
        <w:ind w:left="5519" w:leftChars="228" w:hanging="5040" w:hangingChars="2100"/>
        <w:jc w:val="left"/>
        <w:rPr>
          <w:rFonts w:hint="eastAsia" w:ascii="宋体" w:hAnsi="宋体" w:cs="宋体"/>
          <w:color w:val="auto"/>
          <w:sz w:val="24"/>
          <w:highlight w:val="none"/>
        </w:rPr>
      </w:pPr>
    </w:p>
    <w:p>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autoSpaceDE w:val="0"/>
        <w:autoSpaceDN w:val="0"/>
        <w:adjustRightInd w:val="0"/>
        <w:spacing w:line="460" w:lineRule="exact"/>
        <w:ind w:right="246" w:firstLine="480" w:firstLineChars="200"/>
        <w:rPr>
          <w:rFonts w:hint="eastAsia" w:ascii="宋体" w:hAnsi="宋体" w:cs="宋体"/>
          <w:color w:val="auto"/>
          <w:sz w:val="24"/>
          <w:highlight w:val="none"/>
        </w:rPr>
      </w:pPr>
    </w:p>
    <w:p>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电话：0752-7806</w:t>
      </w:r>
      <w:r>
        <w:rPr>
          <w:rFonts w:hint="eastAsia" w:ascii="宋体" w:hAnsi="宋体" w:cs="宋体"/>
          <w:color w:val="auto"/>
          <w:sz w:val="24"/>
          <w:highlight w:val="none"/>
          <w:lang w:val="en-US" w:eastAsia="zh-CN"/>
        </w:rPr>
        <w:t xml:space="preserve">628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spacing w:line="460" w:lineRule="exact"/>
        <w:ind w:firstLine="480" w:firstLineChars="200"/>
        <w:rPr>
          <w:rFonts w:hint="eastAsia" w:ascii="宋体" w:hAnsi="宋体" w:cs="宋体"/>
          <w:color w:val="auto"/>
          <w:sz w:val="24"/>
          <w:highlight w:val="none"/>
        </w:rPr>
      </w:pPr>
    </w:p>
    <w:p>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pPr>
        <w:rPr>
          <w:color w:val="auto"/>
          <w:highlight w:val="none"/>
        </w:rPr>
      </w:pPr>
    </w:p>
    <w:p>
      <w:pPr>
        <w:pStyle w:val="9"/>
        <w:rPr>
          <w:color w:val="auto"/>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rPr>
          <w:rFonts w:hint="eastAsia"/>
          <w:color w:val="auto"/>
          <w:sz w:val="28"/>
          <w:szCs w:val="30"/>
          <w:highlight w:val="none"/>
        </w:rPr>
      </w:pPr>
    </w:p>
    <w:p>
      <w:pPr>
        <w:pStyle w:val="2"/>
        <w:numPr>
          <w:ilvl w:val="0"/>
          <w:numId w:val="0"/>
        </w:numPr>
        <w:jc w:val="left"/>
        <w:rPr>
          <w:color w:val="auto"/>
          <w:sz w:val="28"/>
          <w:szCs w:val="30"/>
          <w:highlight w:val="none"/>
        </w:rPr>
      </w:pPr>
      <w:r>
        <w:rPr>
          <w:rFonts w:hint="eastAsia"/>
          <w:color w:val="auto"/>
          <w:sz w:val="28"/>
          <w:szCs w:val="30"/>
          <w:highlight w:val="none"/>
        </w:rPr>
        <w:t>附件一：项目验收报告</w:t>
      </w:r>
    </w:p>
    <w:p>
      <w:pPr>
        <w:adjustRightInd w:val="0"/>
        <w:snapToGrid w:val="0"/>
        <w:spacing w:after="200"/>
        <w:jc w:val="center"/>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adjustRightInd w:val="0"/>
        <w:snapToGrid w:val="0"/>
        <w:spacing w:after="200"/>
        <w:ind w:right="844"/>
        <w:jc w:val="center"/>
        <w:rPr>
          <w:rFonts w:ascii="宋体" w:hAnsi="宋体" w:eastAsia="微软雅黑"/>
          <w:b/>
          <w:bCs/>
          <w:color w:val="auto"/>
          <w:sz w:val="22"/>
          <w:szCs w:val="21"/>
          <w:highlight w:val="none"/>
        </w:rPr>
      </w:pPr>
      <w:r>
        <w:rPr>
          <w:rFonts w:hint="eastAsia" w:ascii="宋体" w:hAnsi="宋体" w:eastAsia="微软雅黑"/>
          <w:b/>
          <w:bCs/>
          <w:color w:val="auto"/>
          <w:sz w:val="22"/>
          <w:szCs w:val="21"/>
          <w:highlight w:val="none"/>
        </w:rPr>
        <w:t>年    月    日</w:t>
      </w:r>
    </w:p>
    <w:tbl>
      <w:tblPr>
        <w:tblStyle w:val="1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甲方</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ind w:firstLine="2860" w:firstLineChars="13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合同号</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合同名称</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甲方项目负责人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乙方项目负责人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验收参加人员</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left"/>
              <w:rPr>
                <w:rFonts w:ascii="宋体" w:hAnsi="宋体" w:eastAsia="微软雅黑"/>
                <w:color w:val="auto"/>
                <w:sz w:val="22"/>
                <w:highlight w:val="none"/>
              </w:rPr>
            </w:pPr>
            <w:r>
              <w:rPr>
                <w:rFonts w:hint="eastAsia" w:ascii="宋体" w:hAnsi="宋体" w:eastAsia="微软雅黑"/>
                <w:color w:val="auto"/>
                <w:sz w:val="22"/>
                <w:szCs w:val="22"/>
                <w:highlight w:val="none"/>
              </w:rPr>
              <w:t>甲方：</w:t>
            </w:r>
          </w:p>
          <w:p>
            <w:pPr>
              <w:adjustRightInd w:val="0"/>
              <w:snapToGrid w:val="0"/>
              <w:spacing w:after="200"/>
              <w:jc w:val="left"/>
              <w:rPr>
                <w:rFonts w:ascii="宋体" w:hAnsi="宋体" w:eastAsia="微软雅黑"/>
                <w:color w:val="auto"/>
                <w:sz w:val="22"/>
                <w:highlight w:val="none"/>
              </w:rPr>
            </w:pPr>
            <w:r>
              <w:rPr>
                <w:rFonts w:hint="eastAsia" w:ascii="宋体" w:hAnsi="宋体" w:eastAsia="微软雅黑"/>
                <w:color w:val="auto"/>
                <w:sz w:val="22"/>
                <w:szCs w:val="22"/>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1.乙方协助甲方，完成项目入场前的软件、硬件准备工作。</w:t>
            </w:r>
          </w:p>
          <w:p>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2.乙方系统经安装调试符合《销售合同》的要求。</w:t>
            </w:r>
          </w:p>
          <w:p>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3.乙方完成甲方相关应用人员及维护人员的培训工作。</w:t>
            </w:r>
          </w:p>
          <w:p>
            <w:pPr>
              <w:adjustRightInd w:val="0"/>
              <w:snapToGrid w:val="0"/>
              <w:spacing w:after="200"/>
              <w:jc w:val="left"/>
              <w:rPr>
                <w:rFonts w:ascii="宋体" w:hAnsi="宋体"/>
                <w:color w:val="auto"/>
                <w:szCs w:val="22"/>
                <w:highlight w:val="none"/>
              </w:rPr>
            </w:pPr>
            <w:r>
              <w:rPr>
                <w:rFonts w:hint="eastAsia" w:ascii="宋体" w:hAnsi="宋体" w:eastAsia="微软雅黑"/>
                <w:color w:val="auto"/>
                <w:sz w:val="22"/>
                <w:szCs w:val="22"/>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甲方验收意见</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甲方代表签字（盖章）</w:t>
            </w:r>
          </w:p>
        </w:tc>
        <w:tc>
          <w:tcPr>
            <w:tcW w:w="54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乙方代表签字（盖章）</w:t>
            </w:r>
          </w:p>
        </w:tc>
      </w:tr>
    </w:tbl>
    <w:p>
      <w:pPr>
        <w:pStyle w:val="5"/>
        <w:ind w:firstLine="643"/>
        <w:rPr>
          <w:b/>
          <w:bCs/>
          <w:color w:val="auto"/>
          <w:sz w:val="32"/>
          <w:szCs w:val="32"/>
          <w:highlight w:val="none"/>
        </w:rPr>
      </w:pPr>
    </w:p>
    <w:p>
      <w:pPr>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9"/>
        <w:rPr>
          <w:color w:val="auto"/>
          <w:highlight w:val="none"/>
        </w:rPr>
      </w:pP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1"/>
        <w:adjustRightInd w:val="0"/>
        <w:snapToGrid w:val="0"/>
        <w:spacing w:line="360" w:lineRule="auto"/>
        <w:jc w:val="center"/>
        <w:rPr>
          <w:rFonts w:hint="eastAsia" w:ascii="仿宋" w:hAnsi="仿宋" w:eastAsia="仿宋" w:cs="仿宋"/>
          <w:b/>
          <w:color w:val="auto"/>
          <w:kern w:val="0"/>
          <w:sz w:val="72"/>
          <w:szCs w:val="72"/>
          <w:highlight w:val="none"/>
        </w:rPr>
      </w:pPr>
    </w:p>
    <w:p>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1"/>
        <w:adjustRightInd w:val="0"/>
        <w:snapToGrid w:val="0"/>
        <w:spacing w:line="360" w:lineRule="auto"/>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1"/>
        <w:spacing w:line="360" w:lineRule="auto"/>
        <w:rPr>
          <w:rFonts w:hint="eastAsia" w:ascii="仿宋" w:hAnsi="仿宋" w:eastAsia="仿宋" w:cs="仿宋"/>
          <w:b/>
          <w:color w:val="auto"/>
          <w:sz w:val="28"/>
          <w:szCs w:val="28"/>
          <w:highlight w:val="none"/>
        </w:rPr>
      </w:pPr>
    </w:p>
    <w:p>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2"/>
        <w:gridCol w:w="4264"/>
        <w:gridCol w:w="184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noWrap w:val="0"/>
            <w:vAlign w:val="top"/>
          </w:tcPr>
          <w:p>
            <w:pPr>
              <w:keepNext w:val="0"/>
              <w:keepLines w:val="0"/>
              <w:suppressLineNumbers w:val="0"/>
              <w:spacing w:before="0" w:beforeAutospacing="0" w:after="0" w:afterAutospacing="0"/>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426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846" w:type="dxa"/>
            <w:vMerge w:val="restart"/>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rPr>
              <w:t>资格性审查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本项目是专门面向中小企业采购的项目，供应商应为中小微企业。（提供《中小企业声明函》,具体格式文件见比选文件P50中小企业声明函，未按要求提供声明函的将导致响应无效）。</w:t>
            </w:r>
            <w:r>
              <w:rPr>
                <w:rFonts w:hint="eastAsia" w:ascii="仿宋" w:hAnsi="仿宋" w:eastAsia="仿宋" w:cs="仿宋"/>
                <w:color w:val="auto"/>
                <w:szCs w:val="21"/>
                <w:highlight w:val="none"/>
              </w:rPr>
              <w:t>本项目中小企业划分标准所属行业为</w:t>
            </w:r>
            <w:r>
              <w:rPr>
                <w:rFonts w:hint="eastAsia" w:ascii="仿宋" w:hAnsi="仿宋" w:eastAsia="仿宋" w:cs="仿宋"/>
                <w:color w:val="auto"/>
                <w:szCs w:val="21"/>
                <w:highlight w:val="none"/>
                <w:lang w:eastAsia="zh-CN"/>
              </w:rPr>
              <w:t>：</w:t>
            </w:r>
            <w:r>
              <w:rPr>
                <w:rFonts w:hint="eastAsia" w:ascii="仿宋" w:hAnsi="仿宋" w:eastAsia="仿宋" w:cs="仿宋"/>
                <w:color w:val="auto"/>
                <w:sz w:val="24"/>
                <w:highlight w:val="none"/>
                <w:u w:val="none" w:color="auto"/>
              </w:rPr>
              <w:t>软件和信息技术服务业</w:t>
            </w:r>
            <w:r>
              <w:rPr>
                <w:rFonts w:hint="eastAsia" w:ascii="仿宋" w:hAnsi="仿宋" w:eastAsia="仿宋" w:cs="仿宋"/>
                <w:color w:val="auto"/>
                <w:szCs w:val="21"/>
                <w:highlight w:val="none"/>
                <w:lang w:val="en-US"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color w:val="auto"/>
                <w:highlight w:val="none"/>
              </w:rPr>
            </w:pPr>
            <w:r>
              <w:rPr>
                <w:rFonts w:hint="eastAsia" w:ascii="仿宋" w:hAnsi="仿宋" w:eastAsia="仿宋" w:cs="仿宋"/>
                <w:color w:val="auto"/>
                <w:szCs w:val="21"/>
                <w:highlight w:val="none"/>
              </w:rPr>
              <w:t>符合性审查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264" w:type="dxa"/>
            <w:noWrap w:val="0"/>
            <w:vAlign w:val="center"/>
          </w:tcPr>
          <w:p>
            <w:pPr>
              <w:keepNext w:val="0"/>
              <w:keepLines w:val="0"/>
              <w:suppressLineNumbers w:val="0"/>
              <w:spacing w:before="0" w:beforeAutospacing="0" w:after="0" w:afterAutospacing="0" w:line="240" w:lineRule="auto"/>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8"/>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djustRightInd w:val="0"/>
        <w:snapToGrid w:val="0"/>
        <w:spacing w:line="300" w:lineRule="auto"/>
        <w:rPr>
          <w:rFonts w:hint="eastAsia" w:ascii="仿宋" w:hAnsi="仿宋" w:eastAsia="仿宋" w:cs="仿宋"/>
          <w:color w:val="auto"/>
          <w:sz w:val="24"/>
          <w:highlight w:val="none"/>
        </w:rPr>
      </w:pPr>
    </w:p>
    <w:p>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8"/>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32"/>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对</w:t>
            </w:r>
            <w:r>
              <w:rPr>
                <w:rFonts w:hint="eastAsia" w:ascii="仿宋" w:hAnsi="仿宋" w:eastAsia="仿宋" w:cs="仿宋"/>
                <w:b w:val="0"/>
                <w:bCs w:val="0"/>
                <w:color w:val="auto"/>
                <w:sz w:val="21"/>
                <w:szCs w:val="21"/>
                <w:highlight w:val="none"/>
                <w:lang w:val="en-US" w:eastAsia="zh-CN"/>
              </w:rPr>
              <w:t>服务要求</w:t>
            </w:r>
            <w:r>
              <w:rPr>
                <w:rFonts w:hint="eastAsia" w:ascii="仿宋" w:hAnsi="仿宋" w:eastAsia="仿宋" w:cs="仿宋"/>
                <w:color w:val="auto"/>
                <w:kern w:val="0"/>
                <w:sz w:val="21"/>
                <w:szCs w:val="21"/>
                <w:highlight w:val="none"/>
                <w:lang w:val="en-US" w:eastAsia="zh-CN"/>
              </w:rPr>
              <w:t>中</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号条款</w:t>
            </w:r>
            <w:r>
              <w:rPr>
                <w:rFonts w:hint="eastAsia" w:ascii="仿宋" w:hAnsi="仿宋" w:eastAsia="仿宋" w:cs="仿宋"/>
                <w:color w:val="auto"/>
                <w:kern w:val="0"/>
                <w:sz w:val="21"/>
                <w:szCs w:val="21"/>
                <w:highlight w:val="none"/>
              </w:rPr>
              <w:t>的响应程度</w:t>
            </w:r>
          </w:p>
        </w:tc>
        <w:tc>
          <w:tcPr>
            <w:tcW w:w="5232" w:type="dxa"/>
            <w:noWrap w:val="0"/>
            <w:vAlign w:val="center"/>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根据各响应供应商所提供的服务是否满足</w:t>
            </w:r>
            <w:r>
              <w:rPr>
                <w:rFonts w:hint="eastAsia" w:ascii="仿宋" w:hAnsi="仿宋" w:eastAsia="仿宋" w:cs="仿宋"/>
                <w:b w:val="0"/>
                <w:bCs w:val="0"/>
                <w:color w:val="auto"/>
                <w:sz w:val="21"/>
                <w:szCs w:val="21"/>
                <w:highlight w:val="none"/>
                <w:lang w:val="en-US" w:eastAsia="zh-CN"/>
              </w:rPr>
              <w:t>服务要求</w:t>
            </w:r>
            <w:r>
              <w:rPr>
                <w:rFonts w:hint="eastAsia" w:ascii="仿宋" w:hAnsi="仿宋" w:eastAsia="仿宋" w:cs="仿宋"/>
                <w:color w:val="auto"/>
                <w:sz w:val="21"/>
                <w:szCs w:val="21"/>
                <w:highlight w:val="none"/>
              </w:rPr>
              <w:t>响应程度进行评分：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满足所有</w:t>
            </w:r>
            <w:r>
              <w:rPr>
                <w:rFonts w:hint="eastAsia" w:ascii="仿宋" w:hAnsi="仿宋" w:eastAsia="仿宋" w:cs="仿宋"/>
                <w:color w:val="auto"/>
                <w:sz w:val="21"/>
                <w:szCs w:val="21"/>
                <w:highlight w:val="none"/>
              </w:rPr>
              <w:t>▲号</w:t>
            </w:r>
            <w:r>
              <w:rPr>
                <w:rFonts w:hint="eastAsia" w:ascii="仿宋" w:hAnsi="仿宋" w:eastAsia="仿宋" w:cs="仿宋"/>
                <w:color w:val="auto"/>
                <w:sz w:val="21"/>
                <w:szCs w:val="21"/>
                <w:highlight w:val="none"/>
                <w:lang w:val="en-US" w:eastAsia="zh-CN"/>
              </w:rPr>
              <w:t>条款</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 xml:space="preserve">分； </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有一项▲号条款负偏离，得</w:t>
            </w:r>
            <w:r>
              <w:rPr>
                <w:rFonts w:hint="eastAsia" w:ascii="仿宋" w:hAnsi="仿宋" w:eastAsia="仿宋" w:cs="仿宋"/>
                <w:color w:val="auto"/>
                <w:sz w:val="21"/>
                <w:szCs w:val="21"/>
                <w:highlight w:val="none"/>
                <w:lang w:val="en-US" w:eastAsia="zh-CN"/>
              </w:rPr>
              <w:t>16</w:t>
            </w:r>
            <w:r>
              <w:rPr>
                <w:rFonts w:hint="eastAsia" w:ascii="仿宋" w:hAnsi="仿宋" w:eastAsia="仿宋" w:cs="仿宋"/>
                <w:color w:val="auto"/>
                <w:sz w:val="21"/>
                <w:szCs w:val="21"/>
                <w:highlight w:val="none"/>
              </w:rPr>
              <w:t xml:space="preserve">分； </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项▲号条款负偏离，得</w:t>
            </w: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rPr>
              <w:t xml:space="preserve">分； </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w:t>
            </w:r>
            <w:r>
              <w:rPr>
                <w:rFonts w:hint="eastAsia" w:ascii="仿宋" w:hAnsi="仿宋" w:eastAsia="仿宋" w:cs="仿宋"/>
                <w:color w:val="auto"/>
                <w:sz w:val="21"/>
                <w:szCs w:val="21"/>
                <w:highlight w:val="none"/>
                <w:lang w:val="en-US" w:eastAsia="zh-CN"/>
              </w:rPr>
              <w:t>三</w:t>
            </w:r>
            <w:r>
              <w:rPr>
                <w:rFonts w:hint="eastAsia" w:ascii="仿宋" w:hAnsi="仿宋" w:eastAsia="仿宋" w:cs="仿宋"/>
                <w:color w:val="auto"/>
                <w:sz w:val="21"/>
                <w:szCs w:val="21"/>
                <w:highlight w:val="none"/>
              </w:rPr>
              <w:t>项▲号条款负偏离，得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 xml:space="preserve">分； </w:t>
            </w:r>
          </w:p>
          <w:p>
            <w:pPr>
              <w:widowControl/>
              <w:jc w:val="left"/>
              <w:rPr>
                <w:rFonts w:hint="eastAsia"/>
                <w:color w:val="auto"/>
                <w:sz w:val="21"/>
                <w:szCs w:val="21"/>
                <w:highlight w:val="none"/>
              </w:rPr>
            </w:pPr>
            <w:r>
              <w:rPr>
                <w:rFonts w:hint="eastAsia" w:ascii="仿宋" w:hAnsi="仿宋" w:eastAsia="仿宋" w:cs="仿宋"/>
                <w:color w:val="auto"/>
                <w:sz w:val="21"/>
                <w:szCs w:val="21"/>
                <w:highlight w:val="none"/>
              </w:rPr>
              <w:t>有</w:t>
            </w: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项▲号条款负偏离，得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 xml:space="preserve">分； </w:t>
            </w:r>
          </w:p>
          <w:p>
            <w:pPr>
              <w:widowControl/>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以此类推，当▲号条款负偏离达到</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项（含）以上时，视为严重偏离此评分项不得分。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rPr>
              <w:t>注：①技术条款中要求提供证明资料的，则响应文件中应提供对应条款的证明资料，未提供不得分；②未要求提供证明资料的以响应供应商填写的技术/服务要求响应表为准。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rPr>
              <w:t>对</w:t>
            </w:r>
            <w:r>
              <w:rPr>
                <w:rFonts w:hint="eastAsia" w:ascii="仿宋" w:hAnsi="仿宋" w:eastAsia="仿宋" w:cs="仿宋"/>
                <w:b w:val="0"/>
                <w:bCs w:val="0"/>
                <w:color w:val="auto"/>
                <w:sz w:val="21"/>
                <w:szCs w:val="21"/>
                <w:highlight w:val="none"/>
                <w:lang w:val="en-US" w:eastAsia="zh-CN"/>
              </w:rPr>
              <w:t>服务要求</w:t>
            </w:r>
            <w:r>
              <w:rPr>
                <w:rFonts w:hint="eastAsia" w:ascii="仿宋" w:hAnsi="仿宋" w:eastAsia="仿宋" w:cs="仿宋"/>
                <w:color w:val="auto"/>
                <w:sz w:val="21"/>
                <w:szCs w:val="21"/>
                <w:highlight w:val="none"/>
                <w:lang w:val="en-US" w:eastAsia="zh-CN"/>
              </w:rPr>
              <w:t>中不带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号条款</w:t>
            </w:r>
            <w:r>
              <w:rPr>
                <w:rFonts w:hint="eastAsia" w:ascii="仿宋" w:hAnsi="仿宋" w:eastAsia="仿宋" w:cs="仿宋"/>
                <w:color w:val="auto"/>
                <w:sz w:val="21"/>
                <w:szCs w:val="21"/>
                <w:highlight w:val="none"/>
              </w:rPr>
              <w:t>的响应程度</w:t>
            </w:r>
          </w:p>
        </w:tc>
        <w:tc>
          <w:tcPr>
            <w:tcW w:w="5232" w:type="dxa"/>
            <w:noWrap w:val="0"/>
            <w:vAlign w:val="center"/>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根据各响应供应商所提供的服务是否满足项目要求响应程度进行评分：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满足所有</w:t>
            </w:r>
            <w:r>
              <w:rPr>
                <w:rFonts w:hint="eastAsia" w:ascii="仿宋" w:hAnsi="仿宋" w:eastAsia="仿宋" w:cs="仿宋"/>
                <w:color w:val="auto"/>
                <w:sz w:val="21"/>
                <w:szCs w:val="21"/>
                <w:highlight w:val="none"/>
              </w:rPr>
              <w:t>不带▲号</w:t>
            </w:r>
            <w:r>
              <w:rPr>
                <w:rFonts w:hint="eastAsia" w:ascii="仿宋" w:hAnsi="仿宋" w:eastAsia="仿宋" w:cs="仿宋"/>
                <w:color w:val="auto"/>
                <w:sz w:val="21"/>
                <w:szCs w:val="21"/>
                <w:highlight w:val="none"/>
                <w:lang w:val="en-US" w:eastAsia="zh-CN"/>
              </w:rPr>
              <w:t>条款</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 xml:space="preserve">分； </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有一项不带▲号条款负偏离，得</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 xml:space="preserve">分； </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有二项不带▲号条款负偏离，得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 xml:space="preserve">分； </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有三项不带▲号条款负偏离，得</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 xml:space="preserve">分；  </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以此类推，当不带▲号条款负偏离达到</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项（含）以上时，视为严重偏离此评分项不得分。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注：比选文件未要求提供证明材料的技术参数，以响应文件格式技术和服务要求响应表为准。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rPr>
              <w:t>项目实施方案</w:t>
            </w:r>
          </w:p>
        </w:tc>
        <w:tc>
          <w:tcPr>
            <w:tcW w:w="5232" w:type="dxa"/>
            <w:noWrap w:val="0"/>
            <w:vAlign w:val="top"/>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w:t>
            </w:r>
            <w:r>
              <w:rPr>
                <w:rFonts w:hint="eastAsia" w:ascii="仿宋" w:hAnsi="仿宋" w:eastAsia="仿宋" w:cs="仿宋"/>
                <w:color w:val="auto"/>
                <w:sz w:val="21"/>
                <w:szCs w:val="21"/>
                <w:highlight w:val="none"/>
                <w:lang w:eastAsia="zh-CN"/>
              </w:rPr>
              <w:t>响应供应商</w:t>
            </w:r>
            <w:r>
              <w:rPr>
                <w:rFonts w:hint="eastAsia" w:ascii="仿宋" w:hAnsi="仿宋" w:eastAsia="仿宋" w:cs="仿宋"/>
                <w:color w:val="auto"/>
                <w:sz w:val="21"/>
                <w:szCs w:val="21"/>
                <w:highlight w:val="none"/>
              </w:rPr>
              <w:t>提供的项目实施方案（包括对项目需求的理解、项目实施部署与计划）进行评审：</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1.方案内容完整、详细、表述清晰、科学合理、切实可行，对项目理解全面、准确、深入，完全符合</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rPr>
              <w:t>需求的，得</w:t>
            </w:r>
            <w:r>
              <w:rPr>
                <w:rFonts w:hint="eastAsia" w:ascii="仿宋" w:hAnsi="仿宋" w:eastAsia="仿宋" w:cs="仿宋"/>
                <w:color w:val="auto"/>
                <w:sz w:val="21"/>
                <w:szCs w:val="21"/>
                <w:highlight w:val="none"/>
                <w:lang w:val="en-US" w:eastAsia="zh-CN"/>
              </w:rPr>
              <w:t>16</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2.方案内容比较完整、详细、表述比较清晰、合理、可行，较符合</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rPr>
              <w:t>需求的，得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3.方案内容基本完整，基本满足采购需求，方案一般的，得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Hans" w:bidi="ar-SA"/>
              </w:rPr>
              <w:t>综合实力</w:t>
            </w:r>
          </w:p>
        </w:tc>
        <w:tc>
          <w:tcPr>
            <w:tcW w:w="5232" w:type="dxa"/>
            <w:noWrap w:val="0"/>
            <w:vAlign w:val="top"/>
          </w:tcPr>
          <w:p>
            <w:pPr>
              <w:widowControl/>
              <w:numPr>
                <w:ilvl w:val="0"/>
                <w:numId w:val="0"/>
              </w:numPr>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val="en-GB" w:eastAsia="zh-CN"/>
              </w:rPr>
              <w:t>供应商</w:t>
            </w:r>
            <w:r>
              <w:rPr>
                <w:rFonts w:hint="eastAsia" w:ascii="仿宋" w:hAnsi="仿宋" w:eastAsia="仿宋" w:cs="仿宋"/>
                <w:color w:val="auto"/>
                <w:kern w:val="0"/>
                <w:sz w:val="21"/>
                <w:szCs w:val="21"/>
                <w:highlight w:val="none"/>
                <w:lang w:val="en-GB"/>
              </w:rPr>
              <w:t>具有技术服务所需的自主开发能力，</w:t>
            </w:r>
            <w:r>
              <w:rPr>
                <w:rFonts w:hint="eastAsia" w:ascii="仿宋" w:hAnsi="仿宋" w:eastAsia="仿宋" w:cs="仿宋"/>
                <w:color w:val="auto"/>
                <w:kern w:val="0"/>
                <w:sz w:val="21"/>
                <w:szCs w:val="21"/>
                <w:highlight w:val="none"/>
                <w:lang w:val="en-GB" w:eastAsia="zh-CN"/>
              </w:rPr>
              <w:t>能提供</w:t>
            </w:r>
            <w:r>
              <w:rPr>
                <w:rFonts w:hint="eastAsia" w:ascii="仿宋" w:hAnsi="仿宋" w:eastAsia="仿宋" w:cs="仿宋"/>
                <w:color w:val="auto"/>
                <w:kern w:val="0"/>
                <w:sz w:val="21"/>
                <w:szCs w:val="21"/>
                <w:highlight w:val="none"/>
                <w:lang w:val="en-GB"/>
              </w:rPr>
              <w:t>由国家版权局颁发的相关计算机软件著作权登记证书。每提供一个得</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lang w:val="en-GB"/>
              </w:rPr>
              <w:t>分，满分</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val="en-GB"/>
              </w:rPr>
              <w:t>分</w:t>
            </w:r>
            <w:r>
              <w:rPr>
                <w:rFonts w:hint="eastAsia" w:ascii="仿宋" w:hAnsi="仿宋" w:eastAsia="仿宋" w:cs="仿宋"/>
                <w:color w:val="auto"/>
                <w:kern w:val="0"/>
                <w:sz w:val="21"/>
                <w:szCs w:val="21"/>
                <w:highlight w:val="none"/>
                <w:lang w:val="en-GB" w:eastAsia="zh-CN"/>
              </w:rPr>
              <w:t>。</w:t>
            </w:r>
          </w:p>
          <w:p>
            <w:pPr>
              <w:widowControl/>
              <w:numPr>
                <w:ilvl w:val="0"/>
                <w:numId w:val="0"/>
              </w:numPr>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GB"/>
              </w:rPr>
              <w:t>注：需提供相关证明材料并加盖</w:t>
            </w:r>
            <w:r>
              <w:rPr>
                <w:rFonts w:hint="eastAsia" w:ascii="仿宋" w:hAnsi="仿宋" w:eastAsia="仿宋" w:cs="仿宋"/>
                <w:color w:val="auto"/>
                <w:kern w:val="0"/>
                <w:sz w:val="21"/>
                <w:szCs w:val="21"/>
                <w:highlight w:val="none"/>
                <w:lang w:val="en-GB" w:eastAsia="zh-CN"/>
              </w:rPr>
              <w:t>供应商</w:t>
            </w:r>
            <w:r>
              <w:rPr>
                <w:rFonts w:hint="eastAsia" w:ascii="仿宋" w:hAnsi="仿宋" w:eastAsia="仿宋" w:cs="仿宋"/>
                <w:color w:val="auto"/>
                <w:kern w:val="0"/>
                <w:sz w:val="21"/>
                <w:szCs w:val="21"/>
                <w:highlight w:val="none"/>
                <w:lang w:val="en-GB"/>
              </w:rPr>
              <w:t>公章</w:t>
            </w:r>
            <w:r>
              <w:rPr>
                <w:rFonts w:hint="eastAsia" w:ascii="仿宋" w:hAnsi="仿宋" w:eastAsia="仿宋" w:cs="仿宋"/>
                <w:color w:val="auto"/>
                <w:kern w:val="0"/>
                <w:sz w:val="21"/>
                <w:szCs w:val="21"/>
                <w:highlight w:val="none"/>
                <w:lang w:val="en-GB" w:eastAsia="zh-CN"/>
              </w:rPr>
              <w:t>，</w:t>
            </w:r>
            <w:r>
              <w:rPr>
                <w:rFonts w:hint="eastAsia" w:ascii="仿宋" w:hAnsi="仿宋" w:eastAsia="仿宋" w:cs="仿宋"/>
                <w:color w:val="auto"/>
                <w:kern w:val="0"/>
                <w:sz w:val="21"/>
                <w:szCs w:val="21"/>
                <w:highlight w:val="none"/>
                <w:lang w:val="en-GB"/>
              </w:rPr>
              <w:t>提供与住院电子病历系统、门诊电子病历系统无关的证书不得分</w:t>
            </w:r>
            <w:r>
              <w:rPr>
                <w:rFonts w:hint="eastAsia" w:ascii="仿宋" w:hAnsi="仿宋" w:eastAsia="仿宋" w:cs="仿宋"/>
                <w:color w:val="auto"/>
                <w:kern w:val="0"/>
                <w:sz w:val="21"/>
                <w:szCs w:val="21"/>
                <w:highlight w:val="none"/>
                <w:lang w:val="en-GB" w:eastAsia="zh-CN"/>
              </w:rPr>
              <w:t>。</w:t>
            </w:r>
          </w:p>
          <w:p>
            <w:pPr>
              <w:widowControl/>
              <w:numPr>
                <w:ilvl w:val="0"/>
                <w:numId w:val="0"/>
              </w:numPr>
              <w:jc w:val="left"/>
              <w:rPr>
                <w:rFonts w:hint="eastAsia" w:ascii="仿宋" w:hAnsi="仿宋" w:eastAsia="仿宋" w:cs="仿宋"/>
                <w:color w:val="auto"/>
                <w:kern w:val="0"/>
                <w:sz w:val="21"/>
                <w:szCs w:val="21"/>
                <w:highlight w:val="none"/>
                <w:lang w:val="en-GB"/>
              </w:rPr>
            </w:pPr>
            <w:r>
              <w:rPr>
                <w:rFonts w:hint="eastAsia" w:ascii="仿宋" w:hAnsi="仿宋" w:eastAsia="仿宋" w:cs="仿宋"/>
                <w:color w:val="auto"/>
                <w:kern w:val="0"/>
                <w:sz w:val="21"/>
                <w:szCs w:val="21"/>
                <w:highlight w:val="none"/>
                <w:lang w:val="en-US" w:eastAsia="zh-CN"/>
              </w:rPr>
              <w:t>2.供应商</w:t>
            </w:r>
            <w:r>
              <w:rPr>
                <w:rFonts w:hint="eastAsia" w:ascii="仿宋" w:hAnsi="仿宋" w:eastAsia="仿宋" w:cs="仿宋"/>
                <w:color w:val="auto"/>
                <w:kern w:val="0"/>
                <w:sz w:val="21"/>
                <w:szCs w:val="21"/>
                <w:highlight w:val="none"/>
                <w:lang w:val="en-GB"/>
              </w:rPr>
              <w:t>具备以下有效证书的，每提供一项得</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lang w:val="en-GB"/>
              </w:rPr>
              <w:t>分，最高得</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lang w:val="en-GB"/>
              </w:rPr>
              <w:t>分。</w:t>
            </w:r>
          </w:p>
          <w:p>
            <w:pPr>
              <w:widowControl/>
              <w:numPr>
                <w:ilvl w:val="0"/>
                <w:numId w:val="0"/>
              </w:numPr>
              <w:jc w:val="left"/>
              <w:rPr>
                <w:rFonts w:hint="eastAsia" w:ascii="仿宋" w:hAnsi="仿宋" w:eastAsia="仿宋" w:cs="仿宋"/>
                <w:color w:val="auto"/>
                <w:kern w:val="0"/>
                <w:sz w:val="21"/>
                <w:szCs w:val="21"/>
                <w:highlight w:val="none"/>
                <w:lang w:val="en-GB"/>
              </w:rPr>
            </w:pPr>
            <w:r>
              <w:rPr>
                <w:rFonts w:hint="eastAsia" w:ascii="仿宋" w:hAnsi="仿宋" w:eastAsia="仿宋" w:cs="仿宋"/>
                <w:color w:val="auto"/>
                <w:kern w:val="0"/>
                <w:sz w:val="21"/>
                <w:szCs w:val="21"/>
                <w:highlight w:val="none"/>
                <w:lang w:val="en-GB"/>
              </w:rPr>
              <w:t>（1）具有质量管理体系认证证书；</w:t>
            </w:r>
          </w:p>
          <w:p>
            <w:pPr>
              <w:widowControl/>
              <w:numPr>
                <w:ilvl w:val="0"/>
                <w:numId w:val="0"/>
              </w:numPr>
              <w:jc w:val="left"/>
              <w:rPr>
                <w:rFonts w:hint="eastAsia" w:ascii="仿宋" w:hAnsi="仿宋" w:eastAsia="仿宋" w:cs="仿宋"/>
                <w:color w:val="auto"/>
                <w:kern w:val="0"/>
                <w:sz w:val="21"/>
                <w:szCs w:val="21"/>
                <w:highlight w:val="none"/>
                <w:lang w:val="en-GB"/>
              </w:rPr>
            </w:pPr>
            <w:r>
              <w:rPr>
                <w:rFonts w:hint="eastAsia" w:ascii="仿宋" w:hAnsi="仿宋" w:eastAsia="仿宋" w:cs="仿宋"/>
                <w:color w:val="auto"/>
                <w:kern w:val="0"/>
                <w:sz w:val="21"/>
                <w:szCs w:val="21"/>
                <w:highlight w:val="none"/>
                <w:lang w:val="en-GB"/>
              </w:rPr>
              <w:t>（2）具有环境管理体系认证证书；</w:t>
            </w:r>
          </w:p>
          <w:p>
            <w:pPr>
              <w:widowControl/>
              <w:numPr>
                <w:ilvl w:val="0"/>
                <w:numId w:val="0"/>
              </w:numPr>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GB"/>
              </w:rPr>
              <w:t>（3）具有职业健康安全管理体系认证证书</w:t>
            </w:r>
            <w:r>
              <w:rPr>
                <w:rFonts w:hint="eastAsia" w:ascii="仿宋" w:hAnsi="仿宋" w:eastAsia="仿宋" w:cs="仿宋"/>
                <w:color w:val="auto"/>
                <w:kern w:val="0"/>
                <w:sz w:val="21"/>
                <w:szCs w:val="21"/>
                <w:highlight w:val="none"/>
                <w:lang w:val="en-GB" w:eastAsia="zh-CN"/>
              </w:rPr>
              <w:t>。</w:t>
            </w:r>
          </w:p>
          <w:p>
            <w:pPr>
              <w:widowControl/>
              <w:numPr>
                <w:ilvl w:val="0"/>
                <w:numId w:val="0"/>
              </w:numPr>
              <w:ind w:left="0" w:leftChars="0" w:firstLine="0" w:firstLine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GB"/>
              </w:rPr>
              <w:t>注：</w:t>
            </w:r>
            <w:r>
              <w:rPr>
                <w:rFonts w:hint="eastAsia" w:ascii="仿宋" w:hAnsi="仿宋" w:eastAsia="仿宋" w:cs="仿宋"/>
                <w:color w:val="auto"/>
                <w:kern w:val="0"/>
                <w:sz w:val="21"/>
                <w:szCs w:val="21"/>
                <w:highlight w:val="none"/>
                <w:lang w:val="en-GB" w:eastAsia="zh-CN"/>
              </w:rPr>
              <w:t>供应商</w:t>
            </w:r>
            <w:r>
              <w:rPr>
                <w:rFonts w:hint="eastAsia" w:ascii="仿宋" w:hAnsi="仿宋" w:eastAsia="仿宋" w:cs="仿宋"/>
                <w:color w:val="auto"/>
                <w:kern w:val="0"/>
                <w:sz w:val="21"/>
                <w:szCs w:val="21"/>
                <w:highlight w:val="none"/>
                <w:lang w:val="en-GB"/>
              </w:rPr>
              <w:t>需提供证书扫描件及在全国认证认可信息公共服务平台上对证书的查询结果截图为证明材料，并加盖</w:t>
            </w:r>
            <w:r>
              <w:rPr>
                <w:rFonts w:hint="eastAsia" w:ascii="仿宋" w:hAnsi="仿宋" w:eastAsia="仿宋" w:cs="仿宋"/>
                <w:color w:val="auto"/>
                <w:kern w:val="0"/>
                <w:sz w:val="21"/>
                <w:szCs w:val="21"/>
                <w:highlight w:val="none"/>
                <w:lang w:val="en-GB" w:eastAsia="zh-CN"/>
              </w:rPr>
              <w:t>供应商</w:t>
            </w:r>
            <w:r>
              <w:rPr>
                <w:rFonts w:hint="eastAsia" w:ascii="仿宋" w:hAnsi="仿宋" w:eastAsia="仿宋" w:cs="仿宋"/>
                <w:color w:val="auto"/>
                <w:kern w:val="0"/>
                <w:sz w:val="21"/>
                <w:szCs w:val="21"/>
                <w:highlight w:val="none"/>
                <w:lang w:val="en-GB"/>
              </w:rPr>
              <w:t>公章，否则不得分。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Hans" w:bidi="ar-SA"/>
              </w:rPr>
              <w:t>项目团队</w:t>
            </w:r>
          </w:p>
        </w:tc>
        <w:tc>
          <w:tcPr>
            <w:tcW w:w="5232" w:type="dxa"/>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拟投入本项目团队人员：</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1.拟派出1名项目负责人，</w:t>
            </w:r>
            <w:r>
              <w:rPr>
                <w:rFonts w:hint="eastAsia" w:ascii="仿宋" w:hAnsi="仿宋" w:eastAsia="仿宋" w:cs="仿宋"/>
                <w:color w:val="auto"/>
                <w:kern w:val="0"/>
                <w:sz w:val="21"/>
                <w:szCs w:val="21"/>
                <w:highlight w:val="none"/>
                <w:lang w:val="en-GB" w:eastAsia="zh-CN" w:bidi="ar-SA"/>
              </w:rPr>
              <w:t>具备国家工业和信息化部（原国家信息产业部）和人力资源和社会保障部颁发的中级或以上</w:t>
            </w:r>
            <w:r>
              <w:rPr>
                <w:rFonts w:hint="eastAsia" w:ascii="仿宋" w:hAnsi="仿宋" w:eastAsia="仿宋" w:cs="仿宋"/>
                <w:color w:val="auto"/>
                <w:kern w:val="0"/>
                <w:sz w:val="21"/>
                <w:szCs w:val="21"/>
                <w:highlight w:val="none"/>
                <w:lang w:val="en-US" w:eastAsia="zh-CN" w:bidi="ar-SA"/>
              </w:rPr>
              <w:t>信息系统项目管理师证书的，得2分；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GB" w:eastAsia="zh-CN" w:bidi="ar-SA"/>
              </w:rPr>
            </w:pPr>
            <w:r>
              <w:rPr>
                <w:rFonts w:hint="eastAsia" w:ascii="仿宋" w:hAnsi="仿宋" w:eastAsia="仿宋" w:cs="仿宋"/>
                <w:color w:val="auto"/>
                <w:kern w:val="0"/>
                <w:sz w:val="21"/>
                <w:szCs w:val="21"/>
                <w:highlight w:val="none"/>
                <w:lang w:val="en-US" w:eastAsia="zh-CN" w:bidi="ar-SA"/>
              </w:rPr>
              <w:t>2.拟派项目维护服务人员</w:t>
            </w:r>
            <w:r>
              <w:rPr>
                <w:rFonts w:hint="eastAsia" w:ascii="仿宋" w:hAnsi="仿宋" w:eastAsia="仿宋" w:cs="仿宋"/>
                <w:strike w:val="0"/>
                <w:dstrike w:val="0"/>
                <w:color w:val="auto"/>
                <w:kern w:val="0"/>
                <w:sz w:val="21"/>
                <w:szCs w:val="21"/>
                <w:highlight w:val="none"/>
                <w:lang w:val="en-US" w:eastAsia="zh-CN" w:bidi="ar-SA"/>
              </w:rPr>
              <w:t>（不含项目负责人、人员不重复计算）</w:t>
            </w:r>
            <w:r>
              <w:rPr>
                <w:rFonts w:hint="eastAsia" w:ascii="仿宋" w:hAnsi="仿宋" w:eastAsia="仿宋" w:cs="仿宋"/>
                <w:strike w:val="0"/>
                <w:color w:val="auto"/>
                <w:kern w:val="0"/>
                <w:sz w:val="21"/>
                <w:szCs w:val="21"/>
                <w:highlight w:val="none"/>
                <w:lang w:val="en-US" w:eastAsia="zh-CN" w:bidi="ar-SA"/>
              </w:rPr>
              <w:t>不少于2人</w:t>
            </w:r>
            <w:r>
              <w:rPr>
                <w:rFonts w:hint="eastAsia" w:ascii="仿宋" w:hAnsi="仿宋" w:eastAsia="仿宋" w:cs="仿宋"/>
                <w:color w:val="auto"/>
                <w:kern w:val="0"/>
                <w:sz w:val="21"/>
                <w:szCs w:val="21"/>
                <w:highlight w:val="none"/>
                <w:lang w:val="en-US" w:eastAsia="zh-CN" w:bidi="ar-SA"/>
              </w:rPr>
              <w:t>，维护服务人员应满足：</w:t>
            </w:r>
            <w:r>
              <w:rPr>
                <w:rFonts w:hint="eastAsia" w:ascii="仿宋" w:hAnsi="仿宋" w:eastAsia="仿宋" w:cs="仿宋"/>
                <w:color w:val="auto"/>
                <w:kern w:val="0"/>
                <w:sz w:val="21"/>
                <w:szCs w:val="21"/>
                <w:highlight w:val="none"/>
                <w:lang w:val="en-GB" w:eastAsia="zh-CN" w:bidi="ar-SA"/>
              </w:rPr>
              <w:t>具备国家工业和信息化部（原国家信息产业部）和人力资源和社会保障部颁发的初级或以上网络工程师证书</w:t>
            </w:r>
            <w:r>
              <w:rPr>
                <w:rFonts w:hint="eastAsia" w:ascii="仿宋" w:hAnsi="仿宋" w:eastAsia="仿宋" w:cs="仿宋"/>
                <w:color w:val="auto"/>
                <w:kern w:val="0"/>
                <w:sz w:val="21"/>
                <w:szCs w:val="21"/>
                <w:highlight w:val="none"/>
                <w:lang w:val="en-US" w:eastAsia="zh-CN" w:bidi="ar-SA"/>
              </w:rPr>
              <w:t>，</w:t>
            </w:r>
            <w:r>
              <w:rPr>
                <w:rFonts w:hint="eastAsia" w:ascii="仿宋" w:hAnsi="仿宋" w:eastAsia="仿宋" w:cs="仿宋"/>
                <w:color w:val="auto"/>
                <w:kern w:val="0"/>
                <w:sz w:val="21"/>
                <w:szCs w:val="21"/>
                <w:highlight w:val="none"/>
                <w:lang w:val="en-GB" w:eastAsia="zh-CN" w:bidi="ar-SA"/>
              </w:rPr>
              <w:t>每提供1</w:t>
            </w:r>
            <w:r>
              <w:rPr>
                <w:rFonts w:hint="eastAsia" w:ascii="仿宋" w:hAnsi="仿宋" w:eastAsia="仿宋" w:cs="仿宋"/>
                <w:color w:val="auto"/>
                <w:kern w:val="0"/>
                <w:sz w:val="21"/>
                <w:szCs w:val="21"/>
                <w:highlight w:val="none"/>
                <w:lang w:val="en-US" w:eastAsia="zh-CN" w:bidi="ar-SA"/>
              </w:rPr>
              <w:t>份，</w:t>
            </w:r>
            <w:r>
              <w:rPr>
                <w:rFonts w:hint="eastAsia" w:ascii="仿宋" w:hAnsi="仿宋" w:eastAsia="仿宋" w:cs="仿宋"/>
                <w:color w:val="auto"/>
                <w:kern w:val="0"/>
                <w:sz w:val="21"/>
                <w:szCs w:val="21"/>
                <w:highlight w:val="none"/>
                <w:lang w:val="en-GB" w:eastAsia="zh-CN" w:bidi="ar-SA"/>
              </w:rPr>
              <w:t>得1分，本项最高得</w:t>
            </w:r>
            <w:r>
              <w:rPr>
                <w:rFonts w:hint="eastAsia" w:ascii="仿宋" w:hAnsi="仿宋" w:eastAsia="仿宋" w:cs="仿宋"/>
                <w:color w:val="auto"/>
                <w:kern w:val="0"/>
                <w:sz w:val="21"/>
                <w:szCs w:val="21"/>
                <w:highlight w:val="none"/>
                <w:lang w:val="en-US" w:eastAsia="zh-CN" w:bidi="ar-SA"/>
              </w:rPr>
              <w:t>2</w:t>
            </w:r>
            <w:r>
              <w:rPr>
                <w:rFonts w:hint="eastAsia" w:ascii="仿宋" w:hAnsi="仿宋" w:eastAsia="仿宋" w:cs="仿宋"/>
                <w:color w:val="auto"/>
                <w:kern w:val="0"/>
                <w:sz w:val="21"/>
                <w:szCs w:val="21"/>
                <w:highlight w:val="none"/>
                <w:lang w:val="en-GB" w:eastAsia="zh-CN" w:bidi="ar-SA"/>
              </w:rPr>
              <w:t>分</w:t>
            </w:r>
            <w:r>
              <w:rPr>
                <w:rFonts w:hint="eastAsia" w:ascii="仿宋" w:hAnsi="仿宋" w:eastAsia="仿宋" w:cs="仿宋"/>
                <w:color w:val="auto"/>
                <w:kern w:val="0"/>
                <w:sz w:val="21"/>
                <w:szCs w:val="21"/>
                <w:highlight w:val="none"/>
                <w:lang w:val="en-US" w:eastAsia="zh-CN" w:bidi="ar-SA"/>
              </w:rPr>
              <w:t>。</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GB" w:eastAsia="zh-CN" w:bidi="ar-SA"/>
              </w:rPr>
              <w:t>注：①需提供上述人员在</w:t>
            </w:r>
            <w:r>
              <w:rPr>
                <w:rFonts w:hint="eastAsia" w:ascii="仿宋" w:hAnsi="仿宋" w:eastAsia="仿宋" w:cs="仿宋"/>
                <w:color w:val="auto"/>
                <w:kern w:val="2"/>
                <w:sz w:val="21"/>
                <w:szCs w:val="21"/>
                <w:highlight w:val="none"/>
                <w:lang w:val="en-US" w:eastAsia="zh-CN" w:bidi="ar-SA"/>
              </w:rPr>
              <w:t>响应截止日前近半年内任意1个月</w:t>
            </w:r>
            <w:r>
              <w:rPr>
                <w:rFonts w:hint="eastAsia" w:ascii="仿宋" w:hAnsi="仿宋" w:eastAsia="仿宋" w:cs="仿宋"/>
                <w:color w:val="auto"/>
                <w:kern w:val="0"/>
                <w:sz w:val="21"/>
                <w:szCs w:val="21"/>
                <w:highlight w:val="none"/>
                <w:lang w:val="en-GB" w:eastAsia="zh-CN" w:bidi="ar-SA"/>
              </w:rPr>
              <w:t>缴纳的社保明细（若公司成立未到半年，按公司成立实际时间提供），并</w:t>
            </w:r>
            <w:r>
              <w:rPr>
                <w:rFonts w:hint="eastAsia" w:ascii="仿宋" w:hAnsi="仿宋" w:eastAsia="仿宋" w:cs="仿宋"/>
                <w:color w:val="auto"/>
                <w:kern w:val="0"/>
                <w:sz w:val="21"/>
                <w:szCs w:val="21"/>
                <w:highlight w:val="none"/>
                <w:lang w:val="en-GB"/>
              </w:rPr>
              <w:t>加盖</w:t>
            </w:r>
            <w:r>
              <w:rPr>
                <w:rFonts w:hint="eastAsia" w:ascii="仿宋" w:hAnsi="仿宋" w:eastAsia="仿宋" w:cs="仿宋"/>
                <w:color w:val="auto"/>
                <w:kern w:val="0"/>
                <w:sz w:val="21"/>
                <w:szCs w:val="21"/>
                <w:highlight w:val="none"/>
                <w:lang w:val="en-GB" w:eastAsia="zh-CN"/>
              </w:rPr>
              <w:t>供应商公</w:t>
            </w:r>
            <w:r>
              <w:rPr>
                <w:rFonts w:hint="eastAsia" w:ascii="仿宋" w:hAnsi="仿宋" w:eastAsia="仿宋" w:cs="仿宋"/>
                <w:color w:val="auto"/>
                <w:kern w:val="0"/>
                <w:sz w:val="21"/>
                <w:szCs w:val="21"/>
                <w:highlight w:val="none"/>
                <w:lang w:val="en-GB" w:eastAsia="zh-CN" w:bidi="ar-SA"/>
              </w:rPr>
              <w:t>章，以及相关证书复印件作为凭证；②以上人员不重复计分，同一人员按得分最高项计分。无提供或提供的材料不符合要求的不得分。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GB" w:eastAsia="zh-CN" w:bidi="ar-SA"/>
              </w:rPr>
              <w:t>售后服务方案</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Hans" w:bidi="ar-SA"/>
              </w:rPr>
            </w:pPr>
            <w:r>
              <w:rPr>
                <w:rFonts w:hint="eastAsia" w:ascii="仿宋" w:hAnsi="仿宋" w:eastAsia="仿宋" w:cs="仿宋"/>
                <w:color w:val="auto"/>
                <w:kern w:val="0"/>
                <w:sz w:val="21"/>
                <w:szCs w:val="21"/>
                <w:highlight w:val="none"/>
                <w:lang w:val="en-GB" w:eastAsia="zh-Hans" w:bidi="ar-SA"/>
              </w:rPr>
              <w:t>根据</w:t>
            </w:r>
            <w:r>
              <w:rPr>
                <w:rFonts w:hint="eastAsia" w:ascii="仿宋" w:hAnsi="仿宋" w:eastAsia="仿宋" w:cs="仿宋"/>
                <w:color w:val="auto"/>
                <w:kern w:val="0"/>
                <w:sz w:val="21"/>
                <w:szCs w:val="21"/>
                <w:highlight w:val="none"/>
                <w:lang w:val="en-GB" w:eastAsia="zh-CN" w:bidi="ar-SA"/>
              </w:rPr>
              <w:t>供应商</w:t>
            </w:r>
            <w:r>
              <w:rPr>
                <w:rFonts w:hint="eastAsia" w:ascii="仿宋" w:hAnsi="仿宋" w:eastAsia="仿宋" w:cs="仿宋"/>
                <w:color w:val="auto"/>
                <w:kern w:val="0"/>
                <w:sz w:val="21"/>
                <w:szCs w:val="21"/>
                <w:highlight w:val="none"/>
                <w:lang w:val="en-GB" w:eastAsia="zh-Hans" w:bidi="ar-SA"/>
              </w:rPr>
              <w:t>所提供的售后服务方案</w:t>
            </w:r>
            <w:r>
              <w:rPr>
                <w:rFonts w:hint="eastAsia" w:ascii="仿宋" w:hAnsi="仿宋" w:eastAsia="仿宋" w:cs="仿宋"/>
                <w:color w:val="auto"/>
                <w:kern w:val="0"/>
                <w:sz w:val="21"/>
                <w:szCs w:val="21"/>
                <w:highlight w:val="none"/>
                <w:lang w:val="en-GB" w:eastAsia="zh-Hans"/>
              </w:rPr>
              <w:t>（包括但不限于响应的及时性、故障修复方案、售后服务人员配备</w:t>
            </w:r>
            <w:r>
              <w:rPr>
                <w:rFonts w:hint="eastAsia"/>
                <w:color w:val="auto"/>
                <w:sz w:val="21"/>
                <w:szCs w:val="21"/>
                <w:highlight w:val="none"/>
                <w:lang w:eastAsia="zh-CN"/>
              </w:rPr>
              <w:t>）</w:t>
            </w:r>
            <w:r>
              <w:rPr>
                <w:rFonts w:hint="eastAsia" w:ascii="仿宋" w:hAnsi="仿宋" w:eastAsia="仿宋" w:cs="仿宋"/>
                <w:color w:val="auto"/>
                <w:kern w:val="0"/>
                <w:sz w:val="21"/>
                <w:szCs w:val="21"/>
                <w:highlight w:val="none"/>
                <w:lang w:val="en-GB" w:eastAsia="zh-Hans" w:bidi="ar-SA"/>
              </w:rPr>
              <w:t>进行评价：</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Hans" w:bidi="ar-SA"/>
              </w:rPr>
            </w:pPr>
            <w:r>
              <w:rPr>
                <w:rFonts w:hint="eastAsia" w:ascii="仿宋" w:hAnsi="仿宋" w:eastAsia="仿宋" w:cs="仿宋"/>
                <w:color w:val="auto"/>
                <w:kern w:val="0"/>
                <w:sz w:val="21"/>
                <w:szCs w:val="21"/>
                <w:highlight w:val="none"/>
                <w:lang w:val="en-US" w:eastAsia="zh-CN" w:bidi="ar-SA"/>
              </w:rPr>
              <w:t>1.</w:t>
            </w:r>
            <w:r>
              <w:rPr>
                <w:rFonts w:hint="eastAsia" w:ascii="仿宋" w:hAnsi="仿宋" w:eastAsia="仿宋" w:cs="仿宋"/>
                <w:color w:val="auto"/>
                <w:kern w:val="0"/>
                <w:sz w:val="21"/>
                <w:szCs w:val="21"/>
                <w:highlight w:val="none"/>
                <w:lang w:val="en-GB" w:eastAsia="zh-Hans" w:bidi="ar-SA"/>
              </w:rPr>
              <w:t>方案详细周全、科学合理、针对性强的，得</w:t>
            </w:r>
            <w:r>
              <w:rPr>
                <w:rFonts w:hint="eastAsia" w:ascii="仿宋" w:hAnsi="仿宋" w:eastAsia="仿宋" w:cs="仿宋"/>
                <w:color w:val="auto"/>
                <w:kern w:val="0"/>
                <w:sz w:val="21"/>
                <w:szCs w:val="21"/>
                <w:highlight w:val="none"/>
                <w:lang w:val="en-US" w:eastAsia="zh-CN" w:bidi="ar-SA"/>
              </w:rPr>
              <w:t>10</w:t>
            </w:r>
            <w:r>
              <w:rPr>
                <w:rFonts w:hint="eastAsia" w:ascii="仿宋" w:hAnsi="仿宋" w:eastAsia="仿宋" w:cs="仿宋"/>
                <w:color w:val="auto"/>
                <w:kern w:val="0"/>
                <w:sz w:val="21"/>
                <w:szCs w:val="21"/>
                <w:highlight w:val="none"/>
                <w:lang w:val="en-GB" w:eastAsia="zh-Hans"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Hans" w:bidi="ar-SA"/>
              </w:rPr>
            </w:pPr>
            <w:r>
              <w:rPr>
                <w:rFonts w:hint="eastAsia" w:ascii="仿宋" w:hAnsi="仿宋" w:eastAsia="仿宋" w:cs="仿宋"/>
                <w:color w:val="auto"/>
                <w:kern w:val="0"/>
                <w:sz w:val="21"/>
                <w:szCs w:val="21"/>
                <w:highlight w:val="none"/>
                <w:lang w:val="en-US" w:eastAsia="zh-CN" w:bidi="ar-SA"/>
              </w:rPr>
              <w:t>2.</w:t>
            </w:r>
            <w:r>
              <w:rPr>
                <w:rFonts w:hint="eastAsia" w:ascii="仿宋" w:hAnsi="仿宋" w:eastAsia="仿宋" w:cs="仿宋"/>
                <w:color w:val="auto"/>
                <w:kern w:val="0"/>
                <w:sz w:val="21"/>
                <w:szCs w:val="21"/>
                <w:highlight w:val="none"/>
                <w:lang w:val="en-GB" w:eastAsia="zh-Hans" w:bidi="ar-SA"/>
              </w:rPr>
              <w:t>方案基本合理、清晰可行的，得</w:t>
            </w:r>
            <w:r>
              <w:rPr>
                <w:rFonts w:hint="eastAsia" w:ascii="仿宋" w:hAnsi="仿宋" w:eastAsia="仿宋" w:cs="仿宋"/>
                <w:color w:val="auto"/>
                <w:kern w:val="0"/>
                <w:sz w:val="21"/>
                <w:szCs w:val="21"/>
                <w:highlight w:val="none"/>
                <w:lang w:val="en-US" w:eastAsia="zh-CN" w:bidi="ar-SA"/>
              </w:rPr>
              <w:t>6</w:t>
            </w:r>
            <w:r>
              <w:rPr>
                <w:rFonts w:hint="eastAsia" w:ascii="仿宋" w:hAnsi="仿宋" w:eastAsia="仿宋" w:cs="仿宋"/>
                <w:color w:val="auto"/>
                <w:kern w:val="0"/>
                <w:sz w:val="21"/>
                <w:szCs w:val="21"/>
                <w:highlight w:val="none"/>
                <w:lang w:val="en-GB" w:eastAsia="zh-Hans"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Hans" w:bidi="ar-SA"/>
              </w:rPr>
            </w:pPr>
            <w:r>
              <w:rPr>
                <w:rFonts w:hint="eastAsia" w:ascii="仿宋" w:hAnsi="仿宋" w:eastAsia="仿宋" w:cs="仿宋"/>
                <w:color w:val="auto"/>
                <w:kern w:val="0"/>
                <w:sz w:val="21"/>
                <w:szCs w:val="21"/>
                <w:highlight w:val="none"/>
                <w:lang w:val="en-US" w:eastAsia="zh-CN" w:bidi="ar-SA"/>
              </w:rPr>
              <w:t>3.</w:t>
            </w:r>
            <w:r>
              <w:rPr>
                <w:rFonts w:hint="eastAsia" w:ascii="仿宋" w:hAnsi="仿宋" w:eastAsia="仿宋" w:cs="仿宋"/>
                <w:color w:val="auto"/>
                <w:kern w:val="0"/>
                <w:sz w:val="21"/>
                <w:szCs w:val="21"/>
                <w:highlight w:val="none"/>
                <w:lang w:val="en-GB" w:eastAsia="zh-Hans" w:bidi="ar-SA"/>
              </w:rPr>
              <w:t>方案较简略、针对性不强的，得2分；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bidi="ar-SA"/>
              </w:rPr>
              <w:t>4.无</w:t>
            </w:r>
            <w:r>
              <w:rPr>
                <w:rFonts w:hint="eastAsia" w:ascii="仿宋" w:hAnsi="仿宋" w:eastAsia="仿宋" w:cs="仿宋"/>
                <w:color w:val="auto"/>
                <w:kern w:val="0"/>
                <w:sz w:val="21"/>
                <w:szCs w:val="21"/>
                <w:highlight w:val="none"/>
                <w:lang w:val="en-GB" w:eastAsia="zh-Hans" w:bidi="ar-SA"/>
              </w:rPr>
              <w:t>提供</w:t>
            </w:r>
            <w:r>
              <w:rPr>
                <w:rFonts w:hint="eastAsia" w:ascii="仿宋" w:hAnsi="仿宋" w:eastAsia="仿宋" w:cs="仿宋"/>
                <w:color w:val="auto"/>
                <w:kern w:val="0"/>
                <w:sz w:val="21"/>
                <w:szCs w:val="21"/>
                <w:highlight w:val="none"/>
                <w:lang w:val="en-GB" w:eastAsia="zh-CN" w:bidi="ar-SA"/>
              </w:rPr>
              <w:t>不得</w:t>
            </w:r>
            <w:r>
              <w:rPr>
                <w:rFonts w:hint="eastAsia" w:ascii="仿宋" w:hAnsi="仿宋" w:eastAsia="仿宋" w:cs="仿宋"/>
                <w:color w:val="auto"/>
                <w:kern w:val="0"/>
                <w:sz w:val="21"/>
                <w:szCs w:val="21"/>
                <w:highlight w:val="none"/>
                <w:lang w:val="en-GB" w:eastAsia="zh-Hans" w:bidi="ar-SA"/>
              </w:rPr>
              <w:t>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培训方案</w:t>
            </w:r>
          </w:p>
        </w:tc>
        <w:tc>
          <w:tcPr>
            <w:tcW w:w="5232" w:type="dxa"/>
            <w:noWrap w:val="0"/>
            <w:vAlign w:val="center"/>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根据各</w:t>
            </w:r>
            <w:r>
              <w:rPr>
                <w:rFonts w:hint="eastAsia" w:ascii="仿宋" w:hAnsi="仿宋" w:eastAsia="仿宋" w:cs="仿宋"/>
                <w:color w:val="auto"/>
                <w:sz w:val="21"/>
                <w:szCs w:val="21"/>
                <w:highlight w:val="none"/>
                <w:lang w:eastAsia="zh-CN"/>
              </w:rPr>
              <w:t>响应供应商</w:t>
            </w:r>
            <w:r>
              <w:rPr>
                <w:rFonts w:hint="eastAsia" w:ascii="仿宋" w:hAnsi="仿宋" w:eastAsia="仿宋" w:cs="仿宋"/>
                <w:color w:val="auto"/>
                <w:sz w:val="21"/>
                <w:szCs w:val="21"/>
                <w:highlight w:val="none"/>
              </w:rPr>
              <w:t>提供的培训方案（包括培训目标、培训计划、培训内容等）进行评审。</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1.方案内容完整、详细、表述清晰、科学合理、切实可行，优于或满足采购需求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2.方案内容基本满足采购</w:t>
            </w:r>
            <w:r>
              <w:rPr>
                <w:rFonts w:hint="eastAsia" w:ascii="仿宋" w:hAnsi="仿宋" w:eastAsia="仿宋" w:cs="仿宋"/>
                <w:color w:val="auto"/>
                <w:sz w:val="21"/>
                <w:szCs w:val="21"/>
                <w:highlight w:val="none"/>
                <w:lang w:eastAsia="zh-CN"/>
              </w:rPr>
              <w:t>需</w:t>
            </w:r>
            <w:r>
              <w:rPr>
                <w:rFonts w:hint="eastAsia" w:ascii="仿宋" w:hAnsi="仿宋" w:eastAsia="仿宋" w:cs="仿宋"/>
                <w:color w:val="auto"/>
                <w:sz w:val="21"/>
                <w:szCs w:val="21"/>
                <w:highlight w:val="none"/>
              </w:rPr>
              <w:t>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3.仅提供方案但无法满足采购需求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同类业绩</w:t>
            </w:r>
          </w:p>
        </w:tc>
        <w:tc>
          <w:tcPr>
            <w:tcW w:w="5232" w:type="dxa"/>
            <w:noWrap w:val="0"/>
            <w:vAlign w:val="top"/>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根据供应商</w:t>
            </w:r>
            <w:r>
              <w:rPr>
                <w:rFonts w:hint="eastAsia" w:ascii="仿宋" w:hAnsi="仿宋" w:eastAsia="仿宋" w:cs="仿宋"/>
                <w:color w:val="auto"/>
                <w:sz w:val="21"/>
                <w:szCs w:val="21"/>
                <w:highlight w:val="none"/>
                <w:lang w:eastAsia="zh-CN"/>
              </w:rPr>
              <w:t>提供的</w:t>
            </w:r>
            <w:r>
              <w:rPr>
                <w:rFonts w:hint="eastAsia" w:ascii="仿宋" w:hAnsi="仿宋" w:eastAsia="仿宋" w:cs="仿宋"/>
                <w:color w:val="auto"/>
                <w:sz w:val="21"/>
                <w:szCs w:val="21"/>
                <w:highlight w:val="none"/>
                <w:lang w:val="en-US" w:eastAsia="zh-CN"/>
              </w:rPr>
              <w:t>2022</w:t>
            </w:r>
            <w:r>
              <w:rPr>
                <w:rFonts w:hint="eastAsia" w:ascii="仿宋" w:hAnsi="仿宋" w:eastAsia="仿宋" w:cs="仿宋"/>
                <w:color w:val="auto"/>
                <w:sz w:val="21"/>
                <w:szCs w:val="21"/>
                <w:highlight w:val="none"/>
              </w:rPr>
              <w:t>年1月1日至今的同类项目业绩情况进行评分，每提供一个业绩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分，本项最高得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 xml:space="preserve">分。 </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sz w:val="21"/>
                <w:szCs w:val="21"/>
                <w:highlight w:val="none"/>
                <w:lang w:eastAsia="zh-CN"/>
              </w:rPr>
              <w:t>注：</w:t>
            </w:r>
            <w:r>
              <w:rPr>
                <w:rFonts w:hint="eastAsia" w:ascii="仿宋" w:hAnsi="仿宋" w:eastAsia="仿宋" w:cs="仿宋"/>
                <w:color w:val="auto"/>
                <w:sz w:val="21"/>
                <w:szCs w:val="21"/>
                <w:highlight w:val="none"/>
              </w:rPr>
              <w:t>同类业绩证明文件是中标/成交通知书或合同关键页的复印件或扫描件（合同关键页是指包括：①能显示</w:t>
            </w:r>
            <w:r>
              <w:rPr>
                <w:rFonts w:hint="eastAsia" w:ascii="仿宋" w:hAnsi="仿宋" w:eastAsia="仿宋" w:cs="仿宋"/>
                <w:color w:val="auto"/>
                <w:sz w:val="21"/>
                <w:szCs w:val="21"/>
                <w:highlight w:val="none"/>
                <w:lang w:eastAsia="zh-CN"/>
              </w:rPr>
              <w:t>服务</w:t>
            </w:r>
            <w:r>
              <w:rPr>
                <w:rFonts w:hint="eastAsia" w:ascii="仿宋" w:hAnsi="仿宋" w:eastAsia="仿宋" w:cs="仿宋"/>
                <w:color w:val="auto"/>
                <w:sz w:val="21"/>
                <w:szCs w:val="21"/>
                <w:highlight w:val="none"/>
              </w:rPr>
              <w:t>相关信息；②签订合同双方的单位名称、合同项目名称；③签订合同双方的签章、盖章及签订日期），无提供不得分。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报价得分</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报价得分＝（</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报价）×价格分值</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【注：满足</w:t>
            </w:r>
            <w:r>
              <w:rPr>
                <w:rFonts w:hint="eastAsia" w:ascii="仿宋" w:hAnsi="仿宋" w:eastAsia="仿宋" w:cs="仿宋"/>
                <w:color w:val="auto"/>
                <w:kern w:val="0"/>
                <w:sz w:val="21"/>
                <w:szCs w:val="21"/>
                <w:highlight w:val="none"/>
                <w:lang w:eastAsia="zh-CN"/>
              </w:rPr>
              <w:t>比选</w:t>
            </w:r>
            <w:r>
              <w:rPr>
                <w:rFonts w:hint="eastAsia" w:ascii="仿宋" w:hAnsi="仿宋" w:eastAsia="仿宋" w:cs="仿宋"/>
                <w:color w:val="auto"/>
                <w:kern w:val="0"/>
                <w:sz w:val="21"/>
                <w:szCs w:val="21"/>
                <w:highlight w:val="none"/>
              </w:rPr>
              <w:t>文件要求且</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价格最低的</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报价为</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最低报价不是</w:t>
            </w:r>
            <w:r>
              <w:rPr>
                <w:rFonts w:hint="eastAsia" w:ascii="仿宋" w:hAnsi="仿宋" w:eastAsia="仿宋" w:cs="仿宋"/>
                <w:color w:val="auto"/>
                <w:kern w:val="0"/>
                <w:sz w:val="21"/>
                <w:szCs w:val="21"/>
                <w:highlight w:val="none"/>
                <w:lang w:eastAsia="zh-CN"/>
              </w:rPr>
              <w:t>成交</w:t>
            </w:r>
            <w:r>
              <w:rPr>
                <w:rFonts w:hint="eastAsia" w:ascii="仿宋" w:hAnsi="仿宋" w:eastAsia="仿宋" w:cs="仿宋"/>
                <w:color w:val="auto"/>
                <w:kern w:val="0"/>
                <w:sz w:val="21"/>
                <w:szCs w:val="21"/>
                <w:highlight w:val="none"/>
              </w:rPr>
              <w:t>的唯一依据。因落实政府采购政策进行价格调整的，以调整后的价格计算</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基准价和</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5.我方承诺在本次响应/响应文件中提供的一切文件，无论是原件还是复印件均为真实和准确的，绝无任何虚假、伪造和夸大的成份，否则，愿承担相应的后果和法律责任。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9"/>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5"/>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5"/>
        <w:ind w:firstLine="48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p>
    <w:p>
      <w:pPr>
        <w:pStyle w:val="25"/>
        <w:ind w:firstLine="480"/>
        <w:rPr>
          <w:rFonts w:hint="eastAsia" w:ascii="仿宋" w:hAnsi="仿宋" w:eastAsia="仿宋" w:cs="仿宋"/>
          <w:color w:val="auto"/>
          <w:sz w:val="24"/>
          <w:highlight w:val="none"/>
          <w:u w:val="single"/>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经营范围：</w:t>
      </w:r>
      <w:r>
        <w:rPr>
          <w:rFonts w:hint="eastAsia" w:ascii="仿宋" w:hAnsi="仿宋" w:eastAsia="仿宋" w:cs="仿宋"/>
          <w:color w:val="auto"/>
          <w:sz w:val="24"/>
          <w:highlight w:val="none"/>
          <w:u w:val="singl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pStyle w:val="25"/>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540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336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b/>
          <w:color w:val="auto"/>
          <w:sz w:val="24"/>
          <w:highlight w:val="none"/>
        </w:rPr>
      </w:pP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法定代表人授权代表（签字或盖章）：</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438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745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745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643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643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5.本项目不接受联合体参加比选，不允许响应供应商对各比选项目进行分包或转包(供应商出具声明函)。</w:t>
      </w:r>
    </w:p>
    <w:p>
      <w:pPr>
        <w:tabs>
          <w:tab w:val="left" w:pos="0"/>
        </w:tabs>
        <w:wordWrap w:val="0"/>
        <w:spacing w:line="360" w:lineRule="auto"/>
        <w:jc w:val="left"/>
        <w:rPr>
          <w:rFonts w:hint="eastAsia" w:ascii="仿宋" w:hAnsi="仿宋" w:eastAsia="仿宋" w:cs="仿宋"/>
          <w:b w:val="0"/>
          <w:bCs w:val="0"/>
          <w:strike/>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本项目是专门面向中小企业采购的项目，供应商应为中小微企业。（提供《中小企业声明函》,具体格式文件见比选文件</w:t>
      </w:r>
      <w:r>
        <w:rPr>
          <w:rFonts w:hint="eastAsia" w:ascii="仿宋" w:hAnsi="仿宋" w:eastAsia="仿宋" w:cs="仿宋"/>
          <w:strike w:val="0"/>
          <w:color w:val="auto"/>
          <w:sz w:val="24"/>
          <w:highlight w:val="none"/>
          <w:lang w:eastAsia="zh-CN"/>
        </w:rPr>
        <w:t>P50</w:t>
      </w:r>
      <w:r>
        <w:rPr>
          <w:rFonts w:hint="eastAsia" w:ascii="仿宋" w:hAnsi="仿宋" w:eastAsia="仿宋" w:cs="仿宋"/>
          <w:strike w:val="0"/>
          <w:color w:val="auto"/>
          <w:sz w:val="24"/>
          <w:highlight w:val="none"/>
        </w:rPr>
        <w:t>中小企业声明函，未按要求提供声明函的将导致响应无效）。本项目中小企业划分标准所属行业为：</w:t>
      </w:r>
      <w:r>
        <w:rPr>
          <w:rFonts w:hint="eastAsia" w:ascii="仿宋" w:hAnsi="仿宋" w:eastAsia="仿宋" w:cs="仿宋"/>
          <w:color w:val="auto"/>
          <w:sz w:val="24"/>
          <w:highlight w:val="none"/>
          <w:u w:val="none" w:color="auto"/>
        </w:rPr>
        <w:t>软件和信息技术服务业</w:t>
      </w:r>
      <w:r>
        <w:rPr>
          <w:rFonts w:hint="eastAsia" w:ascii="仿宋" w:hAnsi="仿宋" w:eastAsia="仿宋" w:cs="仿宋"/>
          <w:color w:val="auto"/>
          <w:sz w:val="24"/>
          <w:highlight w:val="none"/>
          <w:u w:val="none" w:color="auto"/>
          <w:lang w:eastAsia="zh-CN"/>
        </w:rPr>
        <w:t>。</w:t>
      </w:r>
    </w:p>
    <w:p>
      <w:pPr>
        <w:tabs>
          <w:tab w:val="left" w:pos="0"/>
        </w:tabs>
        <w:wordWrap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3"/>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其它必需重要事项说明及承诺(单页)</w:t>
      </w:r>
    </w:p>
    <w:p>
      <w:pPr>
        <w:tabs>
          <w:tab w:val="left" w:pos="540"/>
        </w:tabs>
        <w:spacing w:line="40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4"/>
          <w:highlight w:val="none"/>
          <w:lang w:val="en-US" w:eastAsia="zh-CN"/>
        </w:rPr>
        <w:t>4.1.1</w:t>
      </w:r>
      <w:r>
        <w:rPr>
          <w:rFonts w:hint="eastAsia" w:ascii="仿宋" w:hAnsi="仿宋" w:eastAsia="仿宋" w:cs="仿宋"/>
          <w:b w:val="0"/>
          <w:bCs/>
          <w:color w:val="auto"/>
          <w:sz w:val="24"/>
          <w:highlight w:val="none"/>
          <w:lang w:val="en-GB"/>
        </w:rPr>
        <w:t>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2诚信响应承诺书。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w:t>
      </w:r>
    </w:p>
    <w:p>
      <w:pPr>
        <w:numPr>
          <w:ilvl w:val="0"/>
          <w:numId w:val="0"/>
        </w:numPr>
        <w:rPr>
          <w:rFonts w:hint="eastAsia" w:ascii="仿宋" w:hAnsi="仿宋" w:eastAsia="仿宋" w:cs="仿宋"/>
          <w:color w:val="auto"/>
          <w:sz w:val="24"/>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注：本函未填写或未勾选视作未做声明。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pPr>
        <w:adjustRightInd w:val="0"/>
        <w:snapToGrid w:val="0"/>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p>
        </w:tc>
        <w:tc>
          <w:tcPr>
            <w:tcW w:w="736"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4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0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ascii="仿宋" w:hAnsi="仿宋" w:eastAsia="仿宋" w:cs="仿宋"/>
          <w:color w:val="auto"/>
          <w:sz w:val="24"/>
          <w:highlight w:val="none"/>
        </w:rPr>
      </w:pPr>
    </w:p>
    <w:p>
      <w:pPr>
        <w:pStyle w:val="4"/>
        <w:spacing w:before="0" w:after="0"/>
        <w:jc w:val="left"/>
        <w:rPr>
          <w:rFonts w:hint="eastAsia" w:ascii="仿宋" w:hAnsi="仿宋" w:eastAsia="仿宋" w:cs="仿宋"/>
          <w:color w:val="auto"/>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8"/>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w:t>
            </w:r>
            <w:r>
              <w:rPr>
                <w:rFonts w:hint="eastAsia" w:ascii="仿宋" w:hAnsi="仿宋" w:eastAsia="仿宋" w:cs="仿宋"/>
                <w:color w:val="auto"/>
                <w:szCs w:val="21"/>
                <w:highlight w:val="none"/>
                <w:lang w:eastAsia="zh-CN"/>
              </w:rPr>
              <w:t>商务</w:t>
            </w:r>
            <w:r>
              <w:rPr>
                <w:rFonts w:hint="eastAsia" w:ascii="仿宋" w:hAnsi="仿宋" w:eastAsia="仿宋" w:cs="仿宋"/>
                <w:color w:val="auto"/>
                <w:szCs w:val="21"/>
                <w:highlight w:val="none"/>
              </w:rPr>
              <w:t>条款要求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、合格的货物、工程和服务要求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的各项须知、规约要求和责任义务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同意按本项目要求缴付相关款项</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以任何形式对我方响应文件内容的真实性和有效性进行审查、验证</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pStyle w:val="15"/>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满足对服务的各项要求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pStyle w:val="27"/>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9"/>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8"/>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keepNext w:val="0"/>
              <w:keepLines w:val="0"/>
              <w:suppressLineNumbers w:val="0"/>
              <w:spacing w:before="0" w:beforeAutospacing="0" w:after="0" w:afterAutospacing="0"/>
              <w:ind w:left="0" w:right="0"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897"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41"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1"/>
                <w:szCs w:val="21"/>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11"/>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11"/>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.2非实质性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8"/>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2641"/>
        <w:gridCol w:w="1764"/>
        <w:gridCol w:w="780"/>
        <w:gridCol w:w="1065"/>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hint="default"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641"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64"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8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06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hint="default"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hint="default"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val="en-US" w:eastAsia="zh-CN"/>
              </w:rPr>
            </w:pP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服务要求的内容逐条响应。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8"/>
        <w:tblW w:w="88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3"/>
        <w:gridCol w:w="3255"/>
        <w:gridCol w:w="1125"/>
        <w:gridCol w:w="1110"/>
        <w:gridCol w:w="1110"/>
        <w:gridCol w:w="151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trPr>
        <w:tc>
          <w:tcPr>
            <w:tcW w:w="713"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kern w:val="0"/>
                <w:sz w:val="24"/>
                <w:highlight w:val="none"/>
              </w:rPr>
              <w:t>序号</w:t>
            </w:r>
          </w:p>
        </w:tc>
        <w:tc>
          <w:tcPr>
            <w:tcW w:w="32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项目名称</w:t>
            </w:r>
          </w:p>
        </w:tc>
        <w:tc>
          <w:tcPr>
            <w:tcW w:w="112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p>
        </w:tc>
        <w:tc>
          <w:tcPr>
            <w:tcW w:w="151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713"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1</w:t>
            </w:r>
          </w:p>
        </w:tc>
        <w:tc>
          <w:tcPr>
            <w:tcW w:w="32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val="en-US" w:eastAsia="zh-CN"/>
              </w:rPr>
            </w:pPr>
          </w:p>
        </w:tc>
        <w:tc>
          <w:tcPr>
            <w:tcW w:w="112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p>
        </w:tc>
        <w:tc>
          <w:tcPr>
            <w:tcW w:w="1110"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5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713"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32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12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110"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5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pPr>
        <w:rPr>
          <w:color w:val="auto"/>
          <w:highlight w:val="none"/>
        </w:rPr>
      </w:pPr>
    </w:p>
    <w:p>
      <w:pPr>
        <w:rPr>
          <w:b/>
          <w:bCs/>
          <w:color w:val="auto"/>
          <w:highlight w:val="none"/>
        </w:rPr>
      </w:pPr>
    </w:p>
    <w:p>
      <w:pPr>
        <w:rPr>
          <w:color w:val="auto"/>
          <w:highlight w:val="none"/>
        </w:rPr>
      </w:pPr>
    </w:p>
    <w:p>
      <w:pPr>
        <w:rPr>
          <w:color w:val="auto"/>
          <w:highlight w:val="none"/>
        </w:rPr>
      </w:pPr>
    </w:p>
    <w:p>
      <w:pPr>
        <w:rPr>
          <w:color w:val="auto"/>
          <w:highlight w:val="none"/>
        </w:rPr>
      </w:pPr>
    </w:p>
    <w:p>
      <w:pPr>
        <w:rPr>
          <w:b w:val="0"/>
          <w:bCs w:val="0"/>
          <w:color w:val="auto"/>
          <w:highlight w:val="none"/>
        </w:rPr>
      </w:pPr>
    </w:p>
    <w:p>
      <w:pPr>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rFonts w:hint="eastAsia" w:ascii="仿宋" w:hAnsi="仿宋" w:eastAsia="仿宋" w:cs="仿宋"/>
          <w:b/>
          <w:bCs/>
          <w:color w:val="auto"/>
          <w:kern w:val="2"/>
          <w:sz w:val="28"/>
          <w:szCs w:val="28"/>
          <w:highlight w:val="none"/>
          <w:lang w:val="en-US" w:eastAsia="zh-CN" w:bidi="ar-SA"/>
        </w:rPr>
      </w:pPr>
    </w:p>
    <w:p>
      <w:pPr>
        <w:rPr>
          <w:rFonts w:hint="eastAsia" w:ascii="仿宋" w:hAnsi="仿宋" w:eastAsia="仿宋" w:cs="仿宋"/>
          <w:b/>
          <w:bCs/>
          <w:color w:val="auto"/>
          <w:kern w:val="2"/>
          <w:sz w:val="28"/>
          <w:szCs w:val="28"/>
          <w:highlight w:val="none"/>
          <w:lang w:val="en-US" w:eastAsia="zh-CN" w:bidi="ar-SA"/>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7.定标部分</w:t>
      </w:r>
    </w:p>
    <w:p>
      <w:pPr>
        <w:pStyle w:val="3"/>
        <w:numPr>
          <w:ilvl w:val="2"/>
          <w:numId w:val="0"/>
        </w:numPr>
        <w:spacing w:line="360" w:lineRule="auto"/>
        <w:ind w:leftChars="0"/>
        <w:jc w:val="center"/>
        <w:outlineLvl w:val="1"/>
        <w:rPr>
          <w:rFonts w:hint="eastAsia" w:ascii="仿宋" w:hAnsi="仿宋" w:eastAsia="仿宋" w:cs="仿宋"/>
          <w:color w:val="auto"/>
          <w:spacing w:val="0"/>
          <w:highlight w:val="none"/>
        </w:rPr>
      </w:pPr>
      <w:r>
        <w:rPr>
          <w:rFonts w:hint="eastAsia" w:ascii="仿宋" w:hAnsi="仿宋" w:eastAsia="仿宋" w:cs="仿宋"/>
          <w:color w:val="auto"/>
          <w:spacing w:val="0"/>
          <w:highlight w:val="none"/>
        </w:rPr>
        <w:t>定标因素表</w:t>
      </w:r>
    </w:p>
    <w:tbl>
      <w:tblPr>
        <w:tblStyle w:val="18"/>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611"/>
        <w:gridCol w:w="1778"/>
        <w:gridCol w:w="2269"/>
        <w:gridCol w:w="1836"/>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b/>
                <w:bCs/>
                <w:color w:val="auto"/>
                <w:spacing w:val="0"/>
                <w:sz w:val="20"/>
                <w:szCs w:val="20"/>
                <w:highlight w:val="none"/>
              </w:rPr>
            </w:pPr>
            <w:r>
              <w:rPr>
                <w:rFonts w:hint="eastAsia" w:ascii="仿宋" w:hAnsi="仿宋" w:eastAsia="仿宋" w:cs="仿宋"/>
                <w:b/>
                <w:bCs/>
                <w:color w:val="auto"/>
                <w:spacing w:val="0"/>
                <w:sz w:val="20"/>
                <w:szCs w:val="20"/>
                <w:highlight w:val="none"/>
              </w:rPr>
              <w:t>序号</w:t>
            </w:r>
          </w:p>
        </w:tc>
        <w:tc>
          <w:tcPr>
            <w:tcW w:w="3389" w:type="dxa"/>
            <w:gridSpan w:val="2"/>
            <w:noWrap w:val="0"/>
            <w:vAlign w:val="center"/>
          </w:tcPr>
          <w:p>
            <w:pPr>
              <w:adjustRightInd w:val="0"/>
              <w:snapToGrid w:val="0"/>
              <w:spacing w:line="360" w:lineRule="auto"/>
              <w:jc w:val="center"/>
              <w:rPr>
                <w:rFonts w:hint="eastAsia" w:ascii="仿宋" w:hAnsi="仿宋" w:eastAsia="仿宋" w:cs="仿宋"/>
                <w:b/>
                <w:bCs/>
                <w:color w:val="auto"/>
                <w:spacing w:val="0"/>
                <w:sz w:val="20"/>
                <w:szCs w:val="20"/>
                <w:highlight w:val="none"/>
              </w:rPr>
            </w:pPr>
            <w:r>
              <w:rPr>
                <w:rFonts w:hint="eastAsia" w:ascii="仿宋" w:hAnsi="仿宋" w:eastAsia="仿宋" w:cs="仿宋"/>
                <w:b/>
                <w:bCs/>
                <w:color w:val="auto"/>
                <w:spacing w:val="0"/>
                <w:sz w:val="20"/>
                <w:szCs w:val="20"/>
                <w:highlight w:val="none"/>
              </w:rPr>
              <w:t>定标因素</w:t>
            </w:r>
          </w:p>
        </w:tc>
        <w:tc>
          <w:tcPr>
            <w:tcW w:w="2269" w:type="dxa"/>
            <w:noWrap w:val="0"/>
            <w:vAlign w:val="center"/>
          </w:tcPr>
          <w:p>
            <w:pPr>
              <w:adjustRightInd w:val="0"/>
              <w:snapToGrid w:val="0"/>
              <w:spacing w:line="360" w:lineRule="auto"/>
              <w:jc w:val="center"/>
              <w:rPr>
                <w:rFonts w:hint="eastAsia" w:ascii="仿宋" w:hAnsi="仿宋" w:eastAsia="仿宋" w:cs="仿宋"/>
                <w:b/>
                <w:bCs/>
                <w:color w:val="auto"/>
                <w:spacing w:val="0"/>
                <w:sz w:val="20"/>
                <w:szCs w:val="20"/>
                <w:highlight w:val="none"/>
              </w:rPr>
            </w:pPr>
            <w:r>
              <w:rPr>
                <w:rFonts w:hint="eastAsia" w:ascii="仿宋" w:hAnsi="仿宋" w:eastAsia="仿宋" w:cs="仿宋"/>
                <w:b/>
                <w:bCs/>
                <w:color w:val="auto"/>
                <w:spacing w:val="0"/>
                <w:sz w:val="20"/>
                <w:szCs w:val="20"/>
                <w:highlight w:val="none"/>
                <w:lang w:eastAsia="zh-CN"/>
              </w:rPr>
              <w:t>响应供应商</w:t>
            </w:r>
            <w:r>
              <w:rPr>
                <w:rFonts w:hint="eastAsia" w:ascii="仿宋" w:hAnsi="仿宋" w:eastAsia="仿宋" w:cs="仿宋"/>
                <w:b/>
                <w:bCs/>
                <w:color w:val="auto"/>
                <w:spacing w:val="0"/>
                <w:sz w:val="20"/>
                <w:szCs w:val="20"/>
                <w:highlight w:val="none"/>
                <w:lang w:val="en-US" w:eastAsia="zh-CN"/>
              </w:rPr>
              <w:t>响应</w:t>
            </w:r>
            <w:r>
              <w:rPr>
                <w:rFonts w:hint="eastAsia" w:ascii="仿宋" w:hAnsi="仿宋" w:eastAsia="仿宋" w:cs="仿宋"/>
                <w:b/>
                <w:bCs/>
                <w:color w:val="auto"/>
                <w:spacing w:val="0"/>
                <w:sz w:val="20"/>
                <w:szCs w:val="20"/>
                <w:highlight w:val="none"/>
              </w:rPr>
              <w:t>情况</w:t>
            </w:r>
          </w:p>
        </w:tc>
        <w:tc>
          <w:tcPr>
            <w:tcW w:w="1836" w:type="dxa"/>
            <w:noWrap w:val="0"/>
            <w:vAlign w:val="center"/>
          </w:tcPr>
          <w:p>
            <w:pPr>
              <w:adjustRightInd w:val="0"/>
              <w:snapToGrid w:val="0"/>
              <w:spacing w:line="360" w:lineRule="auto"/>
              <w:jc w:val="center"/>
              <w:rPr>
                <w:rFonts w:hint="eastAsia" w:ascii="仿宋" w:hAnsi="仿宋" w:eastAsia="仿宋" w:cs="仿宋"/>
                <w:b/>
                <w:bCs/>
                <w:color w:val="auto"/>
                <w:spacing w:val="0"/>
                <w:sz w:val="20"/>
                <w:szCs w:val="20"/>
                <w:highlight w:val="none"/>
              </w:rPr>
            </w:pPr>
            <w:r>
              <w:rPr>
                <w:rFonts w:hint="eastAsia" w:ascii="仿宋" w:hAnsi="仿宋" w:eastAsia="仿宋" w:cs="仿宋"/>
                <w:b/>
                <w:bCs/>
                <w:color w:val="auto"/>
                <w:spacing w:val="0"/>
                <w:sz w:val="20"/>
                <w:szCs w:val="20"/>
                <w:highlight w:val="none"/>
              </w:rPr>
              <w:t>证明材料所在页码</w:t>
            </w:r>
          </w:p>
        </w:tc>
        <w:tc>
          <w:tcPr>
            <w:tcW w:w="1050" w:type="dxa"/>
            <w:noWrap w:val="0"/>
            <w:vAlign w:val="center"/>
          </w:tcPr>
          <w:p>
            <w:pPr>
              <w:adjustRightInd w:val="0"/>
              <w:snapToGrid w:val="0"/>
              <w:spacing w:line="360" w:lineRule="auto"/>
              <w:jc w:val="center"/>
              <w:rPr>
                <w:rFonts w:hint="eastAsia" w:ascii="仿宋" w:hAnsi="仿宋" w:eastAsia="仿宋" w:cs="仿宋"/>
                <w:b/>
                <w:bCs/>
                <w:color w:val="auto"/>
                <w:spacing w:val="0"/>
                <w:sz w:val="20"/>
                <w:szCs w:val="20"/>
                <w:highlight w:val="none"/>
              </w:rPr>
            </w:pPr>
            <w:r>
              <w:rPr>
                <w:rFonts w:hint="eastAsia" w:ascii="仿宋" w:hAnsi="仿宋" w:eastAsia="仿宋" w:cs="仿宋"/>
                <w:b/>
                <w:bCs/>
                <w:color w:val="auto"/>
                <w:spacing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lang w:val="en-US" w:eastAsia="zh-CN"/>
              </w:rPr>
            </w:pPr>
            <w:r>
              <w:rPr>
                <w:rFonts w:hint="eastAsia" w:ascii="仿宋" w:hAnsi="仿宋" w:eastAsia="仿宋" w:cs="仿宋"/>
                <w:color w:val="auto"/>
                <w:spacing w:val="0"/>
                <w:sz w:val="20"/>
                <w:szCs w:val="20"/>
                <w:highlight w:val="none"/>
                <w:lang w:val="en-US" w:eastAsia="zh-CN"/>
              </w:rPr>
              <w:t>1</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kern w:val="2"/>
                <w:sz w:val="20"/>
                <w:szCs w:val="20"/>
                <w:highlight w:val="none"/>
                <w:lang w:val="en-US" w:eastAsia="zh-CN" w:bidi="ar-SA"/>
              </w:rPr>
            </w:pPr>
            <w:r>
              <w:rPr>
                <w:rFonts w:hint="eastAsia" w:ascii="仿宋" w:hAnsi="仿宋" w:eastAsia="仿宋" w:cs="仿宋"/>
                <w:color w:val="auto"/>
                <w:highlight w:val="none"/>
                <w:lang w:val="en-US" w:eastAsia="zh-CN"/>
              </w:rPr>
              <w:t>企业实力</w:t>
            </w:r>
          </w:p>
        </w:tc>
        <w:tc>
          <w:tcPr>
            <w:tcW w:w="1778" w:type="dxa"/>
            <w:noWrap w:val="0"/>
            <w:vAlign w:val="center"/>
          </w:tcPr>
          <w:p>
            <w:pPr>
              <w:adjustRightInd w:val="0"/>
              <w:snapToGrid w:val="0"/>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自行提交材料</w:t>
            </w:r>
          </w:p>
        </w:tc>
        <w:tc>
          <w:tcPr>
            <w:tcW w:w="2269" w:type="dxa"/>
            <w:noWrap w:val="0"/>
            <w:vAlign w:val="center"/>
          </w:tcPr>
          <w:p>
            <w:pPr>
              <w:adjustRightInd w:val="0"/>
              <w:snapToGrid w:val="0"/>
              <w:spacing w:line="360" w:lineRule="auto"/>
              <w:jc w:val="left"/>
              <w:rPr>
                <w:rFonts w:hint="eastAsia" w:ascii="仿宋" w:hAnsi="仿宋" w:eastAsia="仿宋" w:cs="仿宋"/>
                <w:color w:val="auto"/>
                <w:spacing w:val="0"/>
                <w:sz w:val="20"/>
                <w:szCs w:val="20"/>
                <w:highlight w:val="none"/>
              </w:rPr>
            </w:pPr>
          </w:p>
        </w:tc>
        <w:tc>
          <w:tcPr>
            <w:tcW w:w="1836" w:type="dxa"/>
            <w:noWrap w:val="0"/>
            <w:vAlign w:val="top"/>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050"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lang w:eastAsia="zh-CN"/>
              </w:rPr>
            </w:pPr>
            <w:r>
              <w:rPr>
                <w:rFonts w:hint="eastAsia" w:ascii="仿宋" w:hAnsi="仿宋" w:eastAsia="仿宋" w:cs="仿宋"/>
                <w:color w:val="auto"/>
                <w:spacing w:val="0"/>
                <w:sz w:val="20"/>
                <w:szCs w:val="20"/>
                <w:highlight w:val="none"/>
                <w:lang w:val="en-US" w:eastAsia="zh-CN"/>
              </w:rPr>
              <w:t>2</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r>
              <w:rPr>
                <w:rFonts w:hint="eastAsia" w:ascii="仿宋" w:hAnsi="仿宋" w:eastAsia="仿宋" w:cs="仿宋"/>
                <w:color w:val="auto"/>
                <w:highlight w:val="none"/>
                <w:lang w:val="en-US" w:eastAsia="zh-CN"/>
              </w:rPr>
              <w:t>企业信誉</w:t>
            </w:r>
          </w:p>
        </w:tc>
        <w:tc>
          <w:tcPr>
            <w:tcW w:w="1778" w:type="dxa"/>
            <w:noWrap w:val="0"/>
            <w:vAlign w:val="center"/>
          </w:tcPr>
          <w:p>
            <w:pPr>
              <w:adjustRightInd w:val="0"/>
              <w:snapToGrid w:val="0"/>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自行提交材料</w:t>
            </w:r>
          </w:p>
        </w:tc>
        <w:tc>
          <w:tcPr>
            <w:tcW w:w="2269" w:type="dxa"/>
            <w:noWrap w:val="0"/>
            <w:vAlign w:val="center"/>
          </w:tcPr>
          <w:p>
            <w:pPr>
              <w:adjustRightInd w:val="0"/>
              <w:snapToGrid w:val="0"/>
              <w:spacing w:line="360" w:lineRule="auto"/>
              <w:jc w:val="left"/>
              <w:rPr>
                <w:rFonts w:hint="eastAsia" w:ascii="仿宋" w:hAnsi="仿宋" w:eastAsia="仿宋" w:cs="仿宋"/>
                <w:color w:val="auto"/>
                <w:spacing w:val="0"/>
                <w:sz w:val="20"/>
                <w:szCs w:val="20"/>
                <w:highlight w:val="none"/>
              </w:rPr>
            </w:pPr>
          </w:p>
        </w:tc>
        <w:tc>
          <w:tcPr>
            <w:tcW w:w="1836" w:type="dxa"/>
            <w:noWrap w:val="0"/>
            <w:vAlign w:val="top"/>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050"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lang w:val="en-US" w:eastAsia="zh-CN"/>
              </w:rPr>
            </w:pPr>
            <w:r>
              <w:rPr>
                <w:rFonts w:hint="eastAsia" w:ascii="仿宋" w:hAnsi="仿宋" w:eastAsia="仿宋" w:cs="仿宋"/>
                <w:color w:val="auto"/>
                <w:spacing w:val="0"/>
                <w:sz w:val="20"/>
                <w:szCs w:val="20"/>
                <w:highlight w:val="none"/>
                <w:lang w:val="en-US" w:eastAsia="zh-CN"/>
              </w:rPr>
              <w:t>3</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highlight w:val="none"/>
                <w:lang w:val="en-US" w:eastAsia="zh-CN"/>
              </w:rPr>
              <w:t>文件响应情况</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按响应文件响应内容提供，提交汇总表</w:t>
            </w:r>
          </w:p>
        </w:tc>
        <w:tc>
          <w:tcPr>
            <w:tcW w:w="2269" w:type="dxa"/>
            <w:noWrap w:val="0"/>
            <w:vAlign w:val="center"/>
          </w:tcPr>
          <w:p>
            <w:pPr>
              <w:adjustRightInd w:val="0"/>
              <w:snapToGrid w:val="0"/>
              <w:spacing w:line="360" w:lineRule="auto"/>
              <w:jc w:val="both"/>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lang w:eastAsia="zh-CN"/>
              </w:rPr>
              <w:t>比选</w:t>
            </w:r>
            <w:r>
              <w:rPr>
                <w:rFonts w:hint="eastAsia" w:ascii="仿宋" w:hAnsi="仿宋" w:eastAsia="仿宋" w:cs="仿宋"/>
                <w:color w:val="auto"/>
                <w:spacing w:val="0"/>
                <w:sz w:val="21"/>
                <w:szCs w:val="21"/>
                <w:highlight w:val="none"/>
              </w:rPr>
              <w:t>文件需求内容负偏离:</w:t>
            </w:r>
            <w:r>
              <w:rPr>
                <w:rFonts w:hint="eastAsia" w:ascii="仿宋" w:hAnsi="仿宋" w:eastAsia="仿宋" w:cs="仿宋"/>
                <w:color w:val="auto"/>
                <w:spacing w:val="0"/>
                <w:sz w:val="21"/>
                <w:szCs w:val="21"/>
                <w:highlight w:val="none"/>
                <w:u w:val="single"/>
                <w:lang w:val="en-US" w:eastAsia="zh-CN"/>
              </w:rPr>
              <w:t xml:space="preserve">    </w:t>
            </w:r>
            <w:r>
              <w:rPr>
                <w:rFonts w:hint="eastAsia" w:ascii="仿宋" w:hAnsi="仿宋" w:eastAsia="仿宋" w:cs="仿宋"/>
                <w:color w:val="auto"/>
                <w:spacing w:val="0"/>
                <w:sz w:val="21"/>
                <w:szCs w:val="21"/>
                <w:highlight w:val="none"/>
              </w:rPr>
              <w:t>条</w:t>
            </w:r>
          </w:p>
        </w:tc>
        <w:tc>
          <w:tcPr>
            <w:tcW w:w="1836" w:type="dxa"/>
            <w:noWrap w:val="0"/>
            <w:vAlign w:val="top"/>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050"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lang w:eastAsia="zh-CN"/>
              </w:rPr>
            </w:pPr>
            <w:r>
              <w:rPr>
                <w:rFonts w:hint="eastAsia" w:ascii="仿宋" w:hAnsi="仿宋" w:eastAsia="仿宋" w:cs="仿宋"/>
                <w:color w:val="auto"/>
                <w:spacing w:val="0"/>
                <w:sz w:val="20"/>
                <w:szCs w:val="20"/>
                <w:highlight w:val="none"/>
                <w:lang w:val="en-US" w:eastAsia="zh-CN"/>
              </w:rPr>
              <w:t>4</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highlight w:val="none"/>
                <w:lang w:val="en-US" w:eastAsia="zh-CN"/>
              </w:rPr>
              <w:t>报价</w:t>
            </w:r>
          </w:p>
        </w:tc>
        <w:tc>
          <w:tcPr>
            <w:tcW w:w="1778" w:type="dxa"/>
            <w:noWrap w:val="0"/>
            <w:vAlign w:val="center"/>
          </w:tcPr>
          <w:p>
            <w:pPr>
              <w:adjustRightInd w:val="0"/>
              <w:snapToGrid w:val="0"/>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按</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highlight w:val="none"/>
                <w:lang w:val="en-US" w:eastAsia="zh-CN"/>
              </w:rPr>
              <w:t>文件内容提供</w:t>
            </w:r>
          </w:p>
        </w:tc>
        <w:tc>
          <w:tcPr>
            <w:tcW w:w="2269" w:type="dxa"/>
            <w:noWrap w:val="0"/>
            <w:vAlign w:val="center"/>
          </w:tcPr>
          <w:p>
            <w:pPr>
              <w:adjustRightInd w:val="0"/>
              <w:snapToGrid w:val="0"/>
              <w:spacing w:line="360" w:lineRule="auto"/>
              <w:jc w:val="left"/>
              <w:rPr>
                <w:rFonts w:hint="eastAsia" w:ascii="仿宋" w:hAnsi="仿宋" w:eastAsia="仿宋" w:cs="仿宋"/>
                <w:color w:val="auto"/>
                <w:spacing w:val="0"/>
                <w:sz w:val="20"/>
                <w:szCs w:val="20"/>
                <w:highlight w:val="none"/>
              </w:rPr>
            </w:pPr>
          </w:p>
        </w:tc>
        <w:tc>
          <w:tcPr>
            <w:tcW w:w="1836" w:type="dxa"/>
            <w:noWrap w:val="0"/>
            <w:vAlign w:val="top"/>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050"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lang w:eastAsia="zh-CN"/>
              </w:rPr>
            </w:pPr>
            <w:r>
              <w:rPr>
                <w:rFonts w:hint="eastAsia" w:ascii="仿宋" w:hAnsi="仿宋" w:eastAsia="仿宋" w:cs="仿宋"/>
                <w:color w:val="auto"/>
                <w:spacing w:val="0"/>
                <w:sz w:val="20"/>
                <w:szCs w:val="20"/>
                <w:highlight w:val="none"/>
                <w:lang w:val="en-US" w:eastAsia="zh-CN"/>
              </w:rPr>
              <w:t>5</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r>
              <w:rPr>
                <w:rFonts w:hint="eastAsia" w:ascii="仿宋" w:hAnsi="仿宋" w:eastAsia="仿宋" w:cs="仿宋"/>
                <w:color w:val="auto"/>
                <w:highlight w:val="none"/>
                <w:lang w:val="en-US" w:eastAsia="zh-CN"/>
              </w:rPr>
              <w:t>拟派团队管理能力与水平</w:t>
            </w:r>
          </w:p>
        </w:tc>
        <w:tc>
          <w:tcPr>
            <w:tcW w:w="1778" w:type="dxa"/>
            <w:noWrap w:val="0"/>
            <w:vAlign w:val="center"/>
          </w:tcPr>
          <w:p>
            <w:pPr>
              <w:adjustRightInd w:val="0"/>
              <w:snapToGrid w:val="0"/>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按</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highlight w:val="none"/>
                <w:lang w:val="en-US" w:eastAsia="zh-CN"/>
              </w:rPr>
              <w:t>文件内容提供</w:t>
            </w:r>
          </w:p>
        </w:tc>
        <w:tc>
          <w:tcPr>
            <w:tcW w:w="2269" w:type="dxa"/>
            <w:noWrap w:val="0"/>
            <w:vAlign w:val="center"/>
          </w:tcPr>
          <w:p>
            <w:pPr>
              <w:adjustRightInd w:val="0"/>
              <w:snapToGrid w:val="0"/>
              <w:spacing w:line="360" w:lineRule="auto"/>
              <w:jc w:val="left"/>
              <w:rPr>
                <w:rFonts w:hint="eastAsia" w:ascii="仿宋" w:hAnsi="仿宋" w:eastAsia="仿宋" w:cs="仿宋"/>
                <w:color w:val="auto"/>
                <w:spacing w:val="0"/>
                <w:sz w:val="20"/>
                <w:szCs w:val="20"/>
                <w:highlight w:val="none"/>
              </w:rPr>
            </w:pPr>
          </w:p>
        </w:tc>
        <w:tc>
          <w:tcPr>
            <w:tcW w:w="1836" w:type="dxa"/>
            <w:noWrap w:val="0"/>
            <w:vAlign w:val="top"/>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050"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r>
              <w:rPr>
                <w:rFonts w:hint="eastAsia" w:ascii="仿宋" w:hAnsi="仿宋" w:eastAsia="仿宋" w:cs="仿宋"/>
                <w:color w:val="auto"/>
                <w:spacing w:val="0"/>
                <w:sz w:val="20"/>
                <w:szCs w:val="20"/>
                <w:highlight w:val="none"/>
              </w:rPr>
              <w:t>……</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778"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2269" w:type="dxa"/>
            <w:noWrap w:val="0"/>
            <w:vAlign w:val="center"/>
          </w:tcPr>
          <w:p>
            <w:pPr>
              <w:adjustRightInd w:val="0"/>
              <w:snapToGrid w:val="0"/>
              <w:spacing w:line="360" w:lineRule="auto"/>
              <w:jc w:val="left"/>
              <w:rPr>
                <w:rFonts w:hint="eastAsia" w:ascii="仿宋" w:hAnsi="仿宋" w:eastAsia="仿宋" w:cs="仿宋"/>
                <w:color w:val="auto"/>
                <w:spacing w:val="0"/>
                <w:sz w:val="20"/>
                <w:szCs w:val="20"/>
                <w:highlight w:val="none"/>
              </w:rPr>
            </w:pPr>
          </w:p>
        </w:tc>
        <w:tc>
          <w:tcPr>
            <w:tcW w:w="1836" w:type="dxa"/>
            <w:noWrap w:val="0"/>
            <w:vAlign w:val="top"/>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050"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r>
    </w:tbl>
    <w:p>
      <w:pPr>
        <w:numPr>
          <w:ilvl w:val="0"/>
          <w:numId w:val="0"/>
        </w:numPr>
        <w:rPr>
          <w:rFonts w:hint="eastAsia" w:ascii="仿宋" w:hAnsi="仿宋" w:eastAsia="仿宋" w:cs="仿宋"/>
          <w:color w:val="auto"/>
          <w:sz w:val="24"/>
          <w:szCs w:val="24"/>
          <w:highlight w:val="none"/>
          <w:lang w:val="en-US" w:eastAsia="zh-CN"/>
        </w:rPr>
      </w:pPr>
    </w:p>
    <w:p>
      <w:pPr>
        <w:rPr>
          <w:color w:val="auto"/>
          <w:highlight w:val="none"/>
        </w:rPr>
      </w:pPr>
    </w:p>
    <w:p>
      <w:pPr>
        <w:rPr>
          <w:color w:val="auto"/>
          <w:highlight w:val="none"/>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58</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58</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C57B1A6D"/>
    <w:multiLevelType w:val="singleLevel"/>
    <w:tmpl w:val="C57B1A6D"/>
    <w:lvl w:ilvl="0" w:tentative="0">
      <w:start w:val="15"/>
      <w:numFmt w:val="chineseCounting"/>
      <w:suff w:val="nothing"/>
      <w:lvlText w:val="%1、"/>
      <w:lvlJc w:val="left"/>
      <w:rPr>
        <w:rFonts w:hint="eastAsia"/>
      </w:rPr>
    </w:lvl>
  </w:abstractNum>
  <w:abstractNum w:abstractNumId="2">
    <w:nsid w:val="DA93CB21"/>
    <w:multiLevelType w:val="singleLevel"/>
    <w:tmpl w:val="DA93CB21"/>
    <w:lvl w:ilvl="0" w:tentative="0">
      <w:start w:val="3"/>
      <w:numFmt w:val="chineseCounting"/>
      <w:suff w:val="nothing"/>
      <w:lvlText w:val="（%1）"/>
      <w:lvlJc w:val="left"/>
      <w:rPr>
        <w:rFonts w:hint="eastAsia"/>
      </w:rPr>
    </w:lvl>
  </w:abstractNum>
  <w:abstractNum w:abstractNumId="3">
    <w:nsid w:val="569C8C25"/>
    <w:multiLevelType w:val="singleLevel"/>
    <w:tmpl w:val="569C8C25"/>
    <w:lvl w:ilvl="0" w:tentative="0">
      <w:start w:val="1"/>
      <w:numFmt w:val="chineseCounting"/>
      <w:suff w:val="nothing"/>
      <w:lvlText w:val="%1、"/>
      <w:lvlJc w:val="left"/>
    </w:lvl>
  </w:abstractNum>
  <w:abstractNum w:abstractNumId="4">
    <w:nsid w:val="70222339"/>
    <w:multiLevelType w:val="multilevel"/>
    <w:tmpl w:val="70222339"/>
    <w:lvl w:ilvl="0" w:tentative="0">
      <w:start w:val="1"/>
      <w:numFmt w:val="decimal"/>
      <w:pStyle w:val="2"/>
      <w:lvlText w:val="%1."/>
      <w:lvlJc w:val="left"/>
      <w:pPr>
        <w:ind w:left="0" w:firstLine="0"/>
      </w:pPr>
      <w:rPr>
        <w:rFonts w:ascii="宋体" w:hAnsi="宋体" w:eastAsia="宋体"/>
        <w:b/>
        <w:i w:val="0"/>
        <w:iCs w:val="0"/>
        <w:caps w:val="0"/>
        <w:smallCaps w:val="0"/>
        <w:strike w:val="0"/>
        <w:dstrike w:val="0"/>
        <w:vanish w:val="0"/>
        <w:color w:val="000000"/>
        <w:spacing w:val="0"/>
        <w:position w:val="0"/>
        <w:u w:val="none"/>
        <w:vertAlign w:val="baseline"/>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D013A"/>
    <w:rsid w:val="107C0E64"/>
    <w:rsid w:val="1C7329E4"/>
    <w:rsid w:val="1D3E544F"/>
    <w:rsid w:val="251725FB"/>
    <w:rsid w:val="2FE67CDE"/>
    <w:rsid w:val="36A910C2"/>
    <w:rsid w:val="4A1E379D"/>
    <w:rsid w:val="4C3E4D05"/>
    <w:rsid w:val="6395575C"/>
    <w:rsid w:val="663A00C1"/>
    <w:rsid w:val="6C591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widowControl w:val="0"/>
      <w:numPr>
        <w:ilvl w:val="0"/>
        <w:numId w:val="1"/>
      </w:numPr>
      <w:topLinePunct/>
      <w:spacing w:before="20" w:after="20" w:line="360" w:lineRule="auto"/>
      <w:jc w:val="both"/>
      <w:outlineLvl w:val="0"/>
    </w:pPr>
    <w:rPr>
      <w:rFonts w:ascii="Calibri" w:hAnsi="Calibri" w:eastAsia="宋体" w:cs="Times New Roman"/>
      <w:b/>
      <w:bCs/>
      <w:sz w:val="21"/>
      <w:szCs w:val="4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Verdana"/>
    </w:rPr>
  </w:style>
  <w:style w:type="paragraph" w:styleId="6">
    <w:name w:val="caption"/>
    <w:basedOn w:val="1"/>
    <w:next w:val="1"/>
    <w:qFormat/>
    <w:uiPriority w:val="0"/>
    <w:rPr>
      <w:rFonts w:ascii="Cambria" w:hAnsi="Cambria" w:eastAsia="黑体" w:cs="Times New Roman"/>
      <w:sz w:val="20"/>
      <w:szCs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after="12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index heading"/>
    <w:basedOn w:val="1"/>
    <w:next w:val="16"/>
    <w:qFormat/>
    <w:uiPriority w:val="0"/>
    <w:rPr>
      <w:szCs w:val="20"/>
    </w:rPr>
  </w:style>
  <w:style w:type="paragraph" w:styleId="16">
    <w:name w:val="index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0" w:right="0" w:firstLine="0" w:firstLineChars="0"/>
      <w:contextualSpacing/>
      <w:jc w:val="both"/>
    </w:pPr>
    <w:rPr>
      <w:rFonts w:hint="default" w:ascii="Times New Roman" w:hAnsi="Times New Roman" w:eastAsia="宋体" w:cs="Times New Roman"/>
      <w:kern w:val="2"/>
      <w:sz w:val="21"/>
      <w:szCs w:val="21"/>
      <w:lang w:val="en-US" w:eastAsia="zh-CN" w:bidi="ar"/>
    </w:rPr>
  </w:style>
  <w:style w:type="table" w:styleId="19">
    <w:name w:val="Table Grid"/>
    <w:basedOn w:val="18"/>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23">
    <w:name w:val="列出段落1"/>
    <w:basedOn w:val="1"/>
    <w:qFormat/>
    <w:uiPriority w:val="99"/>
    <w:pPr>
      <w:ind w:firstLine="420" w:firstLineChars="200"/>
    </w:pPr>
  </w:style>
  <w:style w:type="paragraph" w:customStyle="1" w:styleId="24">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
    <w:name w:val="题注4"/>
    <w:basedOn w:val="1"/>
    <w:next w:val="6"/>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2025-12-01T02:22:00Z</dcterms:created>
  <dc:creator>Administrator.FY-202506050949.000</dc:creator>
  <cp:lastModifiedBy>Mao</cp:lastModifiedBy>
  <dcterms:modified xsi:type="dcterms:W3CDTF">2025-12-05T09:24:44Z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