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w:t>
      </w:r>
    </w:p>
    <w:p>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w:t>
      </w:r>
      <w:bookmarkStart w:id="42" w:name="_GoBack"/>
      <w:bookmarkEnd w:id="42"/>
      <w:r>
        <w:rPr>
          <w:rFonts w:hint="eastAsia" w:ascii="仿宋" w:hAnsi="仿宋" w:eastAsia="仿宋" w:cs="仿宋"/>
          <w:b/>
          <w:color w:val="auto"/>
          <w:sz w:val="72"/>
          <w:szCs w:val="72"/>
          <w:highlight w:val="none"/>
        </w:rPr>
        <w:t>比选文件</w:t>
      </w: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ind w:firstLine="843" w:firstLineChars="300"/>
        <w:jc w:val="both"/>
        <w:rPr>
          <w:rFonts w:hint="default"/>
          <w:color w:val="auto"/>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ZCB-YN-2025024</w:t>
      </w:r>
    </w:p>
    <w:p>
      <w:pPr>
        <w:ind w:firstLine="843" w:firstLineChars="300"/>
        <w:jc w:val="both"/>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eastAsia="zh-CN"/>
        </w:rPr>
        <w:t>惠州市第一妇幼保健院更换门诊楼五楼天面模块机机组压缩机及保温棉</w:t>
      </w:r>
    </w:p>
    <w:p>
      <w:pPr>
        <w:jc w:val="both"/>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pStyle w:val="4"/>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惠州市第一妇幼保健院</w:t>
      </w:r>
      <w:r>
        <w:rPr>
          <w:rFonts w:hint="eastAsia" w:ascii="仿宋" w:hAnsi="仿宋" w:eastAsia="仿宋" w:cs="仿宋"/>
          <w:b/>
          <w:color w:val="auto"/>
          <w:sz w:val="32"/>
          <w:szCs w:val="32"/>
          <w:highlight w:val="none"/>
        </w:rPr>
        <w:t>编制</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2025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rPr>
        <w:t>月</w:t>
      </w:r>
    </w:p>
    <w:p>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pPr>
        <w:pStyle w:val="2"/>
        <w:rPr>
          <w:rFonts w:hint="eastAsia"/>
          <w:color w:val="auto"/>
          <w:highlight w:val="none"/>
          <w:lang w:eastAsia="zh-CN"/>
        </w:rPr>
      </w:pPr>
    </w:p>
    <w:p>
      <w:pPr>
        <w:pStyle w:val="16"/>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pPr>
        <w:spacing w:line="360" w:lineRule="auto"/>
        <w:rPr>
          <w:rFonts w:hint="eastAsia" w:ascii="仿宋" w:hAnsi="仿宋" w:eastAsia="仿宋" w:cs="仿宋"/>
          <w:b/>
          <w:color w:val="auto"/>
          <w:kern w:val="0"/>
          <w:sz w:val="28"/>
          <w:szCs w:val="2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r>
        <w:rPr>
          <w:rFonts w:hint="eastAsia" w:ascii="仿宋" w:hAnsi="仿宋" w:eastAsia="仿宋" w:cs="仿宋"/>
          <w:color w:val="auto"/>
          <w:kern w:val="0"/>
          <w:sz w:val="24"/>
          <w:highlight w:val="none"/>
          <w:lang w:eastAsia="zh-CN"/>
        </w:rPr>
        <w:t>：</w:t>
      </w:r>
    </w:p>
    <w:p>
      <w:pPr>
        <w:spacing w:line="42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惠州市第一妇幼保健院更换门诊楼五楼天面模块机机组压缩机及保温棉</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pPr>
        <w:autoSpaceDE w:val="0"/>
        <w:autoSpaceDN w:val="0"/>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ZCB-YN-2025024</w:t>
      </w:r>
    </w:p>
    <w:p>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惠州市第一妇幼保健院更换门诊楼五楼天面模块机机组压缩机及保温棉</w:t>
      </w:r>
    </w:p>
    <w:p>
      <w:pPr>
        <w:spacing w:line="420" w:lineRule="exact"/>
        <w:ind w:firstLine="510"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p>
    <w:tbl>
      <w:tblPr>
        <w:tblStyle w:val="17"/>
        <w:tblW w:w="7831" w:type="dxa"/>
        <w:jc w:val="center"/>
        <w:tblLayout w:type="fixed"/>
        <w:tblCellMar>
          <w:top w:w="0" w:type="dxa"/>
          <w:left w:w="108" w:type="dxa"/>
          <w:bottom w:w="0" w:type="dxa"/>
          <w:right w:w="108" w:type="dxa"/>
        </w:tblCellMar>
      </w:tblPr>
      <w:tblGrid>
        <w:gridCol w:w="727"/>
        <w:gridCol w:w="2076"/>
        <w:gridCol w:w="714"/>
        <w:gridCol w:w="720"/>
        <w:gridCol w:w="1608"/>
        <w:gridCol w:w="1986"/>
      </w:tblGrid>
      <w:tr>
        <w:tblPrEx>
          <w:tblCellMar>
            <w:top w:w="0" w:type="dxa"/>
            <w:left w:w="108" w:type="dxa"/>
            <w:bottom w:w="0" w:type="dxa"/>
            <w:right w:w="108" w:type="dxa"/>
          </w:tblCellMar>
        </w:tblPrEx>
        <w:trPr>
          <w:trHeight w:val="90"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序号</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项目</w:t>
            </w:r>
            <w:r>
              <w:rPr>
                <w:rFonts w:hint="eastAsia" w:ascii="仿宋" w:hAnsi="仿宋" w:eastAsia="仿宋" w:cs="仿宋"/>
                <w:color w:val="auto"/>
                <w:kern w:val="0"/>
                <w:szCs w:val="21"/>
                <w:highlight w:val="none"/>
              </w:rPr>
              <w:t>名称</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单位</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最高限价（元）</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tblPrEx>
          <w:tblCellMar>
            <w:top w:w="0" w:type="dxa"/>
            <w:left w:w="108" w:type="dxa"/>
            <w:bottom w:w="0" w:type="dxa"/>
            <w:right w:w="108" w:type="dxa"/>
          </w:tblCellMar>
        </w:tblPrEx>
        <w:trPr>
          <w:trHeight w:val="653"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更换门诊楼五楼天面模块机机组压缩机及保温棉</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项</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108000</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详细</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kern w:val="0"/>
                <w:szCs w:val="21"/>
                <w:highlight w:val="none"/>
                <w:lang w:eastAsia="zh-CN"/>
              </w:rPr>
              <w:t>要求</w:t>
            </w:r>
            <w:r>
              <w:rPr>
                <w:rFonts w:hint="eastAsia" w:ascii="仿宋" w:hAnsi="仿宋" w:eastAsia="仿宋" w:cs="仿宋"/>
                <w:color w:val="auto"/>
                <w:kern w:val="0"/>
                <w:szCs w:val="21"/>
                <w:highlight w:val="none"/>
              </w:rPr>
              <w:t>请参阅</w:t>
            </w:r>
            <w:r>
              <w:rPr>
                <w:rFonts w:hint="eastAsia" w:ascii="仿宋" w:hAnsi="仿宋" w:eastAsia="仿宋" w:cs="仿宋"/>
                <w:color w:val="auto"/>
                <w:kern w:val="0"/>
                <w:szCs w:val="21"/>
                <w:highlight w:val="none"/>
                <w:lang w:val="en-US" w:eastAsia="zh-CN"/>
              </w:rPr>
              <w:t>比选</w:t>
            </w:r>
            <w:r>
              <w:rPr>
                <w:rFonts w:hint="eastAsia" w:ascii="仿宋" w:hAnsi="仿宋" w:eastAsia="仿宋" w:cs="仿宋"/>
                <w:color w:val="auto"/>
                <w:kern w:val="0"/>
                <w:szCs w:val="21"/>
                <w:highlight w:val="none"/>
              </w:rPr>
              <w:t>文件中的采购项目内容。</w:t>
            </w:r>
          </w:p>
        </w:tc>
      </w:tr>
    </w:tbl>
    <w:p>
      <w:pPr>
        <w:spacing w:line="420" w:lineRule="exact"/>
        <w:rPr>
          <w:rFonts w:hint="eastAsia" w:ascii="仿宋" w:hAnsi="仿宋" w:eastAsia="仿宋" w:cs="仿宋"/>
          <w:color w:val="auto"/>
          <w:sz w:val="24"/>
          <w:highlight w:val="none"/>
          <w:lang w:val="zh-CN"/>
        </w:rPr>
      </w:pPr>
    </w:p>
    <w:p>
      <w:pPr>
        <w:spacing w:line="420" w:lineRule="exact"/>
        <w:ind w:firstLine="510"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响应的供应商应当在2025年5月22日起至2025年5月28日（上午08:00-12:00，</w:t>
      </w:r>
      <w:r>
        <w:rPr>
          <w:rFonts w:hint="eastAsia" w:ascii="仿宋" w:hAnsi="仿宋" w:eastAsia="仿宋" w:cs="仿宋"/>
          <w:color w:val="auto"/>
          <w:sz w:val="24"/>
          <w:highlight w:val="none"/>
          <w:lang w:eastAsia="zh-CN"/>
        </w:rPr>
        <w:t>14:</w:t>
      </w:r>
      <w:r>
        <w:rPr>
          <w:rFonts w:hint="eastAsia" w:ascii="仿宋" w:hAnsi="仿宋" w:eastAsia="仿宋" w:cs="仿宋"/>
          <w:color w:val="auto"/>
          <w:sz w:val="24"/>
          <w:highlight w:val="none"/>
        </w:rPr>
        <w:t>30-17:30，法定节假日除外）</w:t>
      </w:r>
      <w:r>
        <w:rPr>
          <w:rFonts w:hint="eastAsia" w:ascii="仿宋" w:hAnsi="仿宋" w:eastAsia="仿宋" w:cs="仿宋"/>
          <w:color w:val="auto"/>
          <w:kern w:val="0"/>
          <w:sz w:val="24"/>
          <w:highlight w:val="none"/>
        </w:rPr>
        <w:t>通过惠州市第一妇幼保健院</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邮箱报名</w:t>
      </w:r>
      <w:r>
        <w:rPr>
          <w:rFonts w:hint="eastAsia" w:ascii="仿宋" w:hAnsi="仿宋" w:eastAsia="仿宋" w:cs="仿宋"/>
          <w:color w:val="auto"/>
          <w:kern w:val="0"/>
          <w:sz w:val="24"/>
          <w:highlight w:val="none"/>
          <w:lang w:eastAsia="zh-CN"/>
        </w:rPr>
        <w:t>或现场报名</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邮箱：dyfyzcb@huizhou.gov.cn</w:t>
      </w:r>
    </w:p>
    <w:p>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00时</w:t>
      </w:r>
      <w:r>
        <w:rPr>
          <w:rFonts w:hint="eastAsia" w:ascii="仿宋" w:hAnsi="仿宋" w:eastAsia="仿宋" w:cs="仿宋"/>
          <w:color w:val="auto"/>
          <w:sz w:val="24"/>
          <w:highlight w:val="none"/>
        </w:rPr>
        <w:t>（北京时间）</w:t>
      </w:r>
    </w:p>
    <w:p>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p>
    <w:p>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15分</w:t>
      </w:r>
      <w:r>
        <w:rPr>
          <w:rFonts w:hint="eastAsia" w:ascii="仿宋" w:hAnsi="仿宋" w:eastAsia="仿宋" w:cs="仿宋"/>
          <w:color w:val="auto"/>
          <w:sz w:val="24"/>
          <w:highlight w:val="none"/>
        </w:rPr>
        <w:t>（北京时间）</w:t>
      </w:r>
    </w:p>
    <w:p>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r>
        <w:rPr>
          <w:rFonts w:hint="eastAsia" w:ascii="仿宋" w:hAnsi="仿宋" w:eastAsia="仿宋" w:cs="仿宋"/>
          <w:color w:val="auto"/>
          <w:sz w:val="24"/>
          <w:highlight w:val="none"/>
        </w:rPr>
        <w:t>。</w:t>
      </w:r>
    </w:p>
    <w:p>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郑工</w:t>
      </w:r>
      <w:r>
        <w:rPr>
          <w:rFonts w:hint="eastAsia" w:ascii="仿宋" w:hAnsi="仿宋" w:eastAsia="仿宋" w:cs="仿宋"/>
          <w:color w:val="auto"/>
          <w:sz w:val="24"/>
          <w:highlight w:val="none"/>
        </w:rPr>
        <w:t xml:space="preserve">                        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pPr>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pPr>
        <w:spacing w:line="420" w:lineRule="exact"/>
        <w:ind w:firstLine="3766"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pStyle w:val="21"/>
        <w:rPr>
          <w:rFonts w:hint="eastAsia"/>
          <w:color w:val="auto"/>
          <w:highlight w:val="none"/>
          <w:lang w:val="en-US" w:eastAsia="zh-CN"/>
        </w:rPr>
      </w:pPr>
    </w:p>
    <w:p>
      <w:pPr>
        <w:spacing w:line="420" w:lineRule="exact"/>
        <w:ind w:firstLine="3766"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20" w:lineRule="exact"/>
        <w:ind w:firstLine="3766"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pPr>
        <w:spacing w:line="420" w:lineRule="exact"/>
        <w:ind w:firstLine="486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日</w:t>
      </w:r>
    </w:p>
    <w:p>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pPr>
        <w:numPr>
          <w:ilvl w:val="0"/>
          <w:numId w:val="1"/>
        </w:numPr>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且提供以下证明文件：</w:t>
      </w:r>
    </w:p>
    <w:p>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w:t>
      </w:r>
      <w:r>
        <w:rPr>
          <w:rFonts w:hint="eastAsia" w:ascii="仿宋" w:hAnsi="仿宋" w:eastAsia="仿宋" w:cs="仿宋"/>
          <w:b/>
          <w:bCs/>
          <w:color w:val="auto"/>
          <w:sz w:val="24"/>
          <w:highlight w:val="none"/>
        </w:rPr>
        <w:t>（提供营业执照等证明文件）</w:t>
      </w:r>
      <w:r>
        <w:rPr>
          <w:rFonts w:hint="eastAsia" w:ascii="仿宋" w:hAnsi="仿宋" w:eastAsia="仿宋" w:cs="仿宋"/>
          <w:color w:val="auto"/>
          <w:sz w:val="24"/>
          <w:highlight w:val="none"/>
        </w:rPr>
        <w:t>；</w:t>
      </w:r>
    </w:p>
    <w:p>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eastAsia="zh-CN"/>
        </w:rPr>
        <w:t>近</w:t>
      </w:r>
      <w:r>
        <w:rPr>
          <w:rFonts w:hint="eastAsia" w:ascii="仿宋" w:hAnsi="仿宋" w:eastAsia="仿宋" w:cs="仿宋"/>
          <w:color w:val="auto"/>
          <w:sz w:val="24"/>
          <w:szCs w:val="24"/>
          <w:highlight w:val="none"/>
          <w:lang w:eastAsia="zh-CN"/>
        </w:rPr>
        <w:t>12个月内</w:t>
      </w:r>
      <w:r>
        <w:rPr>
          <w:rFonts w:hint="eastAsia" w:ascii="仿宋" w:hAnsi="仿宋" w:eastAsia="仿宋" w:cs="仿宋"/>
          <w:color w:val="auto"/>
          <w:sz w:val="24"/>
          <w:highlight w:val="none"/>
        </w:rPr>
        <w:t>银行出具的资信证明（复印件）；</w:t>
      </w:r>
    </w:p>
    <w:p>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lang w:eastAsia="zh-CN"/>
        </w:rPr>
        <w:t>近12个月内</w:t>
      </w:r>
      <w:r>
        <w:rPr>
          <w:rFonts w:hint="eastAsia" w:ascii="仿宋" w:hAnsi="仿宋" w:eastAsia="仿宋" w:cs="仿宋"/>
          <w:color w:val="auto"/>
          <w:sz w:val="24"/>
          <w:highlight w:val="none"/>
        </w:rPr>
        <w:t>任意一个月的依法缴纳税收证明材料</w:t>
      </w:r>
      <w:r>
        <w:rPr>
          <w:rFonts w:hint="eastAsia" w:ascii="仿宋" w:hAnsi="仿宋" w:eastAsia="仿宋" w:cs="仿宋"/>
          <w:b/>
          <w:bCs/>
          <w:color w:val="auto"/>
          <w:sz w:val="24"/>
          <w:highlight w:val="none"/>
        </w:rPr>
        <w:t>（如依法免税，则须提供相应文件证明其依法免税）</w:t>
      </w:r>
      <w:r>
        <w:rPr>
          <w:rFonts w:hint="eastAsia" w:ascii="仿宋" w:hAnsi="仿宋" w:eastAsia="仿宋" w:cs="仿宋"/>
          <w:color w:val="auto"/>
          <w:sz w:val="24"/>
          <w:highlight w:val="none"/>
        </w:rPr>
        <w:t>；</w:t>
      </w:r>
    </w:p>
    <w:p>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（4）比</w:t>
      </w:r>
      <w:r>
        <w:rPr>
          <w:rFonts w:hint="eastAsia" w:ascii="仿宋" w:hAnsi="仿宋" w:eastAsia="仿宋" w:cs="仿宋"/>
          <w:color w:val="auto"/>
          <w:sz w:val="24"/>
          <w:highlight w:val="none"/>
          <w:lang w:val="en-US" w:eastAsia="zh-CN"/>
        </w:rPr>
        <w:t>价</w:t>
      </w: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lang w:eastAsia="zh-CN"/>
        </w:rPr>
        <w:t>近12个月内</w:t>
      </w:r>
      <w:r>
        <w:rPr>
          <w:rFonts w:hint="eastAsia" w:ascii="仿宋" w:hAnsi="仿宋" w:eastAsia="仿宋" w:cs="仿宋"/>
          <w:color w:val="auto"/>
          <w:sz w:val="24"/>
          <w:highlight w:val="none"/>
        </w:rPr>
        <w:t>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color w:val="auto"/>
          <w:sz w:val="24"/>
          <w:highlight w:val="none"/>
        </w:rPr>
        <w:t>；</w:t>
      </w:r>
    </w:p>
    <w:p>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w:t>
      </w:r>
      <w:r>
        <w:rPr>
          <w:rFonts w:hint="eastAsia" w:ascii="仿宋" w:hAnsi="仿宋" w:eastAsia="仿宋" w:cs="仿宋"/>
          <w:b/>
          <w:bCs/>
          <w:color w:val="auto"/>
          <w:sz w:val="24"/>
          <w:highlight w:val="none"/>
        </w:rPr>
        <w:t>证明材料或书面声明</w:t>
      </w:r>
      <w:r>
        <w:rPr>
          <w:rFonts w:hint="eastAsia" w:ascii="仿宋" w:hAnsi="仿宋" w:eastAsia="仿宋" w:cs="仿宋"/>
          <w:color w:val="auto"/>
          <w:sz w:val="24"/>
          <w:highlight w:val="none"/>
        </w:rPr>
        <w:t>；</w:t>
      </w:r>
    </w:p>
    <w:p>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w:t>
      </w:r>
      <w:r>
        <w:rPr>
          <w:rFonts w:hint="eastAsia" w:ascii="仿宋" w:hAnsi="仿宋" w:eastAsia="仿宋" w:cs="仿宋"/>
          <w:color w:val="auto"/>
          <w:sz w:val="24"/>
          <w:highlight w:val="none"/>
          <w:lang w:eastAsia="zh-CN"/>
        </w:rPr>
        <w:t>比价</w:t>
      </w:r>
      <w:r>
        <w:rPr>
          <w:rFonts w:hint="eastAsia" w:ascii="仿宋" w:hAnsi="仿宋" w:eastAsia="仿宋" w:cs="仿宋"/>
          <w:color w:val="auto"/>
          <w:sz w:val="24"/>
          <w:highlight w:val="none"/>
        </w:rPr>
        <w:t>或者未划分包号的同一采购项目。</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rPr>
        <w:t>供应商出具声明函</w:t>
      </w:r>
      <w:r>
        <w:rPr>
          <w:rFonts w:hint="eastAsia" w:ascii="仿宋" w:hAnsi="仿宋" w:eastAsia="仿宋" w:cs="仿宋"/>
          <w:b/>
          <w:bCs/>
          <w:color w:val="auto"/>
          <w:sz w:val="24"/>
          <w:highlight w:val="none"/>
          <w:lang w:eastAsia="zh-CN"/>
        </w:rPr>
        <w:t>）</w:t>
      </w:r>
    </w:p>
    <w:p>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4.为采购项目提供整体设计、规范编制或者项目管理、监理、检测等服务的供应商，不得再参加该采购项目的其他采购活动。</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rPr>
        <w:t>供应商出具声明函</w:t>
      </w:r>
      <w:r>
        <w:rPr>
          <w:rFonts w:hint="eastAsia" w:ascii="仿宋" w:hAnsi="仿宋" w:eastAsia="仿宋" w:cs="仿宋"/>
          <w:b/>
          <w:bCs/>
          <w:color w:val="auto"/>
          <w:sz w:val="24"/>
          <w:highlight w:val="none"/>
          <w:lang w:eastAsia="zh-CN"/>
        </w:rPr>
        <w:t>）</w:t>
      </w:r>
    </w:p>
    <w:p>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w:t>
      </w:r>
      <w:r>
        <w:rPr>
          <w:rFonts w:hint="eastAsia" w:ascii="仿宋" w:hAnsi="仿宋" w:eastAsia="仿宋" w:cs="仿宋"/>
          <w:color w:val="auto"/>
          <w:sz w:val="24"/>
          <w:highlight w:val="none"/>
          <w:lang w:eastAsia="zh-CN"/>
        </w:rPr>
        <w:t>比价</w:t>
      </w:r>
      <w:r>
        <w:rPr>
          <w:rFonts w:hint="eastAsia" w:ascii="仿宋" w:hAnsi="仿宋" w:eastAsia="仿宋" w:cs="仿宋"/>
          <w:color w:val="auto"/>
          <w:sz w:val="24"/>
          <w:highlight w:val="none"/>
        </w:rPr>
        <w:t>，不允许响应供应商对各</w:t>
      </w:r>
      <w:r>
        <w:rPr>
          <w:rFonts w:hint="eastAsia" w:ascii="仿宋" w:hAnsi="仿宋" w:eastAsia="仿宋" w:cs="仿宋"/>
          <w:color w:val="auto"/>
          <w:sz w:val="24"/>
          <w:highlight w:val="none"/>
          <w:lang w:eastAsia="zh-CN"/>
        </w:rPr>
        <w:t>比价</w:t>
      </w:r>
      <w:r>
        <w:rPr>
          <w:rFonts w:hint="eastAsia" w:ascii="仿宋" w:hAnsi="仿宋" w:eastAsia="仿宋" w:cs="仿宋"/>
          <w:color w:val="auto"/>
          <w:sz w:val="24"/>
          <w:highlight w:val="none"/>
        </w:rPr>
        <w:t>项目进行分包或转包</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rPr>
        <w:t>供应商出具声明函</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w:t>
      </w:r>
    </w:p>
    <w:p>
      <w:pPr>
        <w:keepNext w:val="0"/>
        <w:keepLines w:val="0"/>
        <w:widowControl w:val="0"/>
        <w:suppressLineNumbers w:val="0"/>
        <w:tabs>
          <w:tab w:val="left" w:pos="0"/>
        </w:tabs>
        <w:wordWrap w:val="0"/>
        <w:spacing w:before="0" w:beforeAutospacing="0" w:after="0" w:afterAutospacing="0" w:line="360" w:lineRule="auto"/>
        <w:ind w:left="0" w:right="0" w:firstLine="486" w:firstLineChars="200"/>
        <w:jc w:val="left"/>
        <w:rPr>
          <w:color w:val="auto"/>
          <w:highlight w:val="none"/>
        </w:rPr>
      </w:pPr>
      <w:r>
        <w:rPr>
          <w:rFonts w:hint="eastAsia" w:ascii="仿宋" w:hAnsi="仿宋" w:eastAsia="仿宋" w:cs="仿宋"/>
          <w:color w:val="auto"/>
          <w:sz w:val="24"/>
          <w:highlight w:val="none"/>
        </w:rPr>
        <w:t>6.本项目是专门面向中小企业采购的项目。</w:t>
      </w:r>
      <w:r>
        <w:rPr>
          <w:rFonts w:hint="eastAsia" w:ascii="仿宋" w:hAnsi="仿宋" w:eastAsia="仿宋" w:cs="仿宋"/>
          <w:b/>
          <w:bCs/>
          <w:color w:val="auto"/>
          <w:sz w:val="24"/>
          <w:highlight w:val="none"/>
        </w:rPr>
        <w:t>（提供《中小企业声明函》</w:t>
      </w:r>
      <w:r>
        <w:rPr>
          <w:rFonts w:hint="eastAsia" w:ascii="仿宋" w:hAnsi="仿宋" w:eastAsia="仿宋" w:cs="仿宋"/>
          <w:b/>
          <w:bCs/>
          <w:color w:val="auto"/>
          <w:sz w:val="24"/>
          <w:highlight w:val="none"/>
          <w:lang w:eastAsia="zh-CN"/>
        </w:rPr>
        <w:t>，具体格式文件见比价文件P49中</w:t>
      </w:r>
      <w:r>
        <w:rPr>
          <w:rFonts w:hint="eastAsia" w:ascii="仿宋" w:hAnsi="仿宋" w:eastAsia="仿宋" w:cs="仿宋"/>
          <w:b/>
          <w:bCs/>
          <w:color w:val="auto"/>
          <w:sz w:val="24"/>
          <w:highlight w:val="none"/>
          <w:lang w:val="hr-HR" w:eastAsia="zh-CN"/>
        </w:rPr>
        <w:t>小企业声明函（工程、服务），未按要求提供声明函的将导致响应无效</w:t>
      </w:r>
      <w:r>
        <w:rPr>
          <w:rFonts w:hint="eastAsia" w:ascii="仿宋" w:hAnsi="仿宋" w:eastAsia="仿宋" w:cs="仿宋"/>
          <w:b/>
          <w:bCs/>
          <w:color w:val="auto"/>
          <w:sz w:val="24"/>
          <w:highlight w:val="none"/>
          <w:lang w:eastAsia="zh-CN"/>
        </w:rPr>
        <w:t>）</w:t>
      </w:r>
      <w:r>
        <w:rPr>
          <w:rFonts w:hint="eastAsia" w:ascii="仿宋" w:hAnsi="仿宋" w:eastAsia="仿宋" w:cs="仿宋"/>
          <w:color w:val="auto"/>
          <w:sz w:val="24"/>
          <w:highlight w:val="none"/>
        </w:rPr>
        <w:t>。本项目中小企业划分标准</w:t>
      </w:r>
      <w:r>
        <w:rPr>
          <w:rFonts w:hint="eastAsia" w:ascii="仿宋" w:hAnsi="仿宋" w:eastAsia="仿宋" w:cs="仿宋"/>
          <w:b/>
          <w:bCs/>
          <w:color w:val="auto"/>
          <w:sz w:val="24"/>
          <w:highlight w:val="none"/>
        </w:rPr>
        <w:t>所属行业为</w:t>
      </w:r>
      <w:r>
        <w:rPr>
          <w:rFonts w:hint="eastAsia" w:ascii="仿宋" w:hAnsi="仿宋" w:eastAsia="仿宋" w:cs="仿宋"/>
          <w:b/>
          <w:bCs/>
          <w:color w:val="auto"/>
          <w:sz w:val="24"/>
          <w:highlight w:val="none"/>
          <w:lang w:eastAsia="zh-CN"/>
        </w:rPr>
        <w:t>：</w:t>
      </w:r>
      <w:r>
        <w:rPr>
          <w:rFonts w:hint="eastAsia" w:ascii="仿宋" w:hAnsi="仿宋" w:eastAsia="仿宋" w:cs="仿宋"/>
          <w:color w:val="auto"/>
          <w:kern w:val="2"/>
          <w:sz w:val="24"/>
          <w:szCs w:val="24"/>
          <w:highlight w:val="none"/>
          <w:lang w:val="en-US" w:eastAsia="zh-CN" w:bidi="ar"/>
        </w:rPr>
        <w:t>其他未列明行业</w:t>
      </w:r>
      <w:r>
        <w:rPr>
          <w:rFonts w:hint="eastAsia" w:ascii="仿宋" w:hAnsi="仿宋" w:eastAsia="仿宋" w:cs="仿宋"/>
          <w:color w:val="auto"/>
          <w:sz w:val="24"/>
          <w:szCs w:val="24"/>
          <w:highlight w:val="none"/>
          <w:lang w:eastAsia="zh-CN"/>
        </w:rPr>
        <w:t>。</w:t>
      </w:r>
    </w:p>
    <w:p>
      <w:pPr>
        <w:spacing w:line="360" w:lineRule="auto"/>
        <w:ind w:firstLine="486" w:firstLineChars="200"/>
        <w:rPr>
          <w:rFonts w:hint="eastAsia" w:ascii="仿宋" w:hAnsi="仿宋" w:eastAsia="仿宋" w:cs="仿宋"/>
          <w:b/>
          <w:bCs/>
          <w:color w:val="auto"/>
          <w:sz w:val="24"/>
          <w:highlight w:val="none"/>
          <w:lang w:val="zh-CN"/>
        </w:rPr>
      </w:pPr>
      <w:r>
        <w:rPr>
          <w:rFonts w:hint="eastAsia" w:ascii="仿宋" w:hAnsi="仿宋" w:eastAsia="仿宋" w:cs="仿宋"/>
          <w:color w:val="auto"/>
          <w:sz w:val="24"/>
          <w:highlight w:val="none"/>
          <w:lang w:val="en-US" w:eastAsia="zh-CN"/>
        </w:rPr>
        <w:t>7.已在医院办公室报名。</w:t>
      </w:r>
    </w:p>
    <w:p>
      <w:pPr>
        <w:spacing w:line="360" w:lineRule="auto"/>
        <w:ind w:firstLine="486"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响应供应商必须满足以上资格要求并提供证明材料，如出现对任意一条不满足的，评审小组有权决定是否响应有效。</w:t>
      </w:r>
    </w:p>
    <w:p>
      <w:pPr>
        <w:autoSpaceDE w:val="0"/>
        <w:autoSpaceDN w:val="0"/>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pPr>
        <w:numPr>
          <w:ilvl w:val="0"/>
          <w:numId w:val="0"/>
        </w:numPr>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本采购项目中标注★号的内容为实质性要求和条件，如果响应供应商所比选货物、服务与具体要求存在不响应或者负偏离，在符合性审查时将不予通过，响应无效。</w:t>
      </w:r>
    </w:p>
    <w:p>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pPr>
        <w:keepNext w:val="0"/>
        <w:keepLines w:val="0"/>
        <w:pageBreakBefore w:val="0"/>
        <w:widowControl w:val="0"/>
        <w:kinsoku/>
        <w:wordWrap/>
        <w:overflowPunct/>
        <w:topLinePunct w:val="0"/>
        <w:autoSpaceDE w:val="0"/>
        <w:autoSpaceDN w:val="0"/>
        <w:bidi w:val="0"/>
        <w:adjustRightInd/>
        <w:spacing w:line="400" w:lineRule="exact"/>
        <w:ind w:firstLine="486"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三、</w:t>
      </w:r>
      <w:r>
        <w:rPr>
          <w:rFonts w:hint="eastAsia" w:ascii="仿宋" w:hAnsi="仿宋" w:eastAsia="仿宋" w:cs="仿宋"/>
          <w:b/>
          <w:color w:val="auto"/>
          <w:sz w:val="24"/>
          <w:highlight w:val="none"/>
          <w:lang w:val="en-US" w:eastAsia="zh-CN"/>
        </w:rPr>
        <w:t>项目概况</w:t>
      </w:r>
    </w:p>
    <w:p>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为充分保障门诊楼手术室洁净空调系统的稳定安全高效运行，综合考虑医院现状及未来的发展规划，拟对医院3楼手术室洁净空调关联的五楼天面模块机组压缩机进行更换</w:t>
      </w:r>
      <w:r>
        <w:rPr>
          <w:rFonts w:hint="eastAsia" w:ascii="仿宋" w:hAnsi="仿宋" w:eastAsia="仿宋" w:cs="仿宋"/>
          <w:b w:val="0"/>
          <w:bCs w:val="0"/>
          <w:strike w:val="0"/>
          <w:dstrike w:val="0"/>
          <w:color w:val="auto"/>
          <w:sz w:val="24"/>
          <w:highlight w:val="none"/>
          <w:lang w:val="en-US" w:eastAsia="zh-CN"/>
        </w:rPr>
        <w:t>，对</w:t>
      </w:r>
      <w:r>
        <w:rPr>
          <w:rFonts w:hint="eastAsia" w:ascii="仿宋" w:hAnsi="仿宋" w:eastAsia="仿宋" w:cs="仿宋"/>
          <w:b w:val="0"/>
          <w:bCs w:val="0"/>
          <w:color w:val="auto"/>
          <w:sz w:val="24"/>
          <w:highlight w:val="none"/>
          <w:lang w:val="en-US" w:eastAsia="zh-CN"/>
        </w:rPr>
        <w:t>天面冷冻管保温棉失效进行更换。采购专业供应商进行安装。</w:t>
      </w:r>
    </w:p>
    <w:p>
      <w:pPr>
        <w:autoSpaceDE w:val="0"/>
        <w:autoSpaceDN w:val="0"/>
        <w:spacing w:line="360" w:lineRule="auto"/>
        <w:ind w:firstLine="486" w:firstLineChars="200"/>
        <w:rPr>
          <w:rFonts w:hint="default"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w:t>
      </w:r>
      <w:r>
        <w:rPr>
          <w:rFonts w:hint="eastAsia" w:ascii="仿宋" w:hAnsi="仿宋" w:eastAsia="仿宋" w:cs="仿宋"/>
          <w:b w:val="0"/>
          <w:bCs w:val="0"/>
          <w:color w:val="auto"/>
          <w:sz w:val="24"/>
          <w:highlight w:val="none"/>
          <w:u w:val="none" w:color="auto"/>
        </w:rPr>
        <w:t>项目</w:t>
      </w:r>
      <w:r>
        <w:rPr>
          <w:rFonts w:hint="eastAsia" w:ascii="仿宋" w:hAnsi="仿宋" w:eastAsia="仿宋" w:cs="仿宋"/>
          <w:b w:val="0"/>
          <w:bCs w:val="0"/>
          <w:color w:val="auto"/>
          <w:sz w:val="24"/>
          <w:highlight w:val="none"/>
          <w:u w:val="none" w:color="auto"/>
          <w:lang w:val="zh-CN"/>
        </w:rPr>
        <w:t>编号：</w:t>
      </w:r>
      <w:r>
        <w:rPr>
          <w:rFonts w:hint="eastAsia" w:ascii="仿宋" w:hAnsi="仿宋" w:eastAsia="仿宋" w:cs="仿宋"/>
          <w:b w:val="0"/>
          <w:bCs w:val="0"/>
          <w:color w:val="auto"/>
          <w:sz w:val="24"/>
          <w:highlight w:val="none"/>
          <w:u w:val="none" w:color="auto"/>
          <w:lang w:eastAsia="zh-CN"/>
        </w:rPr>
        <w:t>ZCB-YN-2025024</w:t>
      </w:r>
    </w:p>
    <w:p>
      <w:pPr>
        <w:autoSpaceDE w:val="0"/>
        <w:autoSpaceDN w:val="0"/>
        <w:spacing w:line="360" w:lineRule="auto"/>
        <w:ind w:firstLine="486"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w:t>
      </w:r>
      <w:r>
        <w:rPr>
          <w:rFonts w:hint="eastAsia" w:ascii="仿宋" w:hAnsi="仿宋" w:eastAsia="仿宋" w:cs="仿宋"/>
          <w:b w:val="0"/>
          <w:bCs w:val="0"/>
          <w:color w:val="auto"/>
          <w:sz w:val="24"/>
          <w:highlight w:val="none"/>
          <w:u w:val="none" w:color="auto"/>
          <w:lang w:val="zh-CN" w:eastAsia="zh-CN"/>
        </w:rPr>
        <w:t>项目名称：</w:t>
      </w:r>
      <w:r>
        <w:rPr>
          <w:rFonts w:hint="eastAsia" w:ascii="仿宋" w:hAnsi="仿宋" w:eastAsia="仿宋" w:cs="仿宋"/>
          <w:color w:val="auto"/>
          <w:sz w:val="24"/>
          <w:highlight w:val="none"/>
          <w:lang w:eastAsia="zh-CN"/>
        </w:rPr>
        <w:t>惠州市第一妇幼保健院更换门诊楼五楼天面模块机机组压缩机及保温棉</w:t>
      </w:r>
    </w:p>
    <w:p>
      <w:pPr>
        <w:autoSpaceDE w:val="0"/>
        <w:autoSpaceDN w:val="0"/>
        <w:spacing w:line="360" w:lineRule="auto"/>
        <w:ind w:firstLine="486" w:firstLineChars="200"/>
        <w:rPr>
          <w:rFonts w:hint="default"/>
          <w:color w:val="auto"/>
          <w:lang w:val="en-US" w:eastAsia="zh-CN"/>
        </w:rPr>
      </w:pPr>
      <w:r>
        <w:rPr>
          <w:rFonts w:hint="eastAsia" w:ascii="仿宋" w:hAnsi="仿宋" w:eastAsia="仿宋" w:cs="仿宋"/>
          <w:b w:val="0"/>
          <w:bCs w:val="0"/>
          <w:color w:val="auto"/>
          <w:sz w:val="24"/>
          <w:highlight w:val="none"/>
          <w:u w:val="none" w:color="auto"/>
          <w:lang w:val="en-US" w:eastAsia="zh-CN"/>
        </w:rPr>
        <w:t>3.预算金额（最高限价）</w:t>
      </w:r>
      <w:r>
        <w:rPr>
          <w:rFonts w:hint="eastAsia" w:ascii="仿宋" w:hAnsi="仿宋" w:eastAsia="仿宋" w:cs="仿宋"/>
          <w:b w:val="0"/>
          <w:bCs w:val="0"/>
          <w:color w:val="auto"/>
          <w:sz w:val="24"/>
          <w:highlight w:val="none"/>
          <w:u w:val="none" w:color="auto"/>
          <w:lang w:val="zh-CN" w:eastAsia="zh-CN"/>
        </w:rPr>
        <w:t>：</w:t>
      </w:r>
      <w:r>
        <w:rPr>
          <w:rFonts w:hint="eastAsia" w:ascii="仿宋" w:hAnsi="仿宋" w:eastAsia="仿宋" w:cs="仿宋"/>
          <w:b w:val="0"/>
          <w:bCs w:val="0"/>
          <w:color w:val="auto"/>
          <w:sz w:val="24"/>
          <w:highlight w:val="none"/>
          <w:u w:val="none" w:color="auto"/>
          <w:lang w:val="en-US" w:eastAsia="zh-CN"/>
        </w:rPr>
        <w:t>¥108000.00</w:t>
      </w:r>
      <w:r>
        <w:rPr>
          <w:rFonts w:hint="eastAsia" w:ascii="仿宋" w:hAnsi="仿宋" w:eastAsia="仿宋" w:cs="仿宋"/>
          <w:b w:val="0"/>
          <w:bCs w:val="0"/>
          <w:color w:val="auto"/>
          <w:sz w:val="24"/>
          <w:highlight w:val="none"/>
          <w:u w:val="none" w:color="auto"/>
          <w:lang w:val="zh-CN" w:eastAsia="zh-CN"/>
        </w:rPr>
        <w:t>元。</w:t>
      </w:r>
    </w:p>
    <w:p>
      <w:pPr>
        <w:numPr>
          <w:ilvl w:val="0"/>
          <w:numId w:val="0"/>
        </w:numPr>
        <w:spacing w:line="360" w:lineRule="auto"/>
        <w:ind w:firstLine="486"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四、服务要求</w:t>
      </w:r>
    </w:p>
    <w:p>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1.对采购人3楼手术室洁净空调更换4号、13号及15号主机压缩机,确保设备正常运行,减少机组超负荷运行。拆除原破损的保温棉，对风冷模块机组支管采用 30MM 厚橡塑保温做单层保温处理。且所有管道做铝皮保护，以提高保温寿命和耐腐蚀性能，保证3楼手术室洁净空调的正常运行。</w:t>
      </w:r>
    </w:p>
    <w:p>
      <w:pPr>
        <w:pStyle w:val="8"/>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2.所需更换配件均要求为</w:t>
      </w:r>
      <w:r>
        <w:rPr>
          <w:rFonts w:hint="eastAsia" w:ascii="仿宋" w:hAnsi="仿宋" w:eastAsia="仿宋" w:cs="仿宋"/>
          <w:color w:val="auto"/>
          <w:sz w:val="24"/>
          <w:highlight w:val="none"/>
          <w:lang w:eastAsia="zh-CN"/>
        </w:rPr>
        <w:t>欧科</w:t>
      </w:r>
      <w:r>
        <w:rPr>
          <w:rFonts w:hint="eastAsia" w:ascii="仿宋" w:hAnsi="仿宋" w:eastAsia="仿宋" w:cs="仿宋"/>
          <w:b w:val="0"/>
          <w:bCs w:val="0"/>
          <w:color w:val="auto"/>
          <w:sz w:val="24"/>
          <w:highlight w:val="none"/>
          <w:lang w:val="en-US" w:eastAsia="zh-CN"/>
        </w:rPr>
        <w:t>原厂配件，并提供由厂家出具的产品出货证明等资料，其他均符合国家相关法律法规规定的质量要求。</w:t>
      </w:r>
    </w:p>
    <w:p>
      <w:pPr>
        <w:numPr>
          <w:ilvl w:val="0"/>
          <w:numId w:val="0"/>
        </w:numPr>
        <w:spacing w:line="360" w:lineRule="auto"/>
        <w:ind w:firstLine="486" w:firstLineChars="200"/>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服务货物清单</w:t>
      </w:r>
    </w:p>
    <w:tbl>
      <w:tblPr>
        <w:tblStyle w:val="18"/>
        <w:tblW w:w="7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096"/>
        <w:gridCol w:w="1436"/>
        <w:gridCol w:w="117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85" w:type="dxa"/>
            <w:noWrap w:val="0"/>
            <w:vAlign w:val="center"/>
          </w:tcPr>
          <w:p>
            <w:pPr>
              <w:jc w:val="center"/>
              <w:rPr>
                <w:rFonts w:hint="eastAsia"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序号</w:t>
            </w:r>
          </w:p>
        </w:tc>
        <w:tc>
          <w:tcPr>
            <w:tcW w:w="3096" w:type="dxa"/>
            <w:noWrap w:val="0"/>
            <w:vAlign w:val="center"/>
          </w:tcPr>
          <w:p>
            <w:pPr>
              <w:jc w:val="center"/>
              <w:rPr>
                <w:rFonts w:hint="eastAsia"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货物/服务名称</w:t>
            </w:r>
          </w:p>
        </w:tc>
        <w:tc>
          <w:tcPr>
            <w:tcW w:w="1436" w:type="dxa"/>
            <w:noWrap w:val="0"/>
            <w:vAlign w:val="center"/>
          </w:tcPr>
          <w:p>
            <w:pPr>
              <w:jc w:val="center"/>
              <w:rPr>
                <w:rFonts w:hint="eastAsia"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规格型号</w:t>
            </w:r>
          </w:p>
        </w:tc>
        <w:tc>
          <w:tcPr>
            <w:tcW w:w="1170" w:type="dxa"/>
            <w:noWrap w:val="0"/>
            <w:vAlign w:val="center"/>
          </w:tcPr>
          <w:p>
            <w:pPr>
              <w:jc w:val="center"/>
              <w:rPr>
                <w:rFonts w:hint="eastAsia"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数量</w:t>
            </w:r>
          </w:p>
        </w:tc>
        <w:tc>
          <w:tcPr>
            <w:tcW w:w="975" w:type="dxa"/>
            <w:noWrap w:val="0"/>
            <w:vAlign w:val="center"/>
          </w:tcPr>
          <w:p>
            <w:pPr>
              <w:jc w:val="center"/>
              <w:rPr>
                <w:rFonts w:hint="eastAsia"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5" w:type="dxa"/>
            <w:noWrap w:val="0"/>
            <w:vAlign w:val="center"/>
          </w:tcPr>
          <w:p>
            <w:pPr>
              <w:ind w:left="0" w:leftChars="0" w:right="0" w:rightChars="0"/>
              <w:jc w:val="center"/>
              <w:rPr>
                <w:rFonts w:hint="eastAsia" w:ascii="仿宋" w:hAnsi="仿宋" w:eastAsia="仿宋" w:cs="仿宋"/>
                <w:b w:val="0"/>
                <w:bCs w:val="0"/>
                <w:color w:val="auto"/>
                <w:sz w:val="24"/>
                <w:szCs w:val="24"/>
                <w:u w:val="none"/>
                <w:vertAlign w:val="baseline"/>
                <w:lang w:val="en-US" w:eastAsia="zh-CN" w:bidi="zh-CN"/>
              </w:rPr>
            </w:pPr>
            <w:r>
              <w:rPr>
                <w:rFonts w:hint="eastAsia" w:ascii="仿宋" w:hAnsi="仿宋" w:eastAsia="仿宋" w:cs="仿宋"/>
                <w:b w:val="0"/>
                <w:bCs w:val="0"/>
                <w:color w:val="auto"/>
                <w:sz w:val="24"/>
                <w:szCs w:val="24"/>
                <w:u w:val="none"/>
                <w:vertAlign w:val="baseline"/>
                <w:lang w:val="en-US" w:eastAsia="zh-CN"/>
              </w:rPr>
              <w:t>1</w:t>
            </w:r>
          </w:p>
        </w:tc>
        <w:tc>
          <w:tcPr>
            <w:tcW w:w="30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（原装）压缩机</w:t>
            </w:r>
          </w:p>
        </w:tc>
        <w:tc>
          <w:tcPr>
            <w:tcW w:w="1436" w:type="dxa"/>
            <w:noWrap w:val="0"/>
            <w:vAlign w:val="center"/>
          </w:tcPr>
          <w:p>
            <w:pPr>
              <w:pStyle w:val="8"/>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SH140A4ALC</w:t>
            </w:r>
          </w:p>
        </w:tc>
        <w:tc>
          <w:tcPr>
            <w:tcW w:w="1170"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w:t>
            </w:r>
          </w:p>
        </w:tc>
        <w:tc>
          <w:tcPr>
            <w:tcW w:w="975"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1</w:t>
            </w:r>
          </w:p>
        </w:tc>
        <w:tc>
          <w:tcPr>
            <w:tcW w:w="30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平行主管道保温</w:t>
            </w:r>
          </w:p>
        </w:tc>
        <w:tc>
          <w:tcPr>
            <w:tcW w:w="1436"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iCs w:val="0"/>
                <w:color w:val="auto"/>
                <w:kern w:val="0"/>
                <w:sz w:val="22"/>
                <w:szCs w:val="22"/>
                <w:u w:val="none"/>
                <w:lang w:val="en-US" w:eastAsia="zh-CN" w:bidi="ar"/>
              </w:rPr>
              <w:t>25mm*2层</w:t>
            </w:r>
          </w:p>
        </w:tc>
        <w:tc>
          <w:tcPr>
            <w:tcW w:w="1170"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170</w:t>
            </w:r>
          </w:p>
        </w:tc>
        <w:tc>
          <w:tcPr>
            <w:tcW w:w="975"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2</w:t>
            </w:r>
          </w:p>
        </w:tc>
        <w:tc>
          <w:tcPr>
            <w:tcW w:w="30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阀门及配件保温</w:t>
            </w:r>
          </w:p>
        </w:tc>
        <w:tc>
          <w:tcPr>
            <w:tcW w:w="1436"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28</w:t>
            </w:r>
          </w:p>
        </w:tc>
        <w:tc>
          <w:tcPr>
            <w:tcW w:w="975"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3</w:t>
            </w:r>
          </w:p>
        </w:tc>
        <w:tc>
          <w:tcPr>
            <w:tcW w:w="30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保温专用胶水</w:t>
            </w:r>
          </w:p>
        </w:tc>
        <w:tc>
          <w:tcPr>
            <w:tcW w:w="1436"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w:t>
            </w:r>
          </w:p>
        </w:tc>
        <w:tc>
          <w:tcPr>
            <w:tcW w:w="975"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4</w:t>
            </w:r>
          </w:p>
        </w:tc>
        <w:tc>
          <w:tcPr>
            <w:tcW w:w="30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管道铝皮保护</w:t>
            </w:r>
          </w:p>
        </w:tc>
        <w:tc>
          <w:tcPr>
            <w:tcW w:w="1436"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170</w:t>
            </w:r>
          </w:p>
        </w:tc>
        <w:tc>
          <w:tcPr>
            <w:tcW w:w="975"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5" w:type="dxa"/>
            <w:noWrap w:val="0"/>
            <w:vAlign w:val="center"/>
          </w:tcPr>
          <w:p>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5</w:t>
            </w:r>
          </w:p>
        </w:tc>
        <w:tc>
          <w:tcPr>
            <w:tcW w:w="30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阀门及配件铝皮保护</w:t>
            </w:r>
          </w:p>
        </w:tc>
        <w:tc>
          <w:tcPr>
            <w:tcW w:w="1436"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28</w:t>
            </w:r>
          </w:p>
        </w:tc>
        <w:tc>
          <w:tcPr>
            <w:tcW w:w="975"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5" w:type="dxa"/>
            <w:noWrap w:val="0"/>
            <w:vAlign w:val="center"/>
          </w:tcPr>
          <w:p>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6</w:t>
            </w:r>
          </w:p>
        </w:tc>
        <w:tc>
          <w:tcPr>
            <w:tcW w:w="30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i w:val="0"/>
                <w:iCs w:val="0"/>
                <w:color w:val="auto"/>
                <w:kern w:val="0"/>
                <w:sz w:val="22"/>
                <w:szCs w:val="22"/>
                <w:u w:val="none"/>
                <w:lang w:val="en-US" w:eastAsia="zh-CN" w:bidi="ar"/>
              </w:rPr>
              <w:t>拆除旧保温棉和清理杂质</w:t>
            </w:r>
          </w:p>
        </w:tc>
        <w:tc>
          <w:tcPr>
            <w:tcW w:w="1436"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170</w:t>
            </w:r>
          </w:p>
        </w:tc>
        <w:tc>
          <w:tcPr>
            <w:tcW w:w="975"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7</w:t>
            </w:r>
          </w:p>
        </w:tc>
        <w:tc>
          <w:tcPr>
            <w:tcW w:w="30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空调管专用木托</w:t>
            </w:r>
          </w:p>
        </w:tc>
        <w:tc>
          <w:tcPr>
            <w:tcW w:w="1436"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50</w:t>
            </w:r>
          </w:p>
        </w:tc>
        <w:tc>
          <w:tcPr>
            <w:tcW w:w="975"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9</w:t>
            </w:r>
          </w:p>
        </w:tc>
        <w:tc>
          <w:tcPr>
            <w:tcW w:w="30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支管管道保温</w:t>
            </w:r>
          </w:p>
        </w:tc>
        <w:tc>
          <w:tcPr>
            <w:tcW w:w="1436"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30mm</w:t>
            </w:r>
          </w:p>
        </w:tc>
        <w:tc>
          <w:tcPr>
            <w:tcW w:w="1170"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66</w:t>
            </w:r>
          </w:p>
        </w:tc>
        <w:tc>
          <w:tcPr>
            <w:tcW w:w="975"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10</w:t>
            </w:r>
          </w:p>
        </w:tc>
        <w:tc>
          <w:tcPr>
            <w:tcW w:w="30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阀门及配件保温</w:t>
            </w:r>
          </w:p>
        </w:tc>
        <w:tc>
          <w:tcPr>
            <w:tcW w:w="1436"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60</w:t>
            </w:r>
          </w:p>
        </w:tc>
        <w:tc>
          <w:tcPr>
            <w:tcW w:w="975"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11</w:t>
            </w:r>
          </w:p>
        </w:tc>
        <w:tc>
          <w:tcPr>
            <w:tcW w:w="30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保温专用胶水</w:t>
            </w:r>
          </w:p>
        </w:tc>
        <w:tc>
          <w:tcPr>
            <w:tcW w:w="1436"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w:t>
            </w:r>
          </w:p>
        </w:tc>
        <w:tc>
          <w:tcPr>
            <w:tcW w:w="975"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12</w:t>
            </w:r>
          </w:p>
        </w:tc>
        <w:tc>
          <w:tcPr>
            <w:tcW w:w="30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管道铝皮保护</w:t>
            </w:r>
          </w:p>
        </w:tc>
        <w:tc>
          <w:tcPr>
            <w:tcW w:w="1436"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66</w:t>
            </w:r>
          </w:p>
        </w:tc>
        <w:tc>
          <w:tcPr>
            <w:tcW w:w="975"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5" w:type="dxa"/>
            <w:noWrap w:val="0"/>
            <w:vAlign w:val="center"/>
          </w:tcPr>
          <w:p>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13</w:t>
            </w:r>
          </w:p>
        </w:tc>
        <w:tc>
          <w:tcPr>
            <w:tcW w:w="30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阀门及配件铝皮保温</w:t>
            </w:r>
          </w:p>
        </w:tc>
        <w:tc>
          <w:tcPr>
            <w:tcW w:w="1436"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60</w:t>
            </w:r>
          </w:p>
        </w:tc>
        <w:tc>
          <w:tcPr>
            <w:tcW w:w="975"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85" w:type="dxa"/>
            <w:noWrap w:val="0"/>
            <w:vAlign w:val="center"/>
          </w:tcPr>
          <w:p>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14</w:t>
            </w:r>
          </w:p>
        </w:tc>
        <w:tc>
          <w:tcPr>
            <w:tcW w:w="30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拆除旧保温棉和清理杂质</w:t>
            </w:r>
          </w:p>
        </w:tc>
        <w:tc>
          <w:tcPr>
            <w:tcW w:w="1436"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66</w:t>
            </w:r>
          </w:p>
        </w:tc>
        <w:tc>
          <w:tcPr>
            <w:tcW w:w="975" w:type="dxa"/>
            <w:noWrap w:val="0"/>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m</w:t>
            </w:r>
          </w:p>
        </w:tc>
      </w:tr>
    </w:tbl>
    <w:p>
      <w:pPr>
        <w:numPr>
          <w:ilvl w:val="0"/>
          <w:numId w:val="0"/>
        </w:numPr>
        <w:spacing w:line="360" w:lineRule="auto"/>
        <w:ind w:firstLine="486"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3.项目完成后主机可以正常运行，温湿度正常（温度：一般洁净室的温度控制在20℃ - 24℃较为适宜。湿度：相对湿度通常控制在45% - 60%）。</w:t>
      </w:r>
    </w:p>
    <w:p>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4.人员要求</w:t>
      </w:r>
    </w:p>
    <w:p>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（1）项目负责人1名，持有安监部门颁发的《特种作业操作证（制冷与空调作业）》上岗作业证书；</w:t>
      </w:r>
    </w:p>
    <w:p>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（2）安装技术人员1人，持有安监部门颁发的《特种作业操作证（高处作业）》上岗作业证书；</w:t>
      </w:r>
    </w:p>
    <w:p>
      <w:pPr>
        <w:numPr>
          <w:ilvl w:val="0"/>
          <w:numId w:val="0"/>
        </w:numPr>
        <w:spacing w:line="360" w:lineRule="auto"/>
        <w:ind w:firstLine="486" w:firstLineChars="200"/>
        <w:rPr>
          <w:rFonts w:hint="eastAsia" w:ascii="仿宋" w:hAnsi="仿宋" w:eastAsia="仿宋" w:cs="仿宋"/>
          <w:b w:val="0"/>
          <w:bCs w:val="0"/>
          <w:strike/>
          <w:color w:val="auto"/>
          <w:sz w:val="24"/>
          <w:highlight w:val="none"/>
          <w:lang w:val="en-US" w:eastAsia="zh-CN"/>
        </w:rPr>
      </w:pPr>
      <w:r>
        <w:rPr>
          <w:rFonts w:hint="eastAsia" w:ascii="仿宋" w:hAnsi="仿宋" w:eastAsia="仿宋" w:cs="仿宋"/>
          <w:b w:val="0"/>
          <w:bCs w:val="0"/>
          <w:color w:val="auto"/>
          <w:sz w:val="24"/>
          <w:highlight w:val="none"/>
          <w:lang w:val="en-US" w:eastAsia="zh-CN"/>
        </w:rPr>
        <w:t>（3）维修焊接技术人员1人，持有安监部门颁发的《特种作业操作证（融化焊接与热切割作业）》上岗作业证书；</w:t>
      </w:r>
    </w:p>
    <w:p>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5.施工时需要注意的事项：</w:t>
      </w:r>
    </w:p>
    <w:p>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（1）配合医院门诊楼五楼天面天面模块机机组压缩机及保温棉更换安装的进度安排，确保后期正常的设备运行。</w:t>
      </w:r>
    </w:p>
    <w:p>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（2）严格遵守有关安全规定，制定安全措施，保证人员、设备及建筑物内人员的安全，并保护好环境。</w:t>
      </w:r>
    </w:p>
    <w:p>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（3）遵守医院规章制度、遵守医院保密规定。</w:t>
      </w:r>
    </w:p>
    <w:p>
      <w:pPr>
        <w:numPr>
          <w:ilvl w:val="0"/>
          <w:numId w:val="0"/>
        </w:numPr>
        <w:spacing w:line="360" w:lineRule="auto"/>
        <w:ind w:firstLine="486" w:firstLineChars="200"/>
        <w:rPr>
          <w:rFonts w:hint="default" w:ascii="仿宋" w:hAnsi="仿宋" w:eastAsia="仿宋" w:cs="仿宋"/>
          <w:b w:val="0"/>
          <w:bCs w:val="0"/>
          <w:color w:val="auto"/>
          <w:sz w:val="24"/>
          <w:highlight w:val="yellow"/>
          <w:lang w:val="en-US" w:eastAsia="zh-CN"/>
        </w:rPr>
      </w:pPr>
      <w:r>
        <w:rPr>
          <w:rFonts w:hint="eastAsia" w:ascii="仿宋" w:hAnsi="仿宋" w:eastAsia="仿宋" w:cs="仿宋"/>
          <w:b w:val="0"/>
          <w:bCs w:val="0"/>
          <w:color w:val="auto"/>
          <w:sz w:val="24"/>
          <w:highlight w:val="none"/>
          <w:lang w:val="en-US" w:eastAsia="zh-CN"/>
        </w:rPr>
        <w:t>（4）服务态度好，职业道德好。</w:t>
      </w:r>
    </w:p>
    <w:p>
      <w:pPr>
        <w:numPr>
          <w:ilvl w:val="0"/>
          <w:numId w:val="0"/>
        </w:numPr>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五、</w:t>
      </w:r>
      <w:r>
        <w:rPr>
          <w:rFonts w:hint="eastAsia" w:ascii="仿宋" w:hAnsi="仿宋" w:eastAsia="仿宋" w:cs="仿宋"/>
          <w:b/>
          <w:bCs/>
          <w:color w:val="auto"/>
          <w:sz w:val="24"/>
          <w:highlight w:val="none"/>
          <w:lang w:val="zh-CN" w:eastAsia="zh-CN"/>
        </w:rPr>
        <w:t>商务要求</w:t>
      </w:r>
    </w:p>
    <w:p>
      <w:pPr>
        <w:numPr>
          <w:ilvl w:val="0"/>
          <w:numId w:val="0"/>
        </w:numPr>
        <w:spacing w:line="360" w:lineRule="auto"/>
        <w:ind w:firstLine="486"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1.交付时间</w:t>
      </w:r>
    </w:p>
    <w:p>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strike w:val="0"/>
          <w:color w:val="auto"/>
          <w:sz w:val="24"/>
          <w:highlight w:val="none"/>
          <w:lang w:val="en-US" w:eastAsia="zh-CN"/>
        </w:rPr>
        <w:t>签订合同后，</w:t>
      </w:r>
      <w:r>
        <w:rPr>
          <w:rFonts w:hint="eastAsia" w:ascii="仿宋" w:hAnsi="仿宋" w:eastAsia="仿宋" w:cs="仿宋"/>
          <w:b w:val="0"/>
          <w:bCs w:val="0"/>
          <w:color w:val="auto"/>
          <w:sz w:val="24"/>
          <w:highlight w:val="none"/>
          <w:lang w:val="en-US" w:eastAsia="zh-CN"/>
        </w:rPr>
        <w:t>30个工作日全部完成并交付。</w:t>
      </w:r>
    </w:p>
    <w:p>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（2）供应商需按时间要求，合理组织，因供应商原因延误交付时间，每延迟一天扣罚人民币2000元。</w:t>
      </w:r>
    </w:p>
    <w:p>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（3）项目确因不可抗力需要延期的，双方应通过友好协商尽快解决。</w:t>
      </w:r>
    </w:p>
    <w:p>
      <w:pPr>
        <w:numPr>
          <w:ilvl w:val="0"/>
          <w:numId w:val="0"/>
        </w:numPr>
        <w:spacing w:line="360" w:lineRule="auto"/>
        <w:ind w:firstLine="486"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2.服务地点：惠州市第一妇幼保健院采购人指定地点</w:t>
      </w:r>
    </w:p>
    <w:p>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3.报价要求：</w:t>
      </w:r>
    </w:p>
    <w:p>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zh-CN" w:eastAsia="zh-CN"/>
        </w:rPr>
        <w:t>（1）报价方式为整体项目</w:t>
      </w:r>
      <w:r>
        <w:rPr>
          <w:rFonts w:hint="eastAsia" w:ascii="仿宋" w:hAnsi="仿宋" w:eastAsia="仿宋" w:cs="仿宋"/>
          <w:b w:val="0"/>
          <w:bCs w:val="0"/>
          <w:color w:val="auto"/>
          <w:sz w:val="24"/>
          <w:highlight w:val="none"/>
          <w:lang w:val="en-US" w:eastAsia="zh-CN"/>
        </w:rPr>
        <w:t>总价报价</w:t>
      </w:r>
      <w:r>
        <w:rPr>
          <w:rFonts w:hint="eastAsia" w:ascii="仿宋" w:hAnsi="仿宋" w:eastAsia="仿宋" w:cs="仿宋"/>
          <w:b w:val="0"/>
          <w:bCs w:val="0"/>
          <w:color w:val="auto"/>
          <w:sz w:val="24"/>
          <w:highlight w:val="none"/>
          <w:lang w:val="zh-CN" w:eastAsia="zh-CN"/>
        </w:rPr>
        <w:t>。</w:t>
      </w:r>
    </w:p>
    <w:p>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（2）报价中必须包括服务过程产生的但不限于人工、工具使用、各项税费及合同实施过程中的应预见和不可预见费用等完成合同规定责任和义务、达到合同目的的一切费用及企业利润。</w:t>
      </w:r>
    </w:p>
    <w:p>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（3）供应商必须自行考虑本项目在实施期间的一切可能产生的费用。在合同执行过程中，采购人将不再另行支付与本项目相关的任何费用（非本项目要求的其他内容除外）。</w:t>
      </w:r>
    </w:p>
    <w:p>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4.付款方式</w:t>
      </w:r>
    </w:p>
    <w:p>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（1）工程完成后，经甲方验收合格后30天内支付合同总金额。</w:t>
      </w:r>
    </w:p>
    <w:p>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（2）乙方必须向甲方出具合法有效完整的完税发票及凭证进行支付结算。</w:t>
      </w:r>
    </w:p>
    <w:p>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（3）支付方式采用银行转账支付。</w:t>
      </w:r>
    </w:p>
    <w:p>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4.验收方式</w:t>
      </w:r>
    </w:p>
    <w:p>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由经办部门牵头组织验收小组对照项目内容要求进行验收。</w:t>
      </w:r>
    </w:p>
    <w:p>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验收流程：资料准备：施工单位需提供保温工程的施工方案、材料质量合格证明、检验报告、验收记录等。人员组织：成立验收小组，成员包括建设单位、施工单位、物业单位等相关人员，明确各人员的职责，准备好检测工具，如温度计、测厚仪、量尺等，用于对保温工程的各项指标进行检测。</w:t>
      </w:r>
    </w:p>
    <w:p>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（2）验收标准：根据门诊楼五楼天面天面模块机机组压缩机及保温棉更换，设备稳定正常运行。</w:t>
      </w:r>
    </w:p>
    <w:p>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5.其他要求</w:t>
      </w:r>
    </w:p>
    <w:p>
      <w:pPr>
        <w:numPr>
          <w:ilvl w:val="0"/>
          <w:numId w:val="0"/>
        </w:numPr>
        <w:spacing w:line="360" w:lineRule="auto"/>
        <w:ind w:firstLine="486"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（1）</w:t>
      </w:r>
      <w:r>
        <w:rPr>
          <w:rFonts w:hint="eastAsia" w:ascii="仿宋" w:hAnsi="仿宋" w:eastAsia="仿宋" w:cs="仿宋"/>
          <w:color w:val="auto"/>
          <w:kern w:val="2"/>
          <w:sz w:val="24"/>
          <w:szCs w:val="24"/>
          <w:highlight w:val="none"/>
          <w:lang w:val="en-US" w:eastAsia="zh-CN" w:bidi="ar-SA"/>
        </w:rPr>
        <w:t>根据响应供应商提出的实施方案（包括人力投入、进度计划、具体操作、服务便利措施等情况）进行综合评审。</w:t>
      </w:r>
    </w:p>
    <w:p>
      <w:pPr>
        <w:numPr>
          <w:ilvl w:val="0"/>
          <w:numId w:val="0"/>
        </w:numPr>
        <w:spacing w:line="360" w:lineRule="auto"/>
        <w:ind w:firstLine="486"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（2）根据响应供应商提供的培训与管理方案（包括项目培训计划、安全管理及高空作业安全培训计划、实施细则等情况）进行综合评审。</w:t>
      </w:r>
    </w:p>
    <w:p>
      <w:pPr>
        <w:keepNext w:val="0"/>
        <w:keepLines w:val="0"/>
        <w:widowControl/>
        <w:numPr>
          <w:ilvl w:val="0"/>
          <w:numId w:val="0"/>
        </w:numPr>
        <w:suppressLineNumbers w:val="0"/>
        <w:spacing w:before="0" w:beforeAutospacing="0" w:after="0" w:afterAutospacing="0" w:line="360" w:lineRule="auto"/>
        <w:ind w:left="0" w:right="0" w:firstLine="486"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（3）根据响应供应商提供的突发事件处理方案（包括人员到位时间、处置措施等情况）进行综合评审。</w:t>
      </w:r>
    </w:p>
    <w:p>
      <w:pPr>
        <w:numPr>
          <w:ilvl w:val="0"/>
          <w:numId w:val="0"/>
        </w:numPr>
        <w:spacing w:line="360" w:lineRule="auto"/>
        <w:ind w:firstLine="486"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（4）根据响应供应商提供的项目质保期限在符合采购文件要求的质保期基础上承诺期限进行评分。</w:t>
      </w:r>
    </w:p>
    <w:p>
      <w:pPr>
        <w:numPr>
          <w:ilvl w:val="0"/>
          <w:numId w:val="0"/>
        </w:numPr>
        <w:spacing w:line="360" w:lineRule="auto"/>
        <w:ind w:firstLine="486"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（5）根据响应供应商提供针对本项目质量控制和安全保障措施是否合理，编制内容是否符合技术要求等内容进行对比评审。</w:t>
      </w:r>
    </w:p>
    <w:p>
      <w:pPr>
        <w:numPr>
          <w:ilvl w:val="0"/>
          <w:numId w:val="0"/>
        </w:numPr>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（6）</w:t>
      </w:r>
      <w:r>
        <w:rPr>
          <w:rFonts w:hint="eastAsia" w:ascii="仿宋" w:hAnsi="仿宋" w:eastAsia="仿宋" w:cs="仿宋"/>
          <w:color w:val="auto"/>
          <w:kern w:val="2"/>
          <w:sz w:val="24"/>
          <w:highlight w:val="none"/>
          <w:lang w:val="en-US"/>
        </w:rPr>
        <w:t>根据</w:t>
      </w:r>
      <w:r>
        <w:rPr>
          <w:rFonts w:hint="eastAsia" w:ascii="仿宋" w:hAnsi="仿宋" w:eastAsia="仿宋" w:cs="仿宋"/>
          <w:color w:val="auto"/>
          <w:kern w:val="2"/>
          <w:sz w:val="24"/>
          <w:highlight w:val="none"/>
          <w:lang w:val="en-US" w:eastAsia="zh-CN"/>
        </w:rPr>
        <w:t>响应</w:t>
      </w:r>
      <w:r>
        <w:rPr>
          <w:rFonts w:hint="eastAsia" w:ascii="仿宋" w:hAnsi="仿宋" w:eastAsia="仿宋" w:cs="仿宋"/>
          <w:color w:val="auto"/>
          <w:kern w:val="2"/>
          <w:sz w:val="24"/>
          <w:highlight w:val="none"/>
          <w:lang w:val="en-US"/>
        </w:rPr>
        <w:t>供应商</w:t>
      </w:r>
      <w:r>
        <w:rPr>
          <w:rFonts w:hint="eastAsia" w:ascii="仿宋" w:hAnsi="仿宋" w:eastAsia="仿宋" w:cs="仿宋"/>
          <w:color w:val="auto"/>
          <w:kern w:val="2"/>
          <w:sz w:val="24"/>
          <w:highlight w:val="none"/>
          <w:lang w:val="en-US" w:eastAsia="zh-CN"/>
        </w:rPr>
        <w:t>提供</w:t>
      </w:r>
      <w:r>
        <w:rPr>
          <w:rFonts w:hint="eastAsia" w:ascii="仿宋" w:hAnsi="仿宋" w:eastAsia="仿宋" w:cs="仿宋"/>
          <w:color w:val="auto"/>
          <w:kern w:val="2"/>
          <w:sz w:val="24"/>
          <w:highlight w:val="none"/>
          <w:lang w:val="en-US"/>
        </w:rPr>
        <w:t>20</w:t>
      </w:r>
      <w:r>
        <w:rPr>
          <w:rFonts w:hint="eastAsia" w:ascii="仿宋" w:hAnsi="仿宋" w:eastAsia="仿宋" w:cs="仿宋"/>
          <w:color w:val="auto"/>
          <w:kern w:val="0"/>
          <w:sz w:val="24"/>
          <w:highlight w:val="none"/>
          <w:lang w:val="en-US" w:eastAsia="zh-CN"/>
        </w:rPr>
        <w:t>2</w:t>
      </w:r>
      <w:r>
        <w:rPr>
          <w:rFonts w:hint="default" w:ascii="仿宋" w:hAnsi="仿宋" w:eastAsia="仿宋" w:cs="仿宋"/>
          <w:color w:val="auto"/>
          <w:kern w:val="0"/>
          <w:sz w:val="24"/>
          <w:highlight w:val="none"/>
          <w:lang w:val="en-US" w:eastAsia="zh-CN"/>
        </w:rPr>
        <w:t>2</w:t>
      </w:r>
      <w:r>
        <w:rPr>
          <w:rFonts w:hint="eastAsia" w:ascii="仿宋" w:hAnsi="仿宋" w:eastAsia="仿宋" w:cs="仿宋"/>
          <w:color w:val="auto"/>
          <w:kern w:val="2"/>
          <w:sz w:val="24"/>
          <w:highlight w:val="none"/>
          <w:lang w:val="en-US"/>
        </w:rPr>
        <w:t>年1月1日至今</w:t>
      </w:r>
      <w:r>
        <w:rPr>
          <w:rFonts w:hint="eastAsia" w:ascii="仿宋" w:hAnsi="仿宋" w:eastAsia="仿宋" w:cs="仿宋"/>
          <w:color w:val="auto"/>
          <w:kern w:val="0"/>
          <w:sz w:val="24"/>
          <w:highlight w:val="none"/>
          <w:lang w:val="en-US" w:eastAsia="zh-CN"/>
        </w:rPr>
        <w:t>（以合同签订时间为准）</w:t>
      </w:r>
      <w:r>
        <w:rPr>
          <w:rFonts w:hint="eastAsia" w:ascii="仿宋" w:hAnsi="仿宋" w:eastAsia="仿宋" w:cs="仿宋"/>
          <w:color w:val="auto"/>
          <w:kern w:val="2"/>
          <w:sz w:val="24"/>
          <w:highlight w:val="none"/>
          <w:lang w:val="en-US"/>
        </w:rPr>
        <w:t>的同类项目业绩情况进行评分</w:t>
      </w:r>
    </w:p>
    <w:p>
      <w:pPr>
        <w:numPr>
          <w:ilvl w:val="0"/>
          <w:numId w:val="0"/>
        </w:numPr>
        <w:spacing w:line="360" w:lineRule="auto"/>
        <w:ind w:firstLine="486" w:firstLineChars="200"/>
        <w:rPr>
          <w:rFonts w:hint="eastAsia" w:ascii="仿宋" w:hAnsi="仿宋" w:eastAsia="仿宋" w:cs="仿宋"/>
          <w:color w:val="auto"/>
          <w:kern w:val="2"/>
          <w:sz w:val="24"/>
          <w:szCs w:val="24"/>
          <w:highlight w:val="none"/>
          <w:lang w:val="en-US" w:eastAsia="zh-CN" w:bidi="ar-SA"/>
        </w:rPr>
      </w:pPr>
    </w:p>
    <w:p>
      <w:pPr>
        <w:spacing w:line="360" w:lineRule="auto"/>
        <w:ind w:firstLine="510" w:firstLineChars="210"/>
        <w:rPr>
          <w:rFonts w:hint="eastAsia" w:ascii="仿宋" w:hAnsi="仿宋" w:eastAsia="仿宋" w:cs="仿宋"/>
          <w:color w:val="auto"/>
          <w:sz w:val="24"/>
          <w:highlight w:val="none"/>
          <w:lang w:val="en-US" w:eastAsia="zh-CN"/>
        </w:rPr>
      </w:pPr>
    </w:p>
    <w:p>
      <w:pPr>
        <w:spacing w:line="360" w:lineRule="auto"/>
        <w:ind w:firstLine="510" w:firstLineChars="210"/>
        <w:jc w:val="center"/>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lang w:val="en-US" w:eastAsia="zh-CN"/>
        </w:rPr>
        <w:br w:type="page"/>
      </w:r>
      <w:r>
        <w:rPr>
          <w:rFonts w:hint="eastAsia" w:ascii="仿宋" w:hAnsi="仿宋" w:eastAsia="仿宋" w:cs="仿宋"/>
          <w:b/>
          <w:color w:val="auto"/>
          <w:sz w:val="28"/>
          <w:szCs w:val="28"/>
          <w:highlight w:val="none"/>
        </w:rPr>
        <w:t>第三部分  响应供应商须知</w:t>
      </w:r>
    </w:p>
    <w:p>
      <w:pPr>
        <w:pStyle w:val="13"/>
        <w:adjustRightInd w:val="0"/>
        <w:snapToGrid w:val="0"/>
        <w:spacing w:line="380" w:lineRule="exact"/>
        <w:rPr>
          <w:rFonts w:hint="eastAsia" w:ascii="仿宋" w:hAnsi="仿宋" w:eastAsia="仿宋" w:cs="仿宋"/>
          <w:color w:val="auto"/>
          <w:sz w:val="28"/>
          <w:szCs w:val="28"/>
          <w:highlight w:val="none"/>
        </w:rPr>
      </w:pPr>
    </w:p>
    <w:p>
      <w:pPr>
        <w:pStyle w:val="13"/>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 xml:space="preserve">名词解释         </w:t>
      </w:r>
    </w:p>
    <w:p>
      <w:pPr>
        <w:pStyle w:val="13"/>
        <w:keepNext w:val="0"/>
        <w:keepLines w:val="0"/>
        <w:pageBreakBefore w:val="0"/>
        <w:widowControl/>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1.定义</w:t>
      </w:r>
    </w:p>
    <w:p>
      <w:pPr>
        <w:pStyle w:val="13"/>
        <w:keepNext w:val="0"/>
        <w:keepLines w:val="0"/>
        <w:pageBreakBefore w:val="0"/>
        <w:widowControl/>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none"/>
          <w:lang w:eastAsia="zh-CN"/>
        </w:rPr>
        <w:t>惠州市第一妇幼保健院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是采购活动当事人之一，负责项目的整体规划、技术方案可行性设计论证与实施，作为合同</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（用户）的主体承担质疑回复、履行合同、验收与评价等义务。</w:t>
      </w:r>
    </w:p>
    <w:p>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w:t>
      </w:r>
    </w:p>
    <w:p>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是指符合以下条件的：</w:t>
      </w:r>
    </w:p>
    <w:p>
      <w:pPr>
        <w:pStyle w:val="13"/>
        <w:adjustRightInd w:val="0"/>
        <w:snapToGrid w:val="0"/>
        <w:spacing w:line="360" w:lineRule="auto"/>
        <w:ind w:firstLine="729"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pPr>
        <w:pStyle w:val="13"/>
        <w:adjustRightInd w:val="0"/>
        <w:snapToGrid w:val="0"/>
        <w:spacing w:line="360" w:lineRule="auto"/>
        <w:ind w:firstLine="729"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pPr>
        <w:pStyle w:val="13"/>
        <w:adjustRightInd w:val="0"/>
        <w:snapToGrid w:val="0"/>
        <w:spacing w:line="360" w:lineRule="auto"/>
        <w:ind w:firstLine="729"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w:t>
      </w:r>
      <w:r>
        <w:rPr>
          <w:rFonts w:hint="eastAsia" w:ascii="仿宋" w:hAnsi="仿宋" w:eastAsia="仿宋" w:cs="仿宋"/>
          <w:color w:val="auto"/>
          <w:sz w:val="24"/>
          <w:szCs w:val="24"/>
          <w:highlight w:val="none"/>
          <w:lang w:val="en-US" w:eastAsia="zh-CN"/>
        </w:rPr>
        <w:t>资格性符合性审查（即满足采购条件和要求）</w:t>
      </w:r>
      <w:r>
        <w:rPr>
          <w:rFonts w:hint="eastAsia" w:ascii="仿宋" w:hAnsi="仿宋" w:eastAsia="仿宋" w:cs="仿宋"/>
          <w:color w:val="auto"/>
          <w:sz w:val="24"/>
          <w:szCs w:val="24"/>
          <w:highlight w:val="none"/>
          <w:lang w:val="hr-HR" w:eastAsia="zh-CN"/>
        </w:rPr>
        <w:t>并通过；</w:t>
      </w:r>
    </w:p>
    <w:p>
      <w:pPr>
        <w:pStyle w:val="13"/>
        <w:adjustRightInd w:val="0"/>
        <w:snapToGrid w:val="0"/>
        <w:spacing w:line="360" w:lineRule="auto"/>
        <w:ind w:firstLine="486" w:firstLineChars="200"/>
        <w:rPr>
          <w:rFonts w:hint="eastAsia" w:ascii="仿宋" w:hAnsi="仿宋" w:eastAsia="仿宋" w:cs="仿宋"/>
          <w:color w:val="auto"/>
          <w:sz w:val="24"/>
          <w:szCs w:val="24"/>
          <w:highlight w:val="green"/>
          <w:lang w:val="en-US" w:eastAsia="zh-CN"/>
        </w:rPr>
      </w:pPr>
      <w:r>
        <w:rPr>
          <w:rFonts w:hint="eastAsia" w:ascii="仿宋" w:hAnsi="仿宋" w:eastAsia="仿宋" w:cs="仿宋"/>
          <w:color w:val="auto"/>
          <w:sz w:val="24"/>
          <w:szCs w:val="24"/>
          <w:highlight w:val="green"/>
          <w:lang w:val="en-US" w:eastAsia="zh-CN"/>
        </w:rPr>
        <w:t>（5）</w:t>
      </w:r>
      <w:r>
        <w:rPr>
          <w:rFonts w:hint="eastAsia" w:ascii="仿宋" w:hAnsi="仿宋" w:eastAsia="仿宋" w:cs="仿宋"/>
          <w:color w:val="auto"/>
          <w:sz w:val="24"/>
          <w:szCs w:val="24"/>
          <w:highlight w:val="green"/>
        </w:rPr>
        <w:t>“</w:t>
      </w:r>
      <w:r>
        <w:rPr>
          <w:rFonts w:hint="eastAsia" w:ascii="仿宋" w:hAnsi="仿宋" w:eastAsia="仿宋" w:cs="仿宋"/>
          <w:color w:val="auto"/>
          <w:sz w:val="24"/>
          <w:szCs w:val="24"/>
          <w:highlight w:val="green"/>
          <w:lang w:val="en-US" w:eastAsia="zh-CN"/>
        </w:rPr>
        <w:t>成交</w:t>
      </w:r>
      <w:r>
        <w:rPr>
          <w:rFonts w:hint="eastAsia" w:ascii="仿宋" w:hAnsi="仿宋" w:eastAsia="仿宋" w:cs="仿宋"/>
          <w:color w:val="auto"/>
          <w:sz w:val="24"/>
          <w:szCs w:val="24"/>
          <w:highlight w:val="green"/>
        </w:rPr>
        <w:t>供应商”是指经</w:t>
      </w:r>
      <w:r>
        <w:rPr>
          <w:rFonts w:hint="eastAsia" w:ascii="仿宋" w:hAnsi="仿宋" w:eastAsia="仿宋" w:cs="仿宋"/>
          <w:color w:val="auto"/>
          <w:sz w:val="24"/>
          <w:szCs w:val="24"/>
          <w:highlight w:val="green"/>
          <w:lang w:val="en-US" w:eastAsia="zh-CN"/>
        </w:rPr>
        <w:t>评审小组</w:t>
      </w:r>
      <w:r>
        <w:rPr>
          <w:rFonts w:hint="eastAsia" w:ascii="仿宋" w:hAnsi="仿宋" w:eastAsia="仿宋" w:cs="仿宋"/>
          <w:color w:val="auto"/>
          <w:sz w:val="24"/>
          <w:szCs w:val="24"/>
          <w:highlight w:val="green"/>
        </w:rPr>
        <w:t>评审确定的对</w:t>
      </w:r>
      <w:r>
        <w:rPr>
          <w:rFonts w:hint="eastAsia" w:ascii="仿宋" w:hAnsi="仿宋" w:eastAsia="仿宋" w:cs="仿宋"/>
          <w:color w:val="auto"/>
          <w:sz w:val="24"/>
          <w:szCs w:val="24"/>
          <w:highlight w:val="green"/>
          <w:lang w:val="en-US" w:eastAsia="zh-CN"/>
        </w:rPr>
        <w:t>采购</w:t>
      </w:r>
      <w:r>
        <w:rPr>
          <w:rFonts w:hint="eastAsia" w:ascii="仿宋" w:hAnsi="仿宋" w:eastAsia="仿宋" w:cs="仿宋"/>
          <w:color w:val="auto"/>
          <w:sz w:val="24"/>
          <w:szCs w:val="24"/>
          <w:highlight w:val="green"/>
        </w:rPr>
        <w:t>文件做出实质性响应，</w:t>
      </w:r>
      <w:r>
        <w:rPr>
          <w:rFonts w:hint="eastAsia" w:ascii="仿宋" w:hAnsi="仿宋" w:eastAsia="仿宋" w:cs="仿宋"/>
          <w:color w:val="auto"/>
          <w:sz w:val="24"/>
          <w:szCs w:val="24"/>
          <w:highlight w:val="green"/>
          <w:lang w:eastAsia="zh-CN"/>
        </w:rPr>
        <w:t>按评审结果顺序推荐的成交候选人及采购文件中明确的定标方法，由采购人党委会或（院长办公会）确定的</w:t>
      </w:r>
      <w:r>
        <w:rPr>
          <w:rFonts w:hint="eastAsia" w:ascii="仿宋" w:hAnsi="仿宋" w:eastAsia="仿宋" w:cs="仿宋"/>
          <w:color w:val="auto"/>
          <w:sz w:val="24"/>
          <w:szCs w:val="24"/>
          <w:highlight w:val="green"/>
          <w:lang w:val="en-US" w:eastAsia="zh-CN"/>
        </w:rPr>
        <w:t>响应供应商</w:t>
      </w:r>
      <w:r>
        <w:rPr>
          <w:rFonts w:hint="eastAsia" w:ascii="仿宋" w:hAnsi="仿宋" w:eastAsia="仿宋" w:cs="仿宋"/>
          <w:color w:val="auto"/>
          <w:sz w:val="24"/>
          <w:szCs w:val="24"/>
          <w:highlight w:val="green"/>
        </w:rPr>
        <w:t>。</w:t>
      </w:r>
    </w:p>
    <w:p>
      <w:pPr>
        <w:pStyle w:val="13"/>
        <w:adjustRightInd w:val="0"/>
        <w:snapToGrid w:val="0"/>
        <w:spacing w:line="360" w:lineRule="auto"/>
        <w:ind w:firstLine="486"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w:t>
      </w:r>
      <w:r>
        <w:rPr>
          <w:rFonts w:hint="eastAsia" w:ascii="仿宋" w:hAnsi="仿宋" w:eastAsia="仿宋" w:cs="仿宋"/>
          <w:color w:val="auto"/>
          <w:sz w:val="24"/>
          <w:szCs w:val="24"/>
          <w:highlight w:val="none"/>
        </w:rPr>
        <w:t>文件：是指包括</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公告和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文件及其补充、变更和澄清等一系列文件。</w:t>
      </w:r>
    </w:p>
    <w:p>
      <w:pPr>
        <w:pStyle w:val="13"/>
        <w:adjustRightInd w:val="0"/>
        <w:snapToGrid w:val="0"/>
        <w:spacing w:line="360" w:lineRule="auto"/>
        <w:ind w:firstLine="486"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（7）“响应文件”是指：供应商根据本文件要求，编制包含报价、技术和服务等所有内容的实质性响应文件。</w:t>
      </w:r>
    </w:p>
    <w:p>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合格的货物和服务：</w:t>
      </w:r>
    </w:p>
    <w:p>
      <w:pPr>
        <w:pStyle w:val="13"/>
        <w:keepNext w:val="0"/>
        <w:keepLines w:val="0"/>
        <w:pageBreakBefore w:val="0"/>
        <w:widowControl w:val="0"/>
        <w:kinsoku/>
        <w:wordWrap/>
        <w:overflowPunct/>
        <w:topLinePunct w:val="0"/>
        <w:bidi w:val="0"/>
        <w:adjustRightInd w:val="0"/>
        <w:snapToGrid w:val="0"/>
        <w:spacing w:line="360" w:lineRule="auto"/>
        <w:ind w:firstLine="486"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pPr>
        <w:pStyle w:val="13"/>
        <w:keepNext w:val="0"/>
        <w:keepLines w:val="0"/>
        <w:pageBreakBefore w:val="0"/>
        <w:widowControl w:val="0"/>
        <w:kinsoku/>
        <w:wordWrap/>
        <w:overflowPunct/>
        <w:topLinePunct w:val="0"/>
        <w:bidi w:val="0"/>
        <w:adjustRightInd w:val="0"/>
        <w:snapToGrid w:val="0"/>
        <w:spacing w:line="360" w:lineRule="auto"/>
        <w:ind w:firstLine="486"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val="en-US"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pPr>
        <w:pStyle w:val="13"/>
        <w:adjustRightInd w:val="0"/>
        <w:snapToGrid w:val="0"/>
        <w:spacing w:line="360" w:lineRule="auto"/>
        <w:ind w:firstLine="486" w:firstLineChars="200"/>
        <w:rPr>
          <w:rFonts w:hint="eastAsia" w:ascii="仿宋" w:hAnsi="仿宋" w:eastAsia="仿宋" w:cs="仿宋"/>
          <w:b w:val="0"/>
          <w:bCs w:val="0"/>
          <w:snapToGrid w:val="0"/>
          <w:color w:val="auto"/>
          <w:kern w:val="0"/>
          <w:sz w:val="24"/>
          <w:highlight w:val="none"/>
          <w:u w:val="none"/>
        </w:rPr>
      </w:pPr>
      <w:r>
        <w:rPr>
          <w:rFonts w:hint="eastAsia" w:ascii="仿宋" w:hAnsi="仿宋" w:eastAsia="仿宋" w:cs="仿宋"/>
          <w:b w:val="0"/>
          <w:bCs w:val="0"/>
          <w:snapToGrid w:val="0"/>
          <w:color w:val="auto"/>
          <w:kern w:val="0"/>
          <w:sz w:val="24"/>
          <w:szCs w:val="21"/>
          <w:highlight w:val="none"/>
          <w:u w:val="none"/>
          <w:lang w:val="en-US" w:eastAsia="zh-CN" w:bidi="ar-SA"/>
        </w:rPr>
        <w:t>2</w:t>
      </w:r>
      <w:r>
        <w:rPr>
          <w:rFonts w:hint="eastAsia" w:ascii="仿宋" w:hAnsi="仿宋" w:eastAsia="仿宋" w:cs="仿宋"/>
          <w:b w:val="0"/>
          <w:bCs w:val="0"/>
          <w:snapToGrid w:val="0"/>
          <w:color w:val="auto"/>
          <w:kern w:val="0"/>
          <w:sz w:val="24"/>
          <w:highlight w:val="none"/>
          <w:u w:val="none"/>
          <w:lang w:val="en-US" w:eastAsia="zh-CN"/>
        </w:rPr>
        <w:t>.</w:t>
      </w:r>
      <w:r>
        <w:rPr>
          <w:rFonts w:hint="eastAsia" w:ascii="仿宋" w:hAnsi="仿宋" w:eastAsia="仿宋" w:cs="仿宋"/>
          <w:b w:val="0"/>
          <w:bCs w:val="0"/>
          <w:snapToGrid w:val="0"/>
          <w:color w:val="auto"/>
          <w:kern w:val="0"/>
          <w:sz w:val="24"/>
          <w:highlight w:val="none"/>
          <w:u w:val="none"/>
        </w:rPr>
        <w:t>响应费用：</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b w:val="0"/>
          <w:bCs w:val="0"/>
          <w:snapToGrid w:val="0"/>
          <w:color w:val="auto"/>
          <w:kern w:val="0"/>
          <w:sz w:val="24"/>
          <w:highlight w:val="none"/>
          <w:u w:val="none"/>
        </w:rPr>
        <w:t>应承担所有与准备和参加响应有关的费用。</w:t>
      </w:r>
    </w:p>
    <w:p>
      <w:pPr>
        <w:pStyle w:val="13"/>
        <w:adjustRightInd w:val="0"/>
        <w:snapToGrid w:val="0"/>
        <w:spacing w:line="360" w:lineRule="auto"/>
        <w:ind w:firstLine="486"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.“响应供应商名称”及“</w:t>
      </w:r>
      <w:r>
        <w:rPr>
          <w:rFonts w:hint="eastAsia" w:ascii="仿宋" w:hAnsi="仿宋" w:eastAsia="仿宋" w:cs="仿宋"/>
          <w:snapToGrid w:val="0"/>
          <w:color w:val="auto"/>
          <w:kern w:val="0"/>
          <w:sz w:val="24"/>
          <w:highlight w:val="none"/>
          <w:lang w:eastAsia="zh-CN"/>
        </w:rPr>
        <w:t>盖章</w:t>
      </w:r>
      <w:r>
        <w:rPr>
          <w:rFonts w:hint="eastAsia" w:ascii="仿宋" w:hAnsi="仿宋" w:eastAsia="仿宋" w:cs="仿宋"/>
          <w:snapToGrid w:val="0"/>
          <w:color w:val="auto"/>
          <w:kern w:val="0"/>
          <w:sz w:val="24"/>
          <w:highlight w:val="none"/>
        </w:rPr>
        <w:t>”：在响应文件及相关的其他资料中，涉及“响应供应商名称”的应在对应文件编辑时使用文本录入方式，或在纸质响应文件上进行手写签名或电子印章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pPr>
        <w:pStyle w:val="13"/>
        <w:adjustRightInd w:val="0"/>
        <w:snapToGrid w:val="0"/>
        <w:spacing w:line="360" w:lineRule="auto"/>
        <w:ind w:firstLine="486"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4.</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响应供应商法定代表人</w:t>
      </w:r>
      <w:r>
        <w:rPr>
          <w:rFonts w:hint="eastAsia" w:ascii="仿宋" w:hAnsi="仿宋" w:eastAsia="仿宋" w:cs="仿宋"/>
          <w:snapToGrid w:val="0"/>
          <w:color w:val="auto"/>
          <w:kern w:val="0"/>
          <w:sz w:val="24"/>
          <w:highlight w:val="none"/>
        </w:rPr>
        <w:t>”及“</w:t>
      </w:r>
      <w:r>
        <w:rPr>
          <w:rFonts w:hint="eastAsia" w:ascii="仿宋" w:hAnsi="仿宋" w:eastAsia="仿宋" w:cs="仿宋"/>
          <w:color w:val="auto"/>
          <w:sz w:val="24"/>
          <w:highlight w:val="none"/>
        </w:rPr>
        <w:t>法定代表人授权代表</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响应供应商法定代表人（或法定代表人授权代表）</w:t>
      </w:r>
      <w:r>
        <w:rPr>
          <w:rFonts w:hint="eastAsia" w:ascii="仿宋" w:hAnsi="仿宋" w:eastAsia="仿宋" w:cs="仿宋"/>
          <w:color w:val="auto"/>
          <w:sz w:val="24"/>
          <w:highlight w:val="none"/>
          <w:lang w:eastAsia="zh-CN"/>
        </w:rPr>
        <w:t>”</w:t>
      </w:r>
      <w:r>
        <w:rPr>
          <w:rFonts w:hint="eastAsia" w:ascii="仿宋" w:hAnsi="仿宋" w:eastAsia="仿宋" w:cs="仿宋"/>
          <w:snapToGrid w:val="0"/>
          <w:color w:val="auto"/>
          <w:kern w:val="0"/>
          <w:sz w:val="24"/>
          <w:highlight w:val="none"/>
        </w:rPr>
        <w:t>：在响应文件及相关的其他资料中，涉及“</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snapToGrid w:val="0"/>
          <w:color w:val="auto"/>
          <w:kern w:val="0"/>
          <w:sz w:val="24"/>
          <w:highlight w:val="none"/>
        </w:rPr>
        <w:t>代表签字”或“授权代表”应在响应文件编辑时使用文本录入方式，或在纸质响应文件上进行手写签名或电子印章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pPr>
        <w:pStyle w:val="13"/>
        <w:adjustRightInd w:val="0"/>
        <w:snapToGrid w:val="0"/>
        <w:spacing w:line="360" w:lineRule="auto"/>
        <w:ind w:firstLine="486"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二、说明</w:t>
      </w:r>
    </w:p>
    <w:p>
      <w:pPr>
        <w:pStyle w:val="13"/>
        <w:adjustRightInd w:val="0"/>
        <w:snapToGrid w:val="0"/>
        <w:spacing w:line="360" w:lineRule="auto"/>
        <w:ind w:firstLine="481"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1.总则</w:t>
      </w:r>
    </w:p>
    <w:p>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szCs w:val="24"/>
          <w:highlight w:val="none"/>
        </w:rPr>
        <w:t>采购人及</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进行的本次采购活动</w:t>
      </w:r>
      <w:r>
        <w:rPr>
          <w:rFonts w:hint="eastAsia" w:ascii="仿宋" w:hAnsi="仿宋" w:eastAsia="仿宋" w:cs="仿宋"/>
          <w:color w:val="auto"/>
          <w:kern w:val="0"/>
          <w:sz w:val="24"/>
          <w:highlight w:val="none"/>
        </w:rPr>
        <w:t>参考《中华人民共和国政府采购法》及医院的采购制度。</w:t>
      </w:r>
    </w:p>
    <w:p>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应仔细阅读本项目</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公告及</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的所有内容（包括变更、补充、澄清以及修改等，且均为</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的组成部分），按照</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要求以及格式编制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文件，并保证其真实性，否则一切后果自负。</w:t>
      </w:r>
    </w:p>
    <w:p>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w:t>
      </w:r>
      <w:r>
        <w:rPr>
          <w:rFonts w:hint="eastAsia" w:ascii="仿宋" w:hAnsi="仿宋" w:eastAsia="仿宋" w:cs="仿宋"/>
          <w:bCs/>
          <w:color w:val="auto"/>
          <w:sz w:val="24"/>
          <w:szCs w:val="24"/>
          <w:highlight w:val="none"/>
          <w:lang w:eastAsia="zh-CN"/>
        </w:rPr>
        <w:t>院内比选</w:t>
      </w:r>
      <w:r>
        <w:rPr>
          <w:rFonts w:hint="eastAsia" w:ascii="仿宋" w:hAnsi="仿宋" w:eastAsia="仿宋" w:cs="仿宋"/>
          <w:bCs/>
          <w:color w:val="auto"/>
          <w:sz w:val="24"/>
          <w:szCs w:val="24"/>
          <w:highlight w:val="none"/>
        </w:rPr>
        <w:t>项目，是以</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公告的方式邀请非特定的</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参加</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pPr>
        <w:pStyle w:val="13"/>
        <w:adjustRightInd w:val="0"/>
        <w:snapToGrid w:val="0"/>
        <w:spacing w:line="360" w:lineRule="auto"/>
        <w:ind w:firstLine="486" w:firstLineChars="200"/>
        <w:rPr>
          <w:rFonts w:hint="eastAsia" w:ascii="仿宋" w:hAnsi="仿宋" w:eastAsia="仿宋" w:cs="仿宋"/>
          <w:strike w:val="0"/>
          <w:dstrike w:val="0"/>
          <w:color w:val="auto"/>
          <w:sz w:val="24"/>
          <w:szCs w:val="24"/>
          <w:highlight w:val="none"/>
        </w:rPr>
      </w:pPr>
      <w:r>
        <w:rPr>
          <w:rFonts w:hint="eastAsia" w:ascii="仿宋" w:hAnsi="仿宋" w:eastAsia="仿宋" w:cs="仿宋"/>
          <w:b/>
          <w:bCs/>
          <w:color w:val="auto"/>
          <w:sz w:val="24"/>
          <w:highlight w:val="none"/>
          <w:lang w:val="en-US" w:eastAsia="zh-CN"/>
        </w:rPr>
        <w:t>2.适用范围：</w:t>
      </w:r>
      <w:r>
        <w:rPr>
          <w:rFonts w:hint="eastAsia" w:ascii="仿宋" w:hAnsi="仿宋" w:eastAsia="仿宋" w:cs="仿宋"/>
          <w:strike w:val="0"/>
          <w:dstrike w:val="0"/>
          <w:color w:val="auto"/>
          <w:sz w:val="24"/>
          <w:szCs w:val="24"/>
          <w:highlight w:val="none"/>
        </w:rPr>
        <w:t>本</w:t>
      </w:r>
      <w:r>
        <w:rPr>
          <w:rFonts w:hint="eastAsia" w:ascii="仿宋" w:hAnsi="仿宋" w:eastAsia="仿宋" w:cs="仿宋"/>
          <w:strike w:val="0"/>
          <w:dstrike w:val="0"/>
          <w:color w:val="auto"/>
          <w:sz w:val="24"/>
          <w:szCs w:val="24"/>
          <w:highlight w:val="none"/>
          <w:lang w:eastAsia="zh-CN"/>
        </w:rPr>
        <w:t>比选</w:t>
      </w:r>
      <w:r>
        <w:rPr>
          <w:rFonts w:hint="eastAsia" w:ascii="仿宋" w:hAnsi="仿宋" w:eastAsia="仿宋" w:cs="仿宋"/>
          <w:strike w:val="0"/>
          <w:dstrike w:val="0"/>
          <w:color w:val="auto"/>
          <w:sz w:val="24"/>
          <w:szCs w:val="24"/>
          <w:highlight w:val="none"/>
        </w:rPr>
        <w:t>文件适用于本</w:t>
      </w:r>
      <w:r>
        <w:rPr>
          <w:rFonts w:hint="eastAsia" w:ascii="仿宋" w:hAnsi="仿宋" w:eastAsia="仿宋" w:cs="仿宋"/>
          <w:strike w:val="0"/>
          <w:dstrike w:val="0"/>
          <w:color w:val="auto"/>
          <w:sz w:val="24"/>
          <w:szCs w:val="24"/>
          <w:highlight w:val="none"/>
          <w:lang w:eastAsia="zh-CN"/>
        </w:rPr>
        <w:t>比</w:t>
      </w:r>
      <w:r>
        <w:rPr>
          <w:rFonts w:hint="eastAsia" w:ascii="仿宋" w:hAnsi="仿宋" w:eastAsia="仿宋" w:cs="仿宋"/>
          <w:strike w:val="0"/>
          <w:dstrike w:val="0"/>
          <w:color w:val="auto"/>
          <w:sz w:val="24"/>
          <w:szCs w:val="24"/>
          <w:highlight w:val="none"/>
          <w:lang w:val="en-US" w:eastAsia="zh-CN"/>
        </w:rPr>
        <w:t>选</w:t>
      </w:r>
      <w:r>
        <w:rPr>
          <w:rFonts w:hint="eastAsia" w:ascii="仿宋" w:hAnsi="仿宋" w:eastAsia="仿宋" w:cs="仿宋"/>
          <w:strike w:val="0"/>
          <w:dstrike w:val="0"/>
          <w:color w:val="auto"/>
          <w:sz w:val="24"/>
          <w:szCs w:val="24"/>
          <w:highlight w:val="none"/>
        </w:rPr>
        <w:t>邀请中所述项目的采购项目。</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strike w:val="0"/>
          <w:dstrike w:val="0"/>
          <w:color w:val="auto"/>
          <w:sz w:val="24"/>
          <w:szCs w:val="24"/>
          <w:highlight w:val="none"/>
          <w:lang w:val="en-US" w:eastAsia="zh-CN"/>
        </w:rPr>
        <w:t>3.</w:t>
      </w:r>
      <w:r>
        <w:rPr>
          <w:rFonts w:hint="eastAsia" w:ascii="仿宋" w:hAnsi="仿宋" w:eastAsia="仿宋" w:cs="仿宋"/>
          <w:b/>
          <w:bCs/>
          <w:color w:val="auto"/>
          <w:sz w:val="24"/>
          <w:szCs w:val="24"/>
          <w:highlight w:val="none"/>
        </w:rPr>
        <w:t>关于中小微企业</w:t>
      </w:r>
      <w:r>
        <w:rPr>
          <w:rFonts w:hint="eastAsia" w:ascii="仿宋" w:hAnsi="仿宋" w:eastAsia="仿宋" w:cs="仿宋"/>
          <w:b/>
          <w:bCs/>
          <w:color w:val="auto"/>
          <w:sz w:val="24"/>
          <w:szCs w:val="24"/>
          <w:highlight w:val="none"/>
          <w:lang w:eastAsia="zh-CN"/>
        </w:rPr>
        <w:t>响应</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 xml:space="preserve"> 。</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设区的市</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监狱、强制隔离戒毒所、戒毒康复所，以及新疆生产建设兵团监狱管理局、戒毒管理局的企业。监狱企业</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时，提供由省级以上监狱管理局、戒毒管理局</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含新疆生产建设兵团</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出具的属于监狱企业的证明文件，不再提供《中小企业声明函》。</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w:t>
      </w:r>
      <w:bookmarkStart w:id="0" w:name="_Toc14923_WPSOffice_Level1"/>
      <w:r>
        <w:rPr>
          <w:rFonts w:hint="eastAsia" w:ascii="仿宋" w:hAnsi="仿宋" w:eastAsia="仿宋" w:cs="仿宋"/>
          <w:b w:val="0"/>
          <w:bCs/>
          <w:color w:val="auto"/>
          <w:sz w:val="24"/>
          <w:szCs w:val="24"/>
          <w:highlight w:val="none"/>
        </w:rPr>
        <w:t>同小型、微型</w:t>
      </w:r>
      <w:bookmarkEnd w:id="0"/>
      <w:r>
        <w:rPr>
          <w:rFonts w:hint="eastAsia" w:ascii="仿宋" w:hAnsi="仿宋" w:eastAsia="仿宋" w:cs="仿宋"/>
          <w:b w:val="0"/>
          <w:bCs/>
          <w:color w:val="auto"/>
          <w:sz w:val="24"/>
          <w:szCs w:val="24"/>
          <w:highlight w:val="none"/>
        </w:rPr>
        <w:t>企业，享受评审中价格扣除。</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pPr>
        <w:pStyle w:val="13"/>
        <w:adjustRightInd w:val="0"/>
        <w:snapToGrid w:val="0"/>
        <w:spacing w:line="360" w:lineRule="auto"/>
        <w:ind w:firstLine="486"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b/>
          <w:bCs/>
          <w:strike w:val="0"/>
          <w:dstrike w:val="0"/>
          <w:color w:val="auto"/>
          <w:sz w:val="24"/>
          <w:szCs w:val="24"/>
          <w:highlight w:val="none"/>
          <w:lang w:val="en-US" w:eastAsia="zh-CN"/>
        </w:rPr>
        <w:t>4.纪律与保密</w:t>
      </w:r>
    </w:p>
    <w:p>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不得相互串通</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报价，不得妨碍其他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的公平竞争，不得损害采购人或其他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的合法权益，</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不得以向采购人、</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行贿或者采取其他不正当手段谋取</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w:t>
      </w:r>
    </w:p>
    <w:p>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供应商之前，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不得与采购人就</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价格、</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方案等实质性内容进行谈判，也不得私下接触</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成员。</w:t>
      </w:r>
    </w:p>
    <w:p>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试图在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文件审查、澄清、比较和评价时对</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、采购人施加任何影响都可能导致其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无效。</w:t>
      </w:r>
    </w:p>
    <w:p>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获得本</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者，须履行本项目</w:t>
      </w:r>
      <w:r>
        <w:rPr>
          <w:rFonts w:hint="eastAsia" w:ascii="仿宋" w:hAnsi="仿宋" w:eastAsia="仿宋" w:cs="仿宋"/>
          <w:bCs/>
          <w:color w:val="auto"/>
          <w:sz w:val="24"/>
          <w:szCs w:val="24"/>
          <w:highlight w:val="none"/>
          <w:lang w:eastAsia="zh-CN"/>
        </w:rPr>
        <w:t>的</w:t>
      </w:r>
      <w:r>
        <w:rPr>
          <w:rFonts w:hint="eastAsia" w:ascii="仿宋" w:hAnsi="仿宋" w:eastAsia="仿宋" w:cs="仿宋"/>
          <w:bCs/>
          <w:color w:val="auto"/>
          <w:sz w:val="24"/>
          <w:szCs w:val="24"/>
          <w:highlight w:val="none"/>
        </w:rPr>
        <w:t>保密义务，不得将因本次项目获得的信息向第三人外传，不得将</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用作本次</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以外的任何用途。</w:t>
      </w:r>
    </w:p>
    <w:p>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由采购人向</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提供的图纸、详细资料、样品、模型、模件和所有其它资料，均为保密资料，仅被用于它所规定的用途。除非得到采购人的同意，不能向任何第三方透露。</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结束后，应采购人要求，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应归还所有从采购人处获得的保密资料。</w:t>
      </w:r>
    </w:p>
    <w:p>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采购人有权将供应商提供的所有资料向有关政府部门或评审小组披露。</w:t>
      </w:r>
    </w:p>
    <w:p>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13"/>
        <w:adjustRightInd w:val="0"/>
        <w:snapToGrid w:val="0"/>
        <w:spacing w:line="360" w:lineRule="auto"/>
        <w:ind w:firstLine="486" w:firstLineChars="200"/>
        <w:rPr>
          <w:rFonts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5.</w:t>
      </w:r>
      <w:r>
        <w:rPr>
          <w:rFonts w:hint="eastAsia" w:ascii="仿宋" w:hAnsi="仿宋" w:eastAsia="仿宋" w:cs="仿宋"/>
          <w:b/>
          <w:bCs/>
          <w:color w:val="auto"/>
          <w:sz w:val="24"/>
          <w:szCs w:val="24"/>
          <w:highlight w:val="none"/>
        </w:rPr>
        <w:t>比选的语言及计量</w:t>
      </w:r>
    </w:p>
    <w:p>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除非比选文件中另有规定，供应商在响应文件中及其与采购单位的所有往来文件中的计量单位均应采用中华人民共和国法定计量单位。</w:t>
      </w:r>
    </w:p>
    <w:p>
      <w:pPr>
        <w:pStyle w:val="13"/>
        <w:adjustRightInd w:val="0"/>
        <w:snapToGrid w:val="0"/>
        <w:spacing w:line="360" w:lineRule="auto"/>
        <w:ind w:firstLine="486"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响应文件的构成应符合法律法规及比选文件的要求。</w:t>
      </w:r>
    </w:p>
    <w:p>
      <w:pPr>
        <w:pStyle w:val="13"/>
        <w:adjustRightInd w:val="0"/>
        <w:snapToGrid w:val="0"/>
        <w:spacing w:line="360" w:lineRule="auto"/>
        <w:ind w:firstLine="486" w:firstLineChars="200"/>
        <w:rPr>
          <w:rFonts w:hint="eastAsia"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6.</w:t>
      </w:r>
      <w:r>
        <w:rPr>
          <w:rFonts w:hint="eastAsia" w:ascii="仿宋" w:hAnsi="仿宋" w:eastAsia="仿宋" w:cs="仿宋"/>
          <w:b/>
          <w:bCs/>
          <w:color w:val="auto"/>
          <w:sz w:val="24"/>
          <w:szCs w:val="24"/>
          <w:highlight w:val="none"/>
        </w:rPr>
        <w:t>现场踏勘（如有）</w:t>
      </w:r>
    </w:p>
    <w:p>
      <w:pPr>
        <w:pStyle w:val="13"/>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规定组织踏勘现场的，采购人按</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规定的时间、地点组织</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踏勘项目现场。</w:t>
      </w:r>
    </w:p>
    <w:p>
      <w:pPr>
        <w:pStyle w:val="13"/>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自行承担踏勘现场发生的责任、风险和自身费用。</w:t>
      </w:r>
    </w:p>
    <w:p>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采购人在踏勘现场中介绍的资料和数据等，只是为了使</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能够利用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现有的资料。</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人对</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由此而作出的推论、解释和结论概不负责。</w:t>
      </w:r>
    </w:p>
    <w:p>
      <w:pPr>
        <w:pStyle w:val="13"/>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三、比选文件澄清和修改</w:t>
      </w:r>
    </w:p>
    <w:p>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对其收到的书面的对比选文件的澄清要求均以书面形式予以答复，同时将书面形式答复发给每个</w:t>
      </w:r>
      <w:r>
        <w:rPr>
          <w:rFonts w:hint="eastAsia" w:ascii="仿宋" w:hAnsi="仿宋" w:eastAsia="仿宋" w:cs="仿宋"/>
          <w:color w:val="auto"/>
          <w:sz w:val="24"/>
          <w:szCs w:val="24"/>
          <w:highlight w:val="none"/>
          <w:lang w:val="en-US" w:eastAsia="zh-CN"/>
        </w:rPr>
        <w:t>报名成功的</w:t>
      </w:r>
      <w:r>
        <w:rPr>
          <w:rFonts w:hint="eastAsia" w:ascii="仿宋" w:hAnsi="仿宋" w:eastAsia="仿宋" w:cs="仿宋"/>
          <w:color w:val="auto"/>
          <w:sz w:val="24"/>
          <w:szCs w:val="24"/>
          <w:highlight w:val="none"/>
        </w:rPr>
        <w:t>供应商（答复中不包括问题的来源）。不足3日的，顺延提交响应文件的截止时间。该答复作为比选文件的一部分，对供应商有约束力。</w:t>
      </w:r>
    </w:p>
    <w:p>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以书面形式通知所有潜在（报名成功的）供应商，并对其具有约束力。</w:t>
      </w:r>
    </w:p>
    <w:p>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）采购人可以视采购具体情况，延长响应文件递交截止时间，但至少应当在比选文件规定的响应文件递交截止时间3日前，并将变更时间书面通知所有已获取比选文件的潜在供应商。</w:t>
      </w:r>
    </w:p>
    <w:p>
      <w:pPr>
        <w:pStyle w:val="13"/>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四、响应要求</w:t>
      </w:r>
    </w:p>
    <w:p>
      <w:pPr>
        <w:pStyle w:val="13"/>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1.响应文件编制</w:t>
      </w:r>
    </w:p>
    <w:p>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pPr>
        <w:pStyle w:val="13"/>
        <w:adjustRightInd w:val="0"/>
        <w:snapToGrid w:val="0"/>
        <w:spacing w:line="360" w:lineRule="auto"/>
        <w:ind w:firstLine="486"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响应供应商应完整、真实、准确的填写比选文件中规定的所有内容，对响应文件所提供的全部资料的真实性承担法律责任，并无条件接受</w:t>
      </w:r>
      <w:r>
        <w:rPr>
          <w:rFonts w:hint="eastAsia" w:ascii="仿宋" w:hAnsi="仿宋" w:eastAsia="仿宋" w:cs="仿宋"/>
          <w:color w:val="auto"/>
          <w:sz w:val="24"/>
          <w:szCs w:val="24"/>
          <w:highlight w:val="none"/>
          <w:lang w:val="en-US" w:eastAsia="zh-CN"/>
        </w:rPr>
        <w:t>医院办公室</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如果因为供应商响应文件填报的内容不详，或没有提供比选文件中所要求的全部资料及数据，由此造成的后果，其责任由供应商承担。</w:t>
      </w:r>
    </w:p>
    <w:p>
      <w:pPr>
        <w:pStyle w:val="13"/>
        <w:adjustRightInd w:val="0"/>
        <w:snapToGrid w:val="0"/>
        <w:spacing w:line="360" w:lineRule="auto"/>
        <w:ind w:firstLine="486"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响应文件的递交</w:t>
      </w:r>
    </w:p>
    <w:p>
      <w:pPr>
        <w:pStyle w:val="13"/>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供应商应将《报价单》单独密封提交，并在信封上清晰标明“报价信封”字样。供应商应将响应文件密封包装。</w:t>
      </w:r>
    </w:p>
    <w:p>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响应的信封袋或者文件袋外包装上应注明采购项目名称、项目编号 “在（比选文件中规定的比选日期和时点）之前不得拆封”字样，封口处加盖公章。未按要求密封和标记的，我院对误投或提前启封概不负责。</w:t>
      </w:r>
    </w:p>
    <w:p>
      <w:pPr>
        <w:pStyle w:val="13"/>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在《比选邀请函》中规定的地点和响应截止时间之前接收响应文件，超过截止时间后的响应为无效响应，采购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将拒绝接收。</w:t>
      </w:r>
    </w:p>
    <w:p>
      <w:pPr>
        <w:pStyle w:val="13"/>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3.响应文件的修改、撤回与撤销</w:t>
      </w:r>
    </w:p>
    <w:p>
      <w:pPr>
        <w:pStyle w:val="13"/>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供应商所提交的响应文件在比选结束后，无论成交与否都不予退还。</w:t>
      </w:r>
    </w:p>
    <w:p>
      <w:pPr>
        <w:pStyle w:val="13"/>
        <w:adjustRightInd w:val="0"/>
        <w:snapToGrid w:val="0"/>
        <w:spacing w:line="360" w:lineRule="auto"/>
        <w:ind w:firstLine="486"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strike w:val="0"/>
          <w:color w:val="auto"/>
          <w:sz w:val="24"/>
          <w:szCs w:val="24"/>
          <w:highlight w:val="none"/>
        </w:rPr>
        <w:t>有以下情形的，将视为响应供应商互相串通响应，不得报名或响应无效：</w:t>
      </w:r>
    </w:p>
    <w:p>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（1）不同供应商委托同一单位或个人办理报价事宜；</w:t>
      </w:r>
    </w:p>
    <w:p>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（2）不同供应商的报价文件出现同一公章或者签字的；</w:t>
      </w:r>
    </w:p>
    <w:p>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（3）不同供应商的响应文件异常一致或者非比选文件格式要求，响应文件中出现错误字/词/句位置一致的，雷同内容达到20字及以上的；</w:t>
      </w:r>
    </w:p>
    <w:p>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（4）不同供应商的响应文件载明的项目管理成员或者联系人员为同一人；</w:t>
      </w:r>
    </w:p>
    <w:p>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（5）不同供应商的响应文件相互混装；</w:t>
      </w:r>
    </w:p>
    <w:p>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（6）法定代表人为同一个人的两个及两个以上法人，母公司、全资子公司及其控股公司或有共同股东组成或主要管理人员中有共同人员的。</w:t>
      </w:r>
    </w:p>
    <w:p>
      <w:pPr>
        <w:pStyle w:val="13"/>
        <w:adjustRightInd w:val="0"/>
        <w:snapToGrid w:val="0"/>
        <w:spacing w:line="360" w:lineRule="auto"/>
        <w:ind w:firstLine="486"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strike w:val="0"/>
          <w:color w:val="auto"/>
          <w:sz w:val="24"/>
          <w:szCs w:val="24"/>
          <w:highlight w:val="none"/>
          <w:lang w:val="en-US" w:eastAsia="zh-CN"/>
        </w:rPr>
        <w:t>5.</w:t>
      </w:r>
      <w:r>
        <w:rPr>
          <w:rFonts w:hint="eastAsia" w:ascii="仿宋" w:hAnsi="仿宋" w:eastAsia="仿宋" w:cs="仿宋"/>
          <w:b/>
          <w:bCs/>
          <w:strike w:val="0"/>
          <w:color w:val="auto"/>
          <w:sz w:val="24"/>
          <w:szCs w:val="24"/>
          <w:highlight w:val="none"/>
        </w:rPr>
        <w:t>响应供应商有下列弄虚作假的行为的，不得报名或响应无效：</w:t>
      </w:r>
    </w:p>
    <w:p>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（1）使用伪造、变造的许可证件；</w:t>
      </w:r>
    </w:p>
    <w:p>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（2）提供虚假的财务状况或者业绩；</w:t>
      </w:r>
    </w:p>
    <w:p>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（3）提供虚假的项目负责人或者主要技术人员简历、劳动关系证明；</w:t>
      </w:r>
    </w:p>
    <w:p>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（4）提供虚假的信用状况；</w:t>
      </w:r>
    </w:p>
    <w:p>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（5）其他弄虚作假的行为；</w:t>
      </w:r>
    </w:p>
    <w:p>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（6）响应文件或报价文件的签名为代签或冒签的；</w:t>
      </w:r>
    </w:p>
    <w:p>
      <w:pPr>
        <w:pStyle w:val="13"/>
        <w:adjustRightInd w:val="0"/>
        <w:snapToGrid w:val="0"/>
        <w:spacing w:line="360" w:lineRule="auto"/>
        <w:ind w:firstLine="480" w:firstLineChars="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（7）被授权人委托他人提交响应文件的，无委托书的。</w:t>
      </w:r>
    </w:p>
    <w:p>
      <w:pPr>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pPr>
        <w:pStyle w:val="13"/>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pPr>
        <w:pStyle w:val="13"/>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pPr>
        <w:pStyle w:val="13"/>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pPr>
        <w:pStyle w:val="13"/>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pPr>
        <w:pStyle w:val="13"/>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pPr>
        <w:pStyle w:val="13"/>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pPr>
        <w:pStyle w:val="13"/>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pPr>
        <w:pStyle w:val="13"/>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pPr>
        <w:pStyle w:val="13"/>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以下情形，采购人有权拒收响应文件：</w:t>
      </w:r>
    </w:p>
    <w:p>
      <w:pPr>
        <w:pStyle w:val="13"/>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pPr>
        <w:pStyle w:val="13"/>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pPr>
        <w:pStyle w:val="13"/>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有下列情形，评审小组将否决其响应：</w:t>
      </w:r>
    </w:p>
    <w:p>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pPr>
        <w:pStyle w:val="13"/>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pPr>
        <w:pStyle w:val="13"/>
        <w:widowControl/>
        <w:numPr>
          <w:ilvl w:val="0"/>
          <w:numId w:val="0"/>
        </w:numPr>
        <w:adjustRightInd w:val="0"/>
        <w:snapToGrid w:val="0"/>
        <w:spacing w:line="360" w:lineRule="auto"/>
        <w:ind w:firstLine="486" w:firstLineChars="200"/>
        <w:rPr>
          <w:rFonts w:hint="default" w:ascii="仿宋" w:hAnsi="仿宋" w:eastAsia="仿宋" w:cs="仿宋"/>
          <w:strike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pPr>
        <w:pStyle w:val="13"/>
        <w:adjustRightInd w:val="0"/>
        <w:snapToGrid w:val="0"/>
        <w:spacing w:line="360" w:lineRule="auto"/>
        <w:ind w:firstLine="486" w:firstLineChars="200"/>
        <w:rPr>
          <w:rFonts w:hint="eastAsia" w:ascii="仿宋" w:hAnsi="仿宋" w:eastAsia="仿宋" w:cs="仿宋"/>
          <w:b/>
          <w:bCs/>
          <w:color w:val="auto"/>
          <w:sz w:val="24"/>
          <w:szCs w:val="24"/>
          <w:highlight w:val="green"/>
          <w:lang w:val="en-US" w:eastAsia="zh-CN"/>
        </w:rPr>
      </w:pPr>
      <w:r>
        <w:rPr>
          <w:rFonts w:hint="eastAsia" w:ascii="仿宋" w:hAnsi="仿宋" w:eastAsia="仿宋" w:cs="仿宋"/>
          <w:b/>
          <w:bCs/>
          <w:color w:val="auto"/>
          <w:sz w:val="24"/>
          <w:szCs w:val="24"/>
          <w:highlight w:val="green"/>
          <w:lang w:val="en-US" w:eastAsia="zh-CN"/>
        </w:rPr>
        <w:t>五、比选和定标</w:t>
      </w:r>
    </w:p>
    <w:p>
      <w:pPr>
        <w:pStyle w:val="13"/>
        <w:adjustRightInd w:val="0"/>
        <w:snapToGrid w:val="0"/>
        <w:spacing w:line="360" w:lineRule="auto"/>
        <w:ind w:right="32" w:firstLine="486"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（一）比选前</w:t>
      </w:r>
    </w:p>
    <w:p>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在本比选文件规定的日期、时间和地点组织比选。参加比选的代表应签到以证明其出席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pPr>
        <w:pStyle w:val="13"/>
        <w:adjustRightInd w:val="0"/>
        <w:snapToGrid w:val="0"/>
        <w:spacing w:line="360" w:lineRule="auto"/>
        <w:ind w:right="0" w:firstLine="486"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在响应供应商见证下、医院监督代表验证文件的密封性，并由工作人员现场宣读响应供应商名称、响应价格等实质内容。</w:t>
      </w:r>
    </w:p>
    <w:p>
      <w:pPr>
        <w:pStyle w:val="13"/>
        <w:adjustRightInd w:val="0"/>
        <w:snapToGrid w:val="0"/>
        <w:spacing w:line="360" w:lineRule="auto"/>
        <w:ind w:right="32" w:firstLine="486"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（二）评审</w:t>
      </w:r>
    </w:p>
    <w:p>
      <w:pPr>
        <w:pStyle w:val="13"/>
        <w:adjustRightInd w:val="0"/>
        <w:snapToGrid w:val="0"/>
        <w:spacing w:line="360" w:lineRule="auto"/>
        <w:ind w:right="32"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评审小组的组成</w:t>
      </w:r>
    </w:p>
    <w:p>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评审小组按医院规定从专家库中随机抽取三名专家组成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rPr>
        <w:t>同一任职科室评审专家</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超过二名</w:t>
      </w:r>
      <w:r>
        <w:rPr>
          <w:rFonts w:hint="eastAsia"/>
          <w:color w:val="auto"/>
          <w:highlight w:val="none"/>
          <w:lang w:eastAsia="zh-CN"/>
        </w:rPr>
        <w:t>。</w:t>
      </w:r>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w:t>
      </w:r>
    </w:p>
    <w:p>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评审小组成员对需要共同认定的事项存在争议的，评审小组组长应当组织评审成员讨论，按照少数服从多数的原则</w:t>
      </w:r>
      <w:r>
        <w:rPr>
          <w:rFonts w:hint="eastAsia" w:ascii="仿宋" w:hAnsi="仿宋" w:eastAsia="仿宋" w:cs="仿宋"/>
          <w:color w:val="auto"/>
          <w:sz w:val="24"/>
          <w:szCs w:val="24"/>
          <w:highlight w:val="none"/>
          <w:lang w:eastAsia="zh-CN"/>
        </w:rPr>
        <w:t>作出</w:t>
      </w:r>
      <w:r>
        <w:rPr>
          <w:rFonts w:hint="eastAsia" w:ascii="仿宋" w:hAnsi="仿宋" w:eastAsia="仿宋" w:cs="仿宋"/>
          <w:color w:val="auto"/>
          <w:sz w:val="24"/>
          <w:szCs w:val="24"/>
          <w:highlight w:val="none"/>
        </w:rPr>
        <w:t>结论。持不同意见的评审小组成员应当在评审报告上签署不同意见并说明理由，否则视为同意。</w:t>
      </w:r>
    </w:p>
    <w:p>
      <w:pPr>
        <w:pStyle w:val="13"/>
        <w:adjustRightInd w:val="0"/>
        <w:snapToGrid w:val="0"/>
        <w:spacing w:line="360" w:lineRule="auto"/>
        <w:ind w:firstLine="486" w:firstLineChars="200"/>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color w:val="auto"/>
          <w:kern w:val="0"/>
          <w:sz w:val="24"/>
          <w:szCs w:val="24"/>
          <w:highlight w:val="none"/>
        </w:rPr>
        <w:t>评审</w:t>
      </w:r>
      <w:r>
        <w:rPr>
          <w:rFonts w:hint="eastAsia" w:ascii="仿宋" w:hAnsi="仿宋" w:eastAsia="仿宋" w:cs="仿宋"/>
          <w:b/>
          <w:color w:val="auto"/>
          <w:sz w:val="24"/>
          <w:szCs w:val="24"/>
          <w:highlight w:val="none"/>
        </w:rPr>
        <w:t>方法、步骤及标准</w:t>
      </w:r>
    </w:p>
    <w:p>
      <w:pPr>
        <w:pStyle w:val="13"/>
        <w:adjustRightInd w:val="0"/>
        <w:snapToGrid w:val="0"/>
        <w:spacing w:line="360" w:lineRule="auto"/>
        <w:ind w:firstLine="486"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pPr>
        <w:pStyle w:val="13"/>
        <w:adjustRightInd w:val="0"/>
        <w:snapToGrid w:val="0"/>
        <w:spacing w:line="360" w:lineRule="auto"/>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pPr>
        <w:pStyle w:val="13"/>
        <w:adjustRightInd w:val="0"/>
        <w:snapToGrid w:val="0"/>
        <w:spacing w:line="360" w:lineRule="auto"/>
        <w:ind w:firstLine="486" w:firstLineChars="200"/>
        <w:rPr>
          <w:rFonts w:hint="eastAsia" w:ascii="仿宋" w:hAnsi="仿宋" w:eastAsia="仿宋" w:cs="仿宋"/>
          <w:strike w:val="0"/>
          <w:dstrike w:val="0"/>
          <w:color w:val="auto"/>
          <w:sz w:val="24"/>
          <w:szCs w:val="24"/>
          <w:highlight w:val="green"/>
          <w:lang w:eastAsia="zh-CN"/>
        </w:rPr>
      </w:pPr>
      <w:r>
        <w:rPr>
          <w:rFonts w:hint="eastAsia" w:ascii="仿宋" w:hAnsi="仿宋" w:eastAsia="仿宋" w:cs="仿宋"/>
          <w:color w:val="auto"/>
          <w:sz w:val="24"/>
          <w:szCs w:val="24"/>
          <w:highlight w:val="green"/>
          <w:lang w:eastAsia="zh-CN"/>
        </w:rPr>
        <w:t>本项目采用“定量评审”方式。</w:t>
      </w:r>
      <w:r>
        <w:rPr>
          <w:rFonts w:hint="eastAsia" w:ascii="仿宋" w:hAnsi="仿宋" w:eastAsia="仿宋" w:cs="仿宋"/>
          <w:color w:val="auto"/>
          <w:sz w:val="24"/>
          <w:szCs w:val="24"/>
          <w:highlight w:val="green"/>
          <w:lang w:val="en-US" w:eastAsia="zh-CN"/>
        </w:rPr>
        <w:t>采用“定量评审”方式推荐成交候选人的，评审小组根据比选文件规定的评审办法对通过资格性、符合性审查的响应文件进行评审，按评审结果顺序，推荐前3名成交候选人。</w:t>
      </w:r>
    </w:p>
    <w:p>
      <w:pPr>
        <w:pStyle w:val="13"/>
        <w:adjustRightInd w:val="0"/>
        <w:snapToGrid w:val="0"/>
        <w:spacing w:line="360" w:lineRule="auto"/>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评审步骤</w:t>
      </w:r>
    </w:p>
    <w:p>
      <w:pPr>
        <w:pStyle w:val="13"/>
        <w:adjustRightInd w:val="0"/>
        <w:snapToGrid w:val="0"/>
        <w:spacing w:line="360" w:lineRule="auto"/>
        <w:ind w:right="32" w:firstLine="465" w:firstLineChars="19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宣读评审纪律</w:t>
      </w:r>
    </w:p>
    <w:p>
      <w:pPr>
        <w:pStyle w:val="13"/>
        <w:adjustRightInd w:val="0"/>
        <w:snapToGrid w:val="0"/>
        <w:spacing w:line="360" w:lineRule="auto"/>
        <w:ind w:firstLine="465"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在评审开始前宣读评审纪律及比选文件说明。</w:t>
      </w:r>
    </w:p>
    <w:p>
      <w:pPr>
        <w:autoSpaceDE w:val="0"/>
        <w:autoSpaceDN w:val="0"/>
        <w:adjustRightInd w:val="0"/>
        <w:snapToGrid w:val="0"/>
        <w:spacing w:line="360" w:lineRule="auto"/>
        <w:ind w:right="32" w:firstLine="465"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7"/>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47"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pPr>
        <w:autoSpaceDE w:val="0"/>
        <w:autoSpaceDN w:val="0"/>
        <w:adjustRightInd w:val="0"/>
        <w:snapToGrid w:val="0"/>
        <w:spacing w:line="360" w:lineRule="auto"/>
        <w:ind w:right="32"/>
        <w:rPr>
          <w:rFonts w:hint="eastAsia" w:ascii="仿宋" w:hAnsi="仿宋" w:eastAsia="仿宋" w:cs="仿宋"/>
          <w:b/>
          <w:color w:val="auto"/>
          <w:sz w:val="24"/>
          <w:highlight w:val="none"/>
        </w:rPr>
      </w:pPr>
    </w:p>
    <w:p>
      <w:pPr>
        <w:autoSpaceDE w:val="0"/>
        <w:autoSpaceDN w:val="0"/>
        <w:adjustRightInd w:val="0"/>
        <w:snapToGrid w:val="0"/>
        <w:spacing w:line="360" w:lineRule="auto"/>
        <w:ind w:right="32" w:firstLine="486"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rPr>
        <w:t>推荐评审小组组长</w:t>
      </w:r>
    </w:p>
    <w:p>
      <w:pPr>
        <w:autoSpaceDE w:val="0"/>
        <w:autoSpaceDN w:val="0"/>
        <w:adjustRightInd w:val="0"/>
        <w:snapToGrid w:val="0"/>
        <w:spacing w:line="360" w:lineRule="auto"/>
        <w:ind w:right="32" w:firstLine="463" w:firstLineChars="191"/>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lang w:eastAsia="zh-CN"/>
        </w:rPr>
        <w:t>评审小组</w:t>
      </w:r>
      <w:r>
        <w:rPr>
          <w:rFonts w:hint="eastAsia" w:ascii="仿宋" w:hAnsi="仿宋" w:eastAsia="仿宋" w:cs="仿宋"/>
          <w:b w:val="0"/>
          <w:bCs/>
          <w:color w:val="auto"/>
          <w:kern w:val="0"/>
          <w:sz w:val="24"/>
          <w:highlight w:val="none"/>
        </w:rPr>
        <w:t>按照少数服从多数的原则推荐组长。评</w:t>
      </w:r>
      <w:r>
        <w:rPr>
          <w:rFonts w:hint="eastAsia" w:ascii="仿宋" w:hAnsi="仿宋" w:eastAsia="仿宋" w:cs="仿宋"/>
          <w:b w:val="0"/>
          <w:bCs/>
          <w:color w:val="auto"/>
          <w:sz w:val="24"/>
          <w:highlight w:val="none"/>
        </w:rPr>
        <w:t>审</w:t>
      </w:r>
      <w:r>
        <w:rPr>
          <w:rFonts w:hint="eastAsia" w:ascii="仿宋" w:hAnsi="仿宋" w:eastAsia="仿宋" w:cs="仿宋"/>
          <w:b w:val="0"/>
          <w:bCs/>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pPr>
        <w:pStyle w:val="13"/>
        <w:adjustRightInd w:val="0"/>
        <w:snapToGrid w:val="0"/>
        <w:spacing w:line="360" w:lineRule="auto"/>
        <w:ind w:right="32" w:firstLine="463"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响应文件的资格性、符合性审查</w:t>
      </w:r>
    </w:p>
    <w:p>
      <w:pPr>
        <w:pStyle w:val="13"/>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w:t>
      </w:r>
      <w:r>
        <w:rPr>
          <w:rFonts w:hint="eastAsia" w:ascii="仿宋" w:hAnsi="仿宋" w:eastAsia="仿宋" w:cs="仿宋"/>
          <w:bCs/>
          <w:color w:val="auto"/>
          <w:sz w:val="24"/>
          <w:szCs w:val="24"/>
          <w:highlight w:val="none"/>
          <w:lang w:val="en-US" w:eastAsia="zh-CN"/>
        </w:rPr>
        <w:t>供应商资格、技术商务实质性响应</w:t>
      </w:r>
      <w:r>
        <w:rPr>
          <w:rFonts w:hint="eastAsia" w:ascii="仿宋" w:hAnsi="仿宋" w:eastAsia="仿宋" w:cs="仿宋"/>
          <w:bCs/>
          <w:color w:val="auto"/>
          <w:sz w:val="24"/>
          <w:szCs w:val="24"/>
          <w:highlight w:val="none"/>
        </w:rPr>
        <w:t>及报价的唯一性等，审查不合格者按响应无效处理。只有资格性符合性全部审查合格才能进入后续评审。</w:t>
      </w:r>
    </w:p>
    <w:p>
      <w:pPr>
        <w:pStyle w:val="13"/>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w:t>
      </w:r>
      <w:r>
        <w:rPr>
          <w:rFonts w:hint="eastAsia" w:ascii="仿宋" w:hAnsi="仿宋" w:eastAsia="仿宋" w:cs="仿宋"/>
          <w:bCs/>
          <w:color w:val="auto"/>
          <w:sz w:val="24"/>
          <w:szCs w:val="24"/>
          <w:highlight w:val="none"/>
          <w:lang w:val="en-US" w:eastAsia="zh-CN"/>
        </w:rPr>
        <w:t>小组</w:t>
      </w:r>
      <w:r>
        <w:rPr>
          <w:rFonts w:hint="eastAsia" w:ascii="仿宋" w:hAnsi="仿宋" w:eastAsia="仿宋" w:cs="仿宋"/>
          <w:bCs/>
          <w:color w:val="auto"/>
          <w:sz w:val="24"/>
          <w:szCs w:val="24"/>
          <w:highlight w:val="none"/>
        </w:rPr>
        <w:t>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p>
      <w:pPr>
        <w:pStyle w:val="13"/>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不得恶意竞价，对于报价差异巨大的，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有权要求</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在规定的时间内提供相关证明材料，在规定时间内不能提供材料或者无法证明的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有权裁定该报价是否为恶意报价。恶意竞价的</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将被取消成交资格，并列入黑名单，在此后五年内不得参与我院任何采买活动。</w:t>
      </w:r>
    </w:p>
    <w:tbl>
      <w:tblPr>
        <w:tblStyle w:val="17"/>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具有独立承担民事责任能力</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具有良好的商业信誉和健全的财务会计制度</w:t>
            </w:r>
          </w:p>
        </w:tc>
        <w:tc>
          <w:tcPr>
            <w:tcW w:w="5760" w:type="dxa"/>
            <w:noWrap w:val="0"/>
            <w:vAlign w:val="center"/>
          </w:tcPr>
          <w:p>
            <w:pPr>
              <w:spacing w:line="380" w:lineRule="exact"/>
              <w:ind w:left="40" w:leftChars="19"/>
              <w:jc w:val="left"/>
              <w:rPr>
                <w:rFonts w:hint="eastAsia" w:ascii="仿宋" w:hAnsi="仿宋" w:eastAsia="仿宋" w:cs="仿宋"/>
                <w:color w:val="auto"/>
                <w:highlight w:val="none"/>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有</w:t>
            </w:r>
            <w:r>
              <w:rPr>
                <w:rFonts w:hint="eastAsia" w:ascii="仿宋" w:hAnsi="仿宋" w:eastAsia="仿宋" w:cs="仿宋"/>
                <w:color w:val="auto"/>
                <w:highlight w:val="none"/>
              </w:rPr>
              <w:t>依法缴纳税收</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有</w:t>
            </w:r>
            <w:r>
              <w:rPr>
                <w:rFonts w:hint="eastAsia" w:ascii="仿宋" w:hAnsi="仿宋" w:eastAsia="仿宋" w:cs="仿宋"/>
                <w:color w:val="auto"/>
                <w:highlight w:val="none"/>
              </w:rPr>
              <w:t>依法缴纳社会保险凭据</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履行合同所必需的设备和专业技术能力的证明材料或书面声明；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没有重大违法记录</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信用记录</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控股关系</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不得参加本项目情况</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联合体</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本项目不接受联合体参加比选，不允许响应供应商对各比选项目进行分包或转包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供应商出具声明函</w:t>
            </w:r>
            <w:r>
              <w:rPr>
                <w:rFonts w:hint="eastAsia" w:ascii="仿宋" w:hAnsi="仿宋" w:eastAsia="仿宋"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落实政府采购政策需满足的资格要求</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本项目是专门面向中小企业采购的项目。（提供《中小企业声明函》</w:t>
            </w:r>
            <w:r>
              <w:rPr>
                <w:rFonts w:hint="eastAsia" w:ascii="仿宋" w:hAnsi="仿宋" w:eastAsia="仿宋" w:cs="仿宋"/>
                <w:color w:val="auto"/>
                <w:szCs w:val="21"/>
                <w:highlight w:val="none"/>
                <w:lang w:eastAsia="zh-CN"/>
              </w:rPr>
              <w:t>，具体格式文件见比价文件P49中小企业声明函（工程、服务）</w:t>
            </w:r>
            <w:r>
              <w:rPr>
                <w:rFonts w:hint="eastAsia" w:ascii="仿宋" w:hAnsi="仿宋" w:eastAsia="仿宋" w:cs="仿宋"/>
                <w:color w:val="auto"/>
                <w:szCs w:val="21"/>
                <w:highlight w:val="none"/>
                <w:lang w:val="hr-HR" w:eastAsia="zh-CN"/>
              </w:rPr>
              <w:t>，未按要求提供声明函的将导致响应无效</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。本项目中小企业划分标准所属行业为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报名</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已在医院办公室报名。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pPr>
              <w:ind w:left="40" w:leftChars="19"/>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响应有效期</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其他</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按有关法律、法规、规章和比选文件中规定的其他无效响应情形。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pPr>
        <w:pStyle w:val="13"/>
        <w:adjustRightInd w:val="0"/>
        <w:snapToGrid w:val="0"/>
        <w:spacing w:line="360" w:lineRule="auto"/>
        <w:ind w:right="32"/>
        <w:rPr>
          <w:rFonts w:hint="eastAsia" w:ascii="仿宋" w:hAnsi="仿宋" w:eastAsia="仿宋" w:cs="仿宋"/>
          <w:b w:val="0"/>
          <w:bCs/>
          <w:color w:val="auto"/>
          <w:sz w:val="24"/>
          <w:szCs w:val="24"/>
          <w:highlight w:val="none"/>
        </w:rPr>
      </w:pPr>
    </w:p>
    <w:p>
      <w:pPr>
        <w:pStyle w:val="13"/>
        <w:adjustRightInd w:val="0"/>
        <w:snapToGrid w:val="0"/>
        <w:spacing w:line="360" w:lineRule="auto"/>
        <w:ind w:right="32" w:firstLine="486"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文件澄清</w:t>
      </w:r>
    </w:p>
    <w:p>
      <w:pPr>
        <w:pStyle w:val="13"/>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对于</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文件中含义不明确、同类问题表述不一致或者有明显文字和计算错误的内容，</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应当在评审过程中发起澄清，要求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针对价格或内容做出必要的澄清、说明或补正。若因</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联系方式错误未接收短信、未接听电话或超时未进行澄清（响应）造成的不利后果由供应商自行承担。</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的澄清、说明或者补正不得超出</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文件的范围或者改变</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文件的实质性内容。</w:t>
      </w:r>
    </w:p>
    <w:p>
      <w:pPr>
        <w:pStyle w:val="13"/>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不接受</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主动提出的澄清、说明或补正。</w:t>
      </w:r>
    </w:p>
    <w:p>
      <w:pPr>
        <w:pStyle w:val="13"/>
        <w:adjustRightInd w:val="0"/>
        <w:snapToGrid w:val="0"/>
        <w:spacing w:line="360" w:lineRule="auto"/>
        <w:ind w:right="32" w:firstLine="463" w:firstLineChars="191"/>
        <w:rPr>
          <w:rFonts w:hint="default" w:ascii="仿宋" w:hAnsi="仿宋" w:eastAsia="仿宋" w:cs="仿宋"/>
          <w:b w:val="0"/>
          <w:bCs/>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提交的澄清、说明或补正有疑问的，可以要求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进一步澄清、说明或补正。</w:t>
      </w:r>
    </w:p>
    <w:p>
      <w:pPr>
        <w:pStyle w:val="13"/>
        <w:adjustRightInd w:val="0"/>
        <w:snapToGrid w:val="0"/>
        <w:spacing w:line="360" w:lineRule="auto"/>
        <w:ind w:right="32" w:firstLine="463"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响应文件的比较和评价</w:t>
      </w:r>
    </w:p>
    <w:p>
      <w:pPr>
        <w:autoSpaceDE w:val="0"/>
        <w:autoSpaceDN w:val="0"/>
        <w:adjustRightInd w:val="0"/>
        <w:snapToGrid w:val="0"/>
        <w:spacing w:line="360" w:lineRule="auto"/>
        <w:ind w:right="32" w:firstLine="463"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pPr>
        <w:autoSpaceDE w:val="0"/>
        <w:autoSpaceDN w:val="0"/>
        <w:adjustRightInd w:val="0"/>
        <w:snapToGrid w:val="0"/>
        <w:spacing w:line="360" w:lineRule="auto"/>
        <w:ind w:right="32" w:firstLine="463"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p>
      <w:pPr>
        <w:autoSpaceDE w:val="0"/>
        <w:autoSpaceDN w:val="0"/>
        <w:adjustRightInd w:val="0"/>
        <w:snapToGrid w:val="0"/>
        <w:spacing w:line="360" w:lineRule="auto"/>
        <w:ind w:right="32" w:firstLine="463" w:firstLineChars="191"/>
        <w:rPr>
          <w:rFonts w:hint="eastAsia" w:ascii="仿宋" w:hAnsi="仿宋" w:eastAsia="仿宋" w:cs="仿宋"/>
          <w:color w:val="auto"/>
          <w:kern w:val="0"/>
          <w:sz w:val="24"/>
          <w:highlight w:val="none"/>
        </w:rPr>
      </w:pPr>
    </w:p>
    <w:tbl>
      <w:tblPr>
        <w:tblStyle w:val="17"/>
        <w:tblW w:w="7840" w:type="dxa"/>
        <w:tblInd w:w="0" w:type="dxa"/>
        <w:tblLayout w:type="fixed"/>
        <w:tblCellMar>
          <w:top w:w="0" w:type="dxa"/>
          <w:left w:w="108" w:type="dxa"/>
          <w:bottom w:w="0" w:type="dxa"/>
          <w:right w:w="108" w:type="dxa"/>
        </w:tblCellMar>
      </w:tblPr>
      <w:tblGrid>
        <w:gridCol w:w="673"/>
        <w:gridCol w:w="1216"/>
        <w:gridCol w:w="847"/>
        <w:gridCol w:w="5104"/>
      </w:tblGrid>
      <w:tr>
        <w:tblPrEx>
          <w:tblCellMar>
            <w:top w:w="0" w:type="dxa"/>
            <w:left w:w="108" w:type="dxa"/>
            <w:bottom w:w="0" w:type="dxa"/>
            <w:right w:w="108" w:type="dxa"/>
          </w:tblCellMar>
        </w:tblPrEx>
        <w:trPr>
          <w:trHeight w:val="427" w:hRule="atLeast"/>
        </w:trPr>
        <w:tc>
          <w:tcPr>
            <w:tcW w:w="784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tblPrEx>
          <w:tblCellMar>
            <w:top w:w="0" w:type="dxa"/>
            <w:left w:w="108" w:type="dxa"/>
            <w:bottom w:w="0" w:type="dxa"/>
            <w:right w:w="108" w:type="dxa"/>
          </w:tblCellMar>
        </w:tblPrEx>
        <w:trPr>
          <w:trHeight w:val="563"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tblPrEx>
          <w:tblCellMar>
            <w:top w:w="0" w:type="dxa"/>
            <w:left w:w="108" w:type="dxa"/>
            <w:bottom w:w="0" w:type="dxa"/>
            <w:right w:w="108" w:type="dxa"/>
          </w:tblCellMar>
        </w:tblPrEx>
        <w:trPr>
          <w:trHeight w:val="1848"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30</w:t>
            </w:r>
          </w:p>
        </w:tc>
        <w:tc>
          <w:tcPr>
            <w:tcW w:w="5104"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r>
      <w:tr>
        <w:tblPrEx>
          <w:tblCellMar>
            <w:top w:w="0" w:type="dxa"/>
            <w:left w:w="108" w:type="dxa"/>
            <w:bottom w:w="0" w:type="dxa"/>
            <w:right w:w="108" w:type="dxa"/>
          </w:tblCellMar>
        </w:tblPrEx>
        <w:trPr>
          <w:trHeight w:val="2461"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第二部分第四点服务要求条款</w:t>
            </w:r>
            <w:r>
              <w:rPr>
                <w:rFonts w:hint="eastAsia" w:ascii="仿宋" w:hAnsi="仿宋" w:eastAsia="仿宋" w:cs="仿宋"/>
                <w:color w:val="auto"/>
                <w:sz w:val="24"/>
                <w:szCs w:val="24"/>
                <w:highlight w:val="none"/>
              </w:rPr>
              <w:t>的响应程度</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15</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根据各响应供应商所提供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第二部分第四点服务要求条款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响应程度进行评分：</w:t>
            </w:r>
          </w:p>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完全满足“采购项目</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要求”中不带▲号的一般技术参数，得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分；有一项不带▲号条款负偏离，得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 有二项不带▲号条款负偏离，得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 有三项不带▲号条款负偏离，得6分； 有四项不带▲号条款负偏离，得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 以此类推，当不带▲号条款负偏离达到</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项（含）以上时，视为严重偏离此评分项不得分。</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文件未要求提供证明材料的技术参数，以</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文件格式技术和服务要求响应表为准。</w:t>
            </w:r>
          </w:p>
        </w:tc>
      </w:tr>
      <w:tr>
        <w:tblPrEx>
          <w:tblCellMar>
            <w:top w:w="0" w:type="dxa"/>
            <w:left w:w="108" w:type="dxa"/>
            <w:bottom w:w="0" w:type="dxa"/>
            <w:right w:w="108" w:type="dxa"/>
          </w:tblCellMar>
        </w:tblPrEx>
        <w:trPr>
          <w:trHeight w:val="338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实施方案</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10</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根据各响应供应商提出的实施方案（包括人力投入、进度计划、具体操作、服务便利措施等情况）进行综合评审，</w:t>
            </w:r>
          </w:p>
          <w:p>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1.实施方案优于采购人的需求，完整包括以上评审内容，且科学可靠，完善、可行程度高，得 10分；</w:t>
            </w:r>
          </w:p>
          <w:p>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2.实施方案响应采购人的需求，基本包括以上评审内容，较科学可靠、完善、基本可行的，得7分；</w:t>
            </w:r>
          </w:p>
          <w:p>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3.实施方案基本响应采购人的需求，对以上评审内容有缺失，科学可靠、完善、可行性程度一般，得4分；</w:t>
            </w:r>
          </w:p>
          <w:p>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4.无提供方案不得分。</w:t>
            </w:r>
          </w:p>
        </w:tc>
      </w:tr>
      <w:tr>
        <w:tblPrEx>
          <w:tblCellMar>
            <w:top w:w="0" w:type="dxa"/>
            <w:left w:w="108" w:type="dxa"/>
            <w:bottom w:w="0" w:type="dxa"/>
            <w:right w:w="108" w:type="dxa"/>
          </w:tblCellMar>
        </w:tblPrEx>
        <w:trPr>
          <w:trHeight w:val="338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突发事件处理方案</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10</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根据各响应供应商提供的突发事件处理方案（</w:t>
            </w:r>
            <w:r>
              <w:rPr>
                <w:rFonts w:hint="eastAsia" w:ascii="仿宋" w:hAnsi="仿宋" w:eastAsia="仿宋" w:cs="仿宋"/>
                <w:color w:val="auto"/>
                <w:sz w:val="24"/>
                <w:lang w:eastAsia="zh-CN"/>
              </w:rPr>
              <w:t>：更换期间爆管，</w:t>
            </w:r>
            <w:r>
              <w:rPr>
                <w:rFonts w:hint="eastAsia" w:ascii="仿宋" w:hAnsi="仿宋" w:eastAsia="仿宋" w:cs="仿宋"/>
                <w:color w:val="auto"/>
                <w:kern w:val="2"/>
                <w:sz w:val="24"/>
                <w:szCs w:val="24"/>
                <w:lang w:val="en-US" w:eastAsia="zh-CN" w:bidi="ar-SA"/>
              </w:rPr>
              <w:t>包括人员到位时间、处置措施等情况）进行综合评审，</w:t>
            </w:r>
          </w:p>
          <w:p>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1.突发事件处理方案优于采购人的需求，完整包括以上评审内容，且科学可靠，完善、可行程度高，得 10分；</w:t>
            </w:r>
          </w:p>
          <w:p>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2.突发事件处理方案响应采购人的需求，基本包括以上评审内容，较科学可靠、完善、基本可行的，得6分；</w:t>
            </w:r>
          </w:p>
          <w:p>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3.突发事件处理方案基本响应采购人的需求，对以上评审内容有缺失，科学可靠、完善、可行性程度一般，得3分；</w:t>
            </w:r>
          </w:p>
          <w:p>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4.无提供方案不得分。</w:t>
            </w:r>
          </w:p>
        </w:tc>
      </w:tr>
      <w:tr>
        <w:tblPrEx>
          <w:tblCellMar>
            <w:top w:w="0" w:type="dxa"/>
            <w:left w:w="108" w:type="dxa"/>
            <w:bottom w:w="0" w:type="dxa"/>
            <w:right w:w="108" w:type="dxa"/>
          </w:tblCellMar>
        </w:tblPrEx>
        <w:trPr>
          <w:trHeight w:val="1542"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 xml:space="preserve">服务团队要求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9</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根据各响应供应商拟派3名人员作为团队要求：</w:t>
            </w:r>
          </w:p>
          <w:p>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1.项目负责人持有安监部门颁发的《特种作业操作证（制冷与空调作业）》上岗作业证书，得3分；</w:t>
            </w:r>
          </w:p>
          <w:p>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2.安装技术人员1人，持有安监部门颁发的《特种作业操作证（高处作业）》上岗作业证书，得3分；</w:t>
            </w:r>
          </w:p>
          <w:p>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3.维修焊接技术人员1人，持有安监部门颁发的《特种作业操作证（融化焊接与热切割作业）》上岗作业证书，得3分；</w:t>
            </w:r>
          </w:p>
          <w:p>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（本项满分6分，须提供人员相关证书和近三个月社保缴纳证明文件复印件，否则不得分。）</w:t>
            </w:r>
          </w:p>
        </w:tc>
      </w:tr>
      <w:tr>
        <w:tblPrEx>
          <w:tblCellMar>
            <w:top w:w="0" w:type="dxa"/>
            <w:left w:w="108" w:type="dxa"/>
            <w:bottom w:w="0" w:type="dxa"/>
            <w:right w:w="108" w:type="dxa"/>
          </w:tblCellMar>
        </w:tblPrEx>
        <w:trPr>
          <w:trHeight w:val="311"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质保期限的响应</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6</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根据各响应供应商</w:t>
            </w:r>
            <w:r>
              <w:rPr>
                <w:rFonts w:hint="eastAsia" w:ascii="仿宋" w:hAnsi="仿宋" w:eastAsia="仿宋" w:cs="仿宋"/>
                <w:color w:val="auto"/>
                <w:sz w:val="24"/>
                <w:lang w:val="en-US" w:eastAsia="zh-CN"/>
              </w:rPr>
              <w:t>提供</w:t>
            </w:r>
            <w:r>
              <w:rPr>
                <w:rFonts w:hint="eastAsia" w:ascii="仿宋" w:hAnsi="仿宋" w:eastAsia="仿宋" w:cs="仿宋"/>
                <w:color w:val="auto"/>
                <w:sz w:val="24"/>
              </w:rPr>
              <w:t>的项目质保期限在符合采购文件要求的质保期基础上承诺期限进行评分</w:t>
            </w:r>
            <w:r>
              <w:rPr>
                <w:rFonts w:hint="eastAsia" w:ascii="仿宋" w:hAnsi="仿宋" w:eastAsia="仿宋" w:cs="仿宋"/>
                <w:color w:val="auto"/>
                <w:kern w:val="2"/>
                <w:sz w:val="24"/>
                <w:szCs w:val="24"/>
                <w:lang w:val="en-US" w:eastAsia="zh-CN" w:bidi="ar-SA"/>
              </w:rPr>
              <w:t>。</w:t>
            </w:r>
          </w:p>
          <w:p>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质保期限符合招标文件要求，</w:t>
            </w:r>
            <w:r>
              <w:rPr>
                <w:rFonts w:hint="eastAsia" w:ascii="仿宋" w:hAnsi="仿宋" w:eastAsia="仿宋" w:cs="仿宋"/>
                <w:color w:val="auto"/>
                <w:sz w:val="24"/>
                <w:lang w:val="en-US" w:eastAsia="zh-CN"/>
              </w:rPr>
              <w:t>在1年质保期的基础上，承诺1年得2分；承诺2年得4分</w:t>
            </w:r>
            <w:r>
              <w:rPr>
                <w:rFonts w:hint="eastAsia" w:ascii="仿宋" w:hAnsi="仿宋" w:eastAsia="仿宋" w:cs="仿宋"/>
                <w:color w:val="auto"/>
                <w:kern w:val="2"/>
                <w:sz w:val="24"/>
                <w:szCs w:val="24"/>
                <w:lang w:val="en-US" w:eastAsia="zh-CN" w:bidi="ar-SA"/>
              </w:rPr>
              <w:t>；</w:t>
            </w:r>
            <w:r>
              <w:rPr>
                <w:rFonts w:hint="eastAsia" w:ascii="仿宋" w:hAnsi="仿宋" w:eastAsia="仿宋" w:cs="仿宋"/>
                <w:color w:val="auto"/>
                <w:sz w:val="24"/>
                <w:lang w:val="en-US" w:eastAsia="zh-CN"/>
              </w:rPr>
              <w:t>承诺3年得6分，提供承诺函，格式自拟，不提供</w:t>
            </w:r>
            <w:r>
              <w:rPr>
                <w:rFonts w:hint="eastAsia" w:ascii="仿宋" w:hAnsi="仿宋" w:eastAsia="仿宋" w:cs="仿宋"/>
                <w:color w:val="auto"/>
                <w:kern w:val="2"/>
                <w:sz w:val="24"/>
                <w:szCs w:val="24"/>
                <w:lang w:val="en-US" w:eastAsia="zh-CN" w:bidi="ar-SA"/>
              </w:rPr>
              <w:t>不得分。</w:t>
            </w:r>
          </w:p>
        </w:tc>
      </w:tr>
      <w:tr>
        <w:tblPrEx>
          <w:tblCellMar>
            <w:top w:w="0" w:type="dxa"/>
            <w:left w:w="108" w:type="dxa"/>
            <w:bottom w:w="0" w:type="dxa"/>
            <w:right w:w="108" w:type="dxa"/>
          </w:tblCellMar>
        </w:tblPrEx>
        <w:trPr>
          <w:trHeight w:val="3074"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质量控制和安全保障措施</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9</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根据响应供应商提供的针对本项目质量控制和安全保障措施是否合理，编制内容是否符合技术要求等内容进行对比评审。</w:t>
            </w:r>
          </w:p>
          <w:p>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1.质量控制和安全保障措施体系完整，制度健全，措施有力得9分；</w:t>
            </w:r>
          </w:p>
          <w:p>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2.质量控制和安全保障措施体系较完整，制度较健全，措施较有力得6分；</w:t>
            </w:r>
          </w:p>
          <w:p>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3.质量控制和安全保障措施体系不完整，制度不够健全，措施不得力得3分；</w:t>
            </w:r>
          </w:p>
          <w:p>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lang w:eastAsia="zh-CN"/>
              </w:rPr>
            </w:pPr>
            <w:r>
              <w:rPr>
                <w:rFonts w:hint="eastAsia" w:ascii="仿宋" w:hAnsi="仿宋" w:eastAsia="仿宋" w:cs="仿宋"/>
                <w:color w:val="auto"/>
                <w:kern w:val="2"/>
                <w:sz w:val="24"/>
                <w:szCs w:val="24"/>
                <w:lang w:val="en-US" w:eastAsia="zh-CN" w:bidi="ar-SA"/>
              </w:rPr>
              <w:t>4.无提供内容不得分。</w:t>
            </w:r>
          </w:p>
        </w:tc>
      </w:tr>
      <w:tr>
        <w:tblPrEx>
          <w:tblCellMar>
            <w:top w:w="0" w:type="dxa"/>
            <w:left w:w="108" w:type="dxa"/>
            <w:bottom w:w="0" w:type="dxa"/>
            <w:right w:w="108" w:type="dxa"/>
          </w:tblCellMar>
        </w:tblPrEx>
        <w:trPr>
          <w:trHeight w:val="3167"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2"/>
                <w:sz w:val="24"/>
                <w:szCs w:val="24"/>
                <w:lang w:val="en-US" w:eastAsia="zh-CN" w:bidi="ar-SA"/>
              </w:rPr>
              <w:t xml:space="preserve">同类业绩情况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6</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leftChars="0" w:right="0" w:rightChars="0"/>
              <w:jc w:val="left"/>
              <w:rPr>
                <w:rFonts w:hint="eastAsia" w:ascii="仿宋" w:hAnsi="仿宋" w:eastAsia="仿宋" w:cs="仿宋"/>
                <w:color w:val="auto"/>
                <w:kern w:val="2"/>
                <w:sz w:val="24"/>
                <w:lang w:val="en-US"/>
              </w:rPr>
            </w:pPr>
            <w:r>
              <w:rPr>
                <w:rFonts w:hint="eastAsia" w:ascii="仿宋" w:hAnsi="仿宋" w:eastAsia="仿宋" w:cs="仿宋"/>
                <w:color w:val="auto"/>
                <w:kern w:val="2"/>
                <w:sz w:val="24"/>
                <w:lang w:val="en-US"/>
              </w:rPr>
              <w:t>根据</w:t>
            </w:r>
            <w:r>
              <w:rPr>
                <w:rFonts w:hint="eastAsia" w:ascii="仿宋" w:hAnsi="仿宋" w:eastAsia="仿宋" w:cs="仿宋"/>
                <w:color w:val="auto"/>
                <w:kern w:val="2"/>
                <w:sz w:val="24"/>
                <w:lang w:val="en-US" w:eastAsia="zh-CN"/>
              </w:rPr>
              <w:t>各</w:t>
            </w:r>
            <w:r>
              <w:rPr>
                <w:rFonts w:hint="eastAsia" w:ascii="仿宋" w:hAnsi="仿宋" w:eastAsia="仿宋" w:cs="仿宋"/>
                <w:color w:val="auto"/>
                <w:kern w:val="2"/>
                <w:sz w:val="24"/>
                <w:lang w:val="en-US"/>
              </w:rPr>
              <w:t>供应商</w:t>
            </w:r>
            <w:r>
              <w:rPr>
                <w:rFonts w:hint="eastAsia" w:ascii="仿宋" w:hAnsi="仿宋" w:eastAsia="仿宋" w:cs="仿宋"/>
                <w:color w:val="auto"/>
                <w:kern w:val="2"/>
                <w:sz w:val="24"/>
                <w:lang w:val="en-US" w:eastAsia="zh-CN"/>
              </w:rPr>
              <w:t>提供的</w:t>
            </w:r>
            <w:r>
              <w:rPr>
                <w:rFonts w:hint="eastAsia" w:ascii="仿宋" w:hAnsi="仿宋" w:eastAsia="仿宋" w:cs="仿宋"/>
                <w:color w:val="auto"/>
                <w:kern w:val="2"/>
                <w:sz w:val="24"/>
                <w:lang w:val="en-US"/>
              </w:rPr>
              <w:t>20</w:t>
            </w:r>
            <w:r>
              <w:rPr>
                <w:rFonts w:hint="eastAsia" w:ascii="仿宋" w:hAnsi="仿宋" w:eastAsia="仿宋" w:cs="仿宋"/>
                <w:color w:val="auto"/>
                <w:kern w:val="2"/>
                <w:sz w:val="24"/>
                <w:lang w:val="en-US" w:eastAsia="zh-CN"/>
              </w:rPr>
              <w:t>22</w:t>
            </w:r>
            <w:r>
              <w:rPr>
                <w:rFonts w:hint="eastAsia" w:ascii="仿宋" w:hAnsi="仿宋" w:eastAsia="仿宋" w:cs="仿宋"/>
                <w:color w:val="auto"/>
                <w:kern w:val="2"/>
                <w:sz w:val="24"/>
                <w:lang w:val="en-US"/>
              </w:rPr>
              <w:t>年1月1日至今</w:t>
            </w:r>
            <w:r>
              <w:rPr>
                <w:rFonts w:hint="eastAsia" w:ascii="仿宋" w:hAnsi="仿宋" w:eastAsia="仿宋" w:cs="仿宋"/>
                <w:color w:val="auto"/>
                <w:kern w:val="2"/>
                <w:sz w:val="24"/>
                <w:lang w:val="en-US" w:eastAsia="zh-CN"/>
              </w:rPr>
              <w:t>（以合同签订时间为准）</w:t>
            </w:r>
            <w:r>
              <w:rPr>
                <w:rFonts w:hint="eastAsia" w:ascii="仿宋" w:hAnsi="仿宋" w:eastAsia="仿宋" w:cs="仿宋"/>
                <w:color w:val="auto"/>
                <w:kern w:val="2"/>
                <w:sz w:val="24"/>
                <w:lang w:val="en-US"/>
              </w:rPr>
              <w:t>的同类项目业绩情况进行评分，每提供一个业绩得</w:t>
            </w:r>
            <w:r>
              <w:rPr>
                <w:rFonts w:hint="eastAsia" w:ascii="仿宋" w:hAnsi="仿宋" w:eastAsia="仿宋" w:cs="仿宋"/>
                <w:color w:val="auto"/>
                <w:kern w:val="2"/>
                <w:sz w:val="24"/>
                <w:lang w:val="en-US" w:eastAsia="zh-CN"/>
              </w:rPr>
              <w:t>1</w:t>
            </w:r>
            <w:r>
              <w:rPr>
                <w:rFonts w:hint="eastAsia" w:ascii="仿宋" w:hAnsi="仿宋" w:eastAsia="仿宋" w:cs="仿宋"/>
                <w:color w:val="auto"/>
                <w:kern w:val="2"/>
                <w:sz w:val="24"/>
                <w:lang w:val="en-US"/>
              </w:rPr>
              <w:t>分，本项最高得分</w:t>
            </w:r>
            <w:r>
              <w:rPr>
                <w:rFonts w:hint="eastAsia" w:ascii="仿宋" w:hAnsi="仿宋" w:eastAsia="仿宋" w:cs="仿宋"/>
                <w:color w:val="auto"/>
                <w:kern w:val="2"/>
                <w:sz w:val="24"/>
                <w:lang w:val="en-US" w:eastAsia="zh-CN"/>
              </w:rPr>
              <w:t>6</w:t>
            </w:r>
            <w:r>
              <w:rPr>
                <w:rFonts w:hint="eastAsia" w:ascii="仿宋" w:hAnsi="仿宋" w:eastAsia="仿宋" w:cs="仿宋"/>
                <w:color w:val="auto"/>
                <w:kern w:val="2"/>
                <w:sz w:val="24"/>
                <w:lang w:val="en-US"/>
              </w:rPr>
              <w:t>分。</w:t>
            </w:r>
          </w:p>
          <w:p>
            <w:pPr>
              <w:widowControl/>
              <w:spacing w:before="0" w:after="0"/>
              <w:rPr>
                <w:rFonts w:hint="eastAsia" w:ascii="仿宋" w:hAnsi="仿宋" w:eastAsia="仿宋" w:cs="仿宋"/>
                <w:color w:val="auto"/>
                <w:sz w:val="24"/>
                <w:lang w:val="en-US" w:eastAsia="zh-CN"/>
              </w:rPr>
            </w:pPr>
            <w:r>
              <w:rPr>
                <w:rFonts w:hint="eastAsia" w:ascii="仿宋" w:hAnsi="仿宋" w:eastAsia="仿宋" w:cs="仿宋"/>
                <w:color w:val="auto"/>
                <w:kern w:val="2"/>
                <w:sz w:val="24"/>
              </w:rPr>
              <w:t>同类业绩证明文件是中标/成交通知书或合同关键页的复印件或扫描件（合同关键页是指包括：①能显示</w:t>
            </w:r>
            <w:r>
              <w:rPr>
                <w:rFonts w:hint="eastAsia" w:ascii="仿宋" w:hAnsi="仿宋" w:eastAsia="仿宋" w:cs="仿宋"/>
                <w:color w:val="auto"/>
                <w:kern w:val="2"/>
                <w:sz w:val="24"/>
                <w:lang w:eastAsia="zh-CN"/>
              </w:rPr>
              <w:t>服务内容</w:t>
            </w:r>
            <w:r>
              <w:rPr>
                <w:rFonts w:hint="eastAsia" w:ascii="仿宋" w:hAnsi="仿宋" w:eastAsia="仿宋" w:cs="仿宋"/>
                <w:color w:val="auto"/>
                <w:kern w:val="2"/>
                <w:sz w:val="24"/>
              </w:rPr>
              <w:t>等相关信息；②签订合同双方的单位名称、合同项目名称；③签订合同双方的签章、盖章及签订日期），无提供不得分。</w:t>
            </w:r>
          </w:p>
        </w:tc>
      </w:tr>
      <w:tr>
        <w:tblPrEx>
          <w:tblCellMar>
            <w:top w:w="0" w:type="dxa"/>
            <w:left w:w="108" w:type="dxa"/>
            <w:bottom w:w="0" w:type="dxa"/>
            <w:right w:w="108" w:type="dxa"/>
          </w:tblCellMar>
        </w:tblPrEx>
        <w:trPr>
          <w:trHeight w:val="1245"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对采购文件的商务响应程度</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5</w:t>
            </w:r>
          </w:p>
        </w:tc>
        <w:tc>
          <w:tcPr>
            <w:tcW w:w="51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本项目的采购文件对各响应供应商的商务要求响应文件响应情况进行综合评审，全部满足采购文件“商务要求”要求得5分，有一项不满足采购文件要求得4分，有两项不满足采购文件要求得3分，以此类推，扣完为止。</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文件未要求提供证明材料的技术参数，以</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文件格式技术和服务要求响应表为准。</w:t>
            </w:r>
          </w:p>
        </w:tc>
      </w:tr>
    </w:tbl>
    <w:p>
      <w:pPr>
        <w:widowControl/>
        <w:jc w:val="left"/>
        <w:rPr>
          <w:rFonts w:hint="eastAsia" w:ascii="仿宋" w:hAnsi="仿宋" w:eastAsia="仿宋" w:cs="仿宋"/>
          <w:color w:val="auto"/>
          <w:sz w:val="24"/>
          <w:szCs w:val="24"/>
          <w:highlight w:val="none"/>
        </w:rPr>
      </w:pPr>
    </w:p>
    <w:p>
      <w:pPr>
        <w:pStyle w:val="13"/>
        <w:adjustRightInd w:val="0"/>
        <w:snapToGrid w:val="0"/>
        <w:spacing w:line="360" w:lineRule="auto"/>
        <w:ind w:right="32" w:firstLine="463"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green"/>
          <w:lang w:val="en-US" w:eastAsia="zh-CN"/>
        </w:rPr>
        <w:t>推荐</w:t>
      </w:r>
      <w:r>
        <w:rPr>
          <w:rFonts w:hint="eastAsia" w:ascii="仿宋" w:hAnsi="仿宋" w:eastAsia="仿宋" w:cs="仿宋"/>
          <w:b w:val="0"/>
          <w:bCs/>
          <w:color w:val="auto"/>
          <w:sz w:val="24"/>
          <w:szCs w:val="24"/>
          <w:highlight w:val="none"/>
        </w:rPr>
        <w:t>成交候选供应商</w:t>
      </w:r>
    </w:p>
    <w:p>
      <w:pPr>
        <w:autoSpaceDE w:val="0"/>
        <w:autoSpaceDN w:val="0"/>
        <w:adjustRightInd w:val="0"/>
        <w:snapToGrid w:val="0"/>
        <w:spacing w:line="360" w:lineRule="auto"/>
        <w:ind w:right="32" w:firstLine="463" w:firstLineChars="191"/>
        <w:rPr>
          <w:rFonts w:ascii="仿宋" w:hAnsi="仿宋" w:eastAsia="仿宋" w:cs="仿宋"/>
          <w:b w:val="0"/>
          <w:bCs w:val="0"/>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w:t>
      </w:r>
      <w:r>
        <w:rPr>
          <w:rFonts w:hint="eastAsia" w:ascii="仿宋" w:hAnsi="仿宋" w:eastAsia="仿宋" w:cs="仿宋"/>
          <w:color w:val="auto"/>
          <w:kern w:val="0"/>
          <w:sz w:val="24"/>
          <w:highlight w:val="green"/>
          <w:lang w:val="en-US" w:eastAsia="zh-CN"/>
        </w:rPr>
        <w:t>推荐前3名</w:t>
      </w:r>
      <w:r>
        <w:rPr>
          <w:rFonts w:hint="eastAsia" w:ascii="仿宋" w:hAnsi="仿宋" w:eastAsia="仿宋" w:cs="仿宋"/>
          <w:color w:val="auto"/>
          <w:kern w:val="0"/>
          <w:sz w:val="24"/>
          <w:highlight w:val="none"/>
        </w:rPr>
        <w:t>成交候选供应商。综合得分相同的，按响应报价由低到高顺序推荐成交候选供应商，得分</w:t>
      </w:r>
      <w:r>
        <w:rPr>
          <w:rFonts w:hint="eastAsia" w:ascii="仿宋" w:hAnsi="仿宋" w:eastAsia="仿宋" w:cs="仿宋"/>
          <w:b w:val="0"/>
          <w:bCs w:val="0"/>
          <w:color w:val="auto"/>
          <w:kern w:val="0"/>
          <w:sz w:val="24"/>
          <w:highlight w:val="none"/>
        </w:rPr>
        <w:t>且</w:t>
      </w:r>
      <w:r>
        <w:rPr>
          <w:rFonts w:hint="eastAsia" w:ascii="仿宋" w:hAnsi="仿宋" w:eastAsia="仿宋" w:cs="仿宋"/>
          <w:b w:val="0"/>
          <w:bCs w:val="0"/>
          <w:color w:val="auto"/>
          <w:kern w:val="0"/>
          <w:sz w:val="24"/>
          <w:highlight w:val="none"/>
          <w:lang w:eastAsia="zh-CN"/>
        </w:rPr>
        <w:t>响应</w:t>
      </w:r>
      <w:r>
        <w:rPr>
          <w:rFonts w:hint="eastAsia" w:ascii="仿宋" w:hAnsi="仿宋" w:eastAsia="仿宋" w:cs="仿宋"/>
          <w:b w:val="0"/>
          <w:bCs w:val="0"/>
          <w:color w:val="auto"/>
          <w:kern w:val="0"/>
          <w:sz w:val="24"/>
          <w:highlight w:val="none"/>
        </w:rPr>
        <w:t>报价相同的，由</w:t>
      </w:r>
      <w:r>
        <w:rPr>
          <w:rFonts w:hint="eastAsia" w:ascii="仿宋" w:hAnsi="仿宋" w:eastAsia="仿宋" w:cs="仿宋"/>
          <w:b w:val="0"/>
          <w:bCs w:val="0"/>
          <w:color w:val="auto"/>
          <w:kern w:val="0"/>
          <w:sz w:val="24"/>
          <w:highlight w:val="none"/>
          <w:lang w:eastAsia="zh-CN"/>
        </w:rPr>
        <w:t>评审小组</w:t>
      </w:r>
      <w:r>
        <w:rPr>
          <w:rFonts w:hint="eastAsia" w:ascii="仿宋" w:hAnsi="仿宋" w:eastAsia="仿宋" w:cs="仿宋"/>
          <w:b w:val="0"/>
          <w:bCs w:val="0"/>
          <w:color w:val="auto"/>
          <w:kern w:val="0"/>
          <w:sz w:val="24"/>
          <w:highlight w:val="none"/>
        </w:rPr>
        <w:t>采取随机抽取的方式确定。</w:t>
      </w:r>
    </w:p>
    <w:p>
      <w:pPr>
        <w:pStyle w:val="13"/>
        <w:adjustRightInd w:val="0"/>
        <w:snapToGrid w:val="0"/>
        <w:spacing w:line="360" w:lineRule="auto"/>
        <w:ind w:firstLine="486" w:firstLineChars="200"/>
        <w:rPr>
          <w:rFonts w:hint="default" w:ascii="仿宋" w:hAnsi="仿宋" w:eastAsia="仿宋" w:cs="仿宋"/>
          <w:b/>
          <w:bCs/>
          <w:color w:val="auto"/>
          <w:sz w:val="24"/>
          <w:szCs w:val="24"/>
          <w:highlight w:val="green"/>
          <w:lang w:val="en-US" w:eastAsia="zh-CN"/>
        </w:rPr>
      </w:pPr>
      <w:r>
        <w:rPr>
          <w:rFonts w:hint="eastAsia" w:ascii="仿宋" w:hAnsi="仿宋" w:eastAsia="仿宋" w:cs="仿宋"/>
          <w:b/>
          <w:bCs/>
          <w:color w:val="auto"/>
          <w:sz w:val="24"/>
          <w:szCs w:val="24"/>
          <w:highlight w:val="green"/>
          <w:lang w:val="en-US" w:eastAsia="zh-CN"/>
        </w:rPr>
        <w:t>（三）定标</w:t>
      </w:r>
    </w:p>
    <w:p>
      <w:pPr>
        <w:pStyle w:val="13"/>
        <w:adjustRightInd w:val="0"/>
        <w:snapToGrid w:val="0"/>
        <w:spacing w:line="360" w:lineRule="auto"/>
        <w:ind w:firstLine="486" w:firstLineChars="200"/>
        <w:rPr>
          <w:rFonts w:hint="eastAsia" w:ascii="仿宋" w:hAnsi="仿宋" w:eastAsia="仿宋" w:cs="仿宋"/>
          <w:color w:val="auto"/>
          <w:sz w:val="24"/>
          <w:szCs w:val="24"/>
          <w:highlight w:val="green"/>
          <w:lang w:val="en-US" w:eastAsia="zh-CN"/>
        </w:rPr>
      </w:pPr>
      <w:r>
        <w:rPr>
          <w:rFonts w:hint="eastAsia" w:ascii="仿宋" w:hAnsi="仿宋" w:eastAsia="仿宋" w:cs="仿宋"/>
          <w:color w:val="auto"/>
          <w:sz w:val="24"/>
          <w:szCs w:val="24"/>
          <w:highlight w:val="green"/>
          <w:lang w:val="en-US" w:eastAsia="zh-CN"/>
        </w:rPr>
        <w:t>1.定标方法：定标由采购人负责，按照科学、民主决策原则，根据评审结果和采购需求，由党委会（或院务会）从成交候选供应商中确定最终成交供应商。</w:t>
      </w:r>
    </w:p>
    <w:p>
      <w:pPr>
        <w:pStyle w:val="13"/>
        <w:adjustRightInd w:val="0"/>
        <w:snapToGrid w:val="0"/>
        <w:spacing w:line="360" w:lineRule="auto"/>
        <w:ind w:firstLine="486" w:firstLineChars="200"/>
        <w:rPr>
          <w:rFonts w:hint="default" w:ascii="仿宋" w:hAnsi="仿宋" w:eastAsia="仿宋" w:cs="仿宋"/>
          <w:color w:val="auto"/>
          <w:sz w:val="24"/>
          <w:szCs w:val="24"/>
          <w:highlight w:val="green"/>
          <w:lang w:val="en-US" w:eastAsia="zh-CN"/>
        </w:rPr>
      </w:pPr>
      <w:r>
        <w:rPr>
          <w:rFonts w:hint="eastAsia" w:ascii="仿宋" w:hAnsi="仿宋" w:eastAsia="仿宋" w:cs="仿宋"/>
          <w:color w:val="auto"/>
          <w:sz w:val="24"/>
          <w:szCs w:val="24"/>
          <w:highlight w:val="green"/>
          <w:lang w:val="en-US" w:eastAsia="zh-CN"/>
        </w:rPr>
        <w:t>2.</w:t>
      </w:r>
      <w:r>
        <w:rPr>
          <w:rFonts w:hint="default" w:ascii="仿宋" w:hAnsi="仿宋" w:eastAsia="仿宋" w:cs="仿宋"/>
          <w:color w:val="auto"/>
          <w:sz w:val="24"/>
          <w:szCs w:val="24"/>
          <w:highlight w:val="green"/>
          <w:lang w:val="en-US" w:eastAsia="zh-CN"/>
        </w:rPr>
        <w:t>定标因素：本项目定标因素包括企业实力、企业信誉、投标文件响应情况、投标报价、拟派团队管理能力与水平等多方面因素，结合医院发展需求，择优选择履约能力较强、价格合理的供应商。</w:t>
      </w:r>
    </w:p>
    <w:p>
      <w:pPr>
        <w:pStyle w:val="13"/>
        <w:adjustRightInd w:val="0"/>
        <w:snapToGrid w:val="0"/>
        <w:spacing w:line="360" w:lineRule="auto"/>
        <w:ind w:firstLine="486" w:firstLineChars="200"/>
        <w:rPr>
          <w:rFonts w:hint="default" w:ascii="仿宋" w:hAnsi="仿宋" w:eastAsia="仿宋" w:cs="仿宋"/>
          <w:color w:val="auto"/>
          <w:sz w:val="24"/>
          <w:szCs w:val="24"/>
          <w:highlight w:val="green"/>
          <w:lang w:val="en-US" w:eastAsia="zh-CN"/>
        </w:rPr>
      </w:pPr>
      <w:r>
        <w:rPr>
          <w:rFonts w:hint="default" w:ascii="仿宋" w:hAnsi="仿宋" w:eastAsia="仿宋" w:cs="仿宋"/>
          <w:color w:val="auto"/>
          <w:sz w:val="24"/>
          <w:szCs w:val="24"/>
          <w:highlight w:val="green"/>
          <w:lang w:val="en-US" w:eastAsia="zh-CN"/>
        </w:rPr>
        <w:t>3</w:t>
      </w:r>
      <w:r>
        <w:rPr>
          <w:rFonts w:hint="eastAsia" w:ascii="仿宋" w:hAnsi="仿宋" w:eastAsia="仿宋" w:cs="仿宋"/>
          <w:color w:val="auto"/>
          <w:sz w:val="24"/>
          <w:szCs w:val="24"/>
          <w:highlight w:val="green"/>
          <w:lang w:val="en-US" w:eastAsia="zh-CN"/>
        </w:rPr>
        <w:t>.</w:t>
      </w:r>
      <w:r>
        <w:rPr>
          <w:rFonts w:hint="default" w:ascii="仿宋" w:hAnsi="仿宋" w:eastAsia="仿宋" w:cs="仿宋"/>
          <w:color w:val="auto"/>
          <w:sz w:val="24"/>
          <w:szCs w:val="24"/>
          <w:highlight w:val="green"/>
          <w:lang w:val="en-US" w:eastAsia="zh-CN"/>
        </w:rPr>
        <w:t>定标时间：在评标报告</w:t>
      </w:r>
      <w:r>
        <w:rPr>
          <w:rFonts w:hint="eastAsia" w:ascii="仿宋" w:hAnsi="仿宋" w:eastAsia="仿宋" w:cs="仿宋"/>
          <w:color w:val="auto"/>
          <w:sz w:val="24"/>
          <w:szCs w:val="24"/>
          <w:highlight w:val="green"/>
          <w:lang w:val="en-US" w:eastAsia="zh-CN"/>
        </w:rPr>
        <w:t>出具后</w:t>
      </w:r>
      <w:r>
        <w:rPr>
          <w:rFonts w:hint="default" w:ascii="仿宋" w:hAnsi="仿宋" w:eastAsia="仿宋" w:cs="仿宋"/>
          <w:color w:val="auto"/>
          <w:sz w:val="24"/>
          <w:szCs w:val="24"/>
          <w:highlight w:val="green"/>
          <w:lang w:val="en-US" w:eastAsia="zh-CN"/>
        </w:rPr>
        <w:t>3周内完成定标工作。</w:t>
      </w:r>
    </w:p>
    <w:p>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green"/>
          <w:lang w:val="en-US" w:eastAsia="zh-CN"/>
        </w:rPr>
      </w:pPr>
      <w:r>
        <w:rPr>
          <w:rFonts w:hint="eastAsia" w:ascii="仿宋" w:hAnsi="仿宋" w:eastAsia="仿宋" w:cs="仿宋"/>
          <w:b w:val="0"/>
          <w:bCs w:val="0"/>
          <w:color w:val="auto"/>
          <w:sz w:val="24"/>
          <w:szCs w:val="24"/>
          <w:highlight w:val="green"/>
          <w:lang w:val="en-US" w:eastAsia="zh-CN"/>
        </w:rPr>
        <w:t>4.成交候选供应商公示</w:t>
      </w:r>
    </w:p>
    <w:p>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green"/>
          <w:lang w:val="en-US" w:eastAsia="zh-CN"/>
        </w:rPr>
      </w:pPr>
      <w:r>
        <w:rPr>
          <w:rFonts w:hint="eastAsia" w:ascii="仿宋" w:hAnsi="仿宋" w:eastAsia="仿宋" w:cs="仿宋"/>
          <w:b w:val="0"/>
          <w:bCs w:val="0"/>
          <w:color w:val="auto"/>
          <w:sz w:val="24"/>
          <w:szCs w:val="24"/>
          <w:highlight w:val="green"/>
          <w:lang w:val="en-US" w:eastAsia="zh-CN"/>
        </w:rPr>
        <w:t>采购人应当在决策确定后3个工作日内公示成交候选供应商，公示期不得少于1个工作日。公示应当包括以下内容:</w:t>
      </w:r>
    </w:p>
    <w:p>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green"/>
          <w:lang w:val="en-US" w:eastAsia="zh-CN"/>
        </w:rPr>
      </w:pPr>
      <w:r>
        <w:rPr>
          <w:rFonts w:hint="eastAsia" w:ascii="仿宋" w:hAnsi="仿宋" w:eastAsia="仿宋" w:cs="仿宋"/>
          <w:b w:val="0"/>
          <w:bCs w:val="0"/>
          <w:color w:val="auto"/>
          <w:sz w:val="24"/>
          <w:szCs w:val="24"/>
          <w:highlight w:val="green"/>
          <w:lang w:val="en-US" w:eastAsia="zh-CN"/>
        </w:rPr>
        <w:t>(1)响应供应商名称、报价；</w:t>
      </w:r>
    </w:p>
    <w:p>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green"/>
          <w:lang w:val="en-US" w:eastAsia="zh-CN"/>
        </w:rPr>
      </w:pPr>
      <w:r>
        <w:rPr>
          <w:rFonts w:hint="eastAsia" w:ascii="仿宋" w:hAnsi="仿宋" w:eastAsia="仿宋" w:cs="仿宋"/>
          <w:b w:val="0"/>
          <w:bCs w:val="0"/>
          <w:color w:val="auto"/>
          <w:sz w:val="24"/>
          <w:szCs w:val="24"/>
          <w:highlight w:val="green"/>
          <w:lang w:val="en-US" w:eastAsia="zh-CN"/>
        </w:rPr>
        <w:t>(2)成交候选供应商名单；</w:t>
      </w:r>
    </w:p>
    <w:p>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green"/>
          <w:lang w:val="en-US" w:eastAsia="zh-CN"/>
        </w:rPr>
      </w:pPr>
      <w:r>
        <w:rPr>
          <w:rFonts w:hint="eastAsia" w:ascii="仿宋" w:hAnsi="仿宋" w:eastAsia="仿宋" w:cs="仿宋"/>
          <w:b w:val="0"/>
          <w:bCs w:val="0"/>
          <w:color w:val="auto"/>
          <w:sz w:val="24"/>
          <w:szCs w:val="24"/>
          <w:highlight w:val="green"/>
          <w:lang w:val="en-US" w:eastAsia="zh-CN"/>
        </w:rPr>
        <w:t>(3)确定的成交供应商名单；</w:t>
      </w:r>
    </w:p>
    <w:p>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green"/>
          <w:lang w:val="en-US" w:eastAsia="zh-CN"/>
        </w:rPr>
      </w:pPr>
      <w:r>
        <w:rPr>
          <w:rFonts w:hint="eastAsia" w:ascii="仿宋" w:hAnsi="仿宋" w:eastAsia="仿宋" w:cs="仿宋"/>
          <w:b w:val="0"/>
          <w:bCs w:val="0"/>
          <w:color w:val="auto"/>
          <w:sz w:val="24"/>
          <w:szCs w:val="24"/>
          <w:highlight w:val="green"/>
          <w:lang w:val="en-US" w:eastAsia="zh-CN"/>
        </w:rPr>
        <w:t>(4)法律、法规和规章规定的其他内容。</w:t>
      </w:r>
    </w:p>
    <w:p>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green"/>
          <w:lang w:val="en-US" w:eastAsia="zh-CN"/>
        </w:rPr>
      </w:pPr>
      <w:r>
        <w:rPr>
          <w:rFonts w:hint="eastAsia" w:ascii="仿宋" w:hAnsi="仿宋" w:eastAsia="仿宋" w:cs="仿宋"/>
          <w:b w:val="0"/>
          <w:bCs w:val="0"/>
          <w:color w:val="auto"/>
          <w:sz w:val="24"/>
          <w:szCs w:val="24"/>
          <w:highlight w:val="green"/>
          <w:lang w:val="en-US" w:eastAsia="zh-CN"/>
        </w:rPr>
        <w:t>5.成交通知书：</w:t>
      </w:r>
    </w:p>
    <w:p>
      <w:pPr>
        <w:autoSpaceDE w:val="0"/>
        <w:autoSpaceDN w:val="0"/>
        <w:adjustRightInd w:val="0"/>
        <w:snapToGrid w:val="0"/>
        <w:spacing w:line="360" w:lineRule="auto"/>
        <w:ind w:right="32" w:firstLine="486" w:firstLineChars="200"/>
        <w:rPr>
          <w:rFonts w:hint="eastAsia" w:ascii="仿宋" w:hAnsi="仿宋" w:eastAsia="仿宋" w:cs="仿宋"/>
          <w:b/>
          <w:color w:val="auto"/>
          <w:sz w:val="24"/>
          <w:highlight w:val="none"/>
        </w:rPr>
      </w:pPr>
      <w:r>
        <w:rPr>
          <w:rFonts w:hint="eastAsia" w:ascii="仿宋" w:hAnsi="仿宋" w:eastAsia="仿宋" w:cs="仿宋"/>
          <w:b w:val="0"/>
          <w:bCs w:val="0"/>
          <w:color w:val="auto"/>
          <w:sz w:val="24"/>
          <w:szCs w:val="24"/>
          <w:highlight w:val="green"/>
          <w:lang w:val="en-US" w:eastAsia="zh-CN"/>
        </w:rPr>
        <w:t xml:space="preserve"> 公示期满无异议或者异议不成立的，采购人确定成交候选供应商为成交供应商，发出成交通知书。成交供应商放弃中标、因不可抗力不能履行合同或者被查实存在影响中标结果的违法行为等情形，采购人可以按照成交候选供应商名单排序依次确定其他成交候选供应商为成交供应商，也可以重新比选。</w:t>
      </w: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询问、</w:t>
      </w:r>
      <w:r>
        <w:rPr>
          <w:rFonts w:hint="eastAsia" w:ascii="仿宋" w:hAnsi="仿宋" w:eastAsia="仿宋" w:cs="仿宋"/>
          <w:b/>
          <w:color w:val="auto"/>
          <w:sz w:val="24"/>
          <w:highlight w:val="none"/>
        </w:rPr>
        <w:t>质疑和投诉</w:t>
      </w:r>
    </w:p>
    <w:p>
      <w:pPr>
        <w:pStyle w:val="13"/>
        <w:adjustRightInd w:val="0"/>
        <w:snapToGrid w:val="0"/>
        <w:spacing w:line="360" w:lineRule="auto"/>
        <w:ind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（一）询问</w:t>
      </w:r>
    </w:p>
    <w:p>
      <w:pPr>
        <w:pStyle w:val="13"/>
        <w:adjustRightInd w:val="0"/>
        <w:snapToGrid w:val="0"/>
        <w:spacing w:line="360" w:lineRule="auto"/>
        <w:ind w:firstLine="486"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对政府采购活动事项（</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结果）有疑问的，可以向采购人提出询问，采购人将及时作出答复，但答复的内容不涉及商业秘密。询问可以口头方式提出，也可以书面方式提出，书面方式包括但不限于传真、信函、电子邮件。联系方式见《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邀请函》中“采购人的名称、地址和联系方式”。</w:t>
      </w:r>
    </w:p>
    <w:p>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对比选文件的质疑和处理</w:t>
      </w:r>
    </w:p>
    <w:p>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供应商对比选公告或文件有异议的，应在比选公告的有效期内书面向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不再受理供应商对比选公告或文件的质疑。</w:t>
      </w:r>
    </w:p>
    <w:p>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对比选文件提出的质疑成立后，由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供应商认为</w:t>
      </w:r>
      <w:r>
        <w:rPr>
          <w:rFonts w:hint="eastAsia" w:ascii="仿宋" w:hAnsi="仿宋" w:eastAsia="仿宋" w:cs="仿宋"/>
          <w:strike w:val="0"/>
          <w:dstrike w:val="0"/>
          <w:color w:val="auto"/>
          <w:sz w:val="24"/>
          <w:highlight w:val="green"/>
          <w:lang w:val="en-US" w:eastAsia="zh-CN"/>
        </w:rPr>
        <w:t>响应</w:t>
      </w:r>
      <w:r>
        <w:rPr>
          <w:rFonts w:hint="eastAsia" w:ascii="仿宋" w:hAnsi="仿宋" w:eastAsia="仿宋" w:cs="仿宋"/>
          <w:strike w:val="0"/>
          <w:dstrike w:val="0"/>
          <w:color w:val="auto"/>
          <w:sz w:val="24"/>
          <w:highlight w:val="green"/>
        </w:rPr>
        <w:t>文件、评定标过程的评</w:t>
      </w:r>
      <w:r>
        <w:rPr>
          <w:rFonts w:hint="eastAsia" w:ascii="仿宋" w:hAnsi="仿宋" w:eastAsia="仿宋" w:cs="仿宋"/>
          <w:strike w:val="0"/>
          <w:dstrike w:val="0"/>
          <w:color w:val="auto"/>
          <w:sz w:val="24"/>
          <w:highlight w:val="green"/>
          <w:lang w:eastAsia="zh-CN"/>
        </w:rPr>
        <w:t>审及</w:t>
      </w:r>
      <w:r>
        <w:rPr>
          <w:rFonts w:hint="eastAsia" w:ascii="仿宋" w:hAnsi="仿宋" w:eastAsia="仿宋" w:cs="仿宋"/>
          <w:strike w:val="0"/>
          <w:dstrike w:val="0"/>
          <w:color w:val="auto"/>
          <w:sz w:val="24"/>
          <w:highlight w:val="green"/>
        </w:rPr>
        <w:t>定标结果</w:t>
      </w:r>
      <w:r>
        <w:rPr>
          <w:rFonts w:hint="eastAsia" w:ascii="仿宋" w:hAnsi="仿宋" w:eastAsia="仿宋" w:cs="仿宋"/>
          <w:color w:val="auto"/>
          <w:sz w:val="24"/>
          <w:highlight w:val="none"/>
        </w:rPr>
        <w:t>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提出质疑。</w:t>
      </w:r>
    </w:p>
    <w:p>
      <w:pPr>
        <w:pStyle w:val="13"/>
        <w:adjustRightInd w:val="0"/>
        <w:snapToGrid w:val="0"/>
        <w:spacing w:line="360" w:lineRule="auto"/>
        <w:ind w:firstLine="486"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包括证明材料清单、证明文件及获取途径说明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。质疑函应当包括下列内容：</w:t>
      </w:r>
    </w:p>
    <w:p>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pPr>
        <w:pStyle w:val="13"/>
        <w:adjustRightInd w:val="0"/>
        <w:snapToGrid w:val="0"/>
        <w:spacing w:line="360" w:lineRule="auto"/>
        <w:ind w:firstLine="486"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将不予接收。</w:t>
      </w:r>
    </w:p>
    <w:p>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受理质疑后，质疑人书面申请撤回质疑的，应当终止质疑处理程序。</w:t>
      </w:r>
    </w:p>
    <w:p>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pPr>
        <w:pStyle w:val="13"/>
        <w:adjustRightInd w:val="0"/>
        <w:snapToGrid w:val="0"/>
        <w:spacing w:line="360" w:lineRule="auto"/>
        <w:ind w:firstLine="486"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七</w:t>
      </w:r>
      <w:r>
        <w:rPr>
          <w:rFonts w:hint="eastAsia" w:ascii="仿宋" w:hAnsi="仿宋" w:eastAsia="仿宋" w:cs="仿宋"/>
          <w:b/>
          <w:color w:val="auto"/>
          <w:kern w:val="0"/>
          <w:sz w:val="24"/>
          <w:szCs w:val="24"/>
          <w:highlight w:val="none"/>
        </w:rPr>
        <w:t>、合同的订立和履行</w:t>
      </w:r>
    </w:p>
    <w:p>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合同的订立</w:t>
      </w:r>
    </w:p>
    <w:p>
      <w:pPr>
        <w:autoSpaceDE w:val="0"/>
        <w:autoSpaceDN w:val="0"/>
        <w:adjustRightInd w:val="0"/>
        <w:snapToGrid w:val="0"/>
        <w:spacing w:line="360" w:lineRule="auto"/>
        <w:ind w:right="32" w:firstLine="486"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w:t>
      </w:r>
      <w:r>
        <w:rPr>
          <w:rFonts w:hint="eastAsia" w:ascii="仿宋" w:hAnsi="仿宋" w:eastAsia="仿宋" w:cs="仿宋"/>
          <w:color w:val="auto"/>
          <w:kern w:val="0"/>
          <w:sz w:val="24"/>
          <w:highlight w:val="none"/>
          <w:lang w:eastAsia="zh-CN"/>
        </w:rPr>
        <w:t>成交供应商</w:t>
      </w:r>
      <w:r>
        <w:rPr>
          <w:rFonts w:hint="eastAsia" w:ascii="仿宋" w:hAnsi="仿宋" w:eastAsia="仿宋" w:cs="仿宋"/>
          <w:color w:val="auto"/>
          <w:kern w:val="0"/>
          <w:sz w:val="24"/>
          <w:highlight w:val="none"/>
        </w:rPr>
        <w:t>响应文件承诺签订采购合同。未按规定时间签订合同的，视为主动放弃成交资格。但不得超出比选文件和成交供应商响应文件的范围</w:t>
      </w:r>
      <w:r>
        <w:rPr>
          <w:rFonts w:hint="eastAsia" w:ascii="仿宋" w:hAnsi="仿宋" w:eastAsia="仿宋" w:cs="仿宋"/>
          <w:color w:val="auto"/>
          <w:kern w:val="0"/>
          <w:sz w:val="24"/>
          <w:highlight w:val="none"/>
          <w:lang w:eastAsia="zh-CN"/>
        </w:rPr>
        <w:t>，也</w:t>
      </w:r>
      <w:r>
        <w:rPr>
          <w:rFonts w:hint="eastAsia" w:ascii="仿宋" w:hAnsi="仿宋" w:eastAsia="仿宋" w:cs="仿宋"/>
          <w:color w:val="auto"/>
          <w:kern w:val="0"/>
          <w:sz w:val="24"/>
          <w:highlight w:val="none"/>
        </w:rPr>
        <w:t>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合同的履行</w:t>
      </w:r>
    </w:p>
    <w:p>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审批。</w:t>
      </w:r>
    </w:p>
    <w:p>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p>
      <w:pPr>
        <w:adjustRightInd w:val="0"/>
        <w:snapToGrid w:val="0"/>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、适用法律及规定</w:t>
      </w:r>
    </w:p>
    <w:p>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及供应商的一切采购活动均参考《中华人民共和国政府采购法》及医院的采购制度。</w:t>
      </w:r>
    </w:p>
    <w:p>
      <w:pPr>
        <w:pStyle w:val="13"/>
        <w:adjustRightInd w:val="0"/>
        <w:snapToGrid w:val="0"/>
        <w:spacing w:line="360" w:lineRule="auto"/>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w:t>
      </w:r>
      <w:r>
        <w:rPr>
          <w:rFonts w:hint="eastAsia" w:ascii="仿宋" w:hAnsi="仿宋" w:eastAsia="仿宋" w:cs="仿宋"/>
          <w:color w:val="auto"/>
          <w:kern w:val="0"/>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kern w:val="0"/>
          <w:sz w:val="24"/>
          <w:highlight w:val="none"/>
        </w:rPr>
        <w:t>存在以上情形的供应商应主动予以回避，否则自行承担相应的法律责任及后果。</w:t>
      </w:r>
    </w:p>
    <w:p>
      <w:pPr>
        <w:autoSpaceDE/>
        <w:autoSpaceDN/>
        <w:adjustRightInd/>
        <w:snapToGrid/>
        <w:spacing w:line="240" w:lineRule="auto"/>
        <w:ind w:right="0" w:firstLine="0" w:firstLine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autoSpaceDE w:val="0"/>
        <w:autoSpaceDN w:val="0"/>
        <w:adjustRightInd w:val="0"/>
        <w:snapToGrid w:val="0"/>
        <w:spacing w:line="360" w:lineRule="auto"/>
        <w:ind w:right="32" w:firstLine="566" w:firstLineChars="20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第四部分  合同书范本格式</w:t>
      </w:r>
    </w:p>
    <w:p>
      <w:pPr>
        <w:autoSpaceDE w:val="0"/>
        <w:autoSpaceDN w:val="0"/>
        <w:adjustRightInd w:val="0"/>
        <w:spacing w:before="100" w:beforeAutospacing="1" w:after="100" w:afterAutospacing="1"/>
        <w:jc w:val="right"/>
        <w:rPr>
          <w:rFonts w:hint="eastAsia" w:ascii="Arial" w:hAnsi="Arial" w:eastAsia="黑体"/>
          <w:bCs/>
          <w:color w:val="auto"/>
          <w:sz w:val="30"/>
          <w:szCs w:val="30"/>
          <w:highlight w:val="none"/>
          <w:lang w:val="en-US" w:eastAsia="zh-CN"/>
        </w:rPr>
      </w:pPr>
      <w:r>
        <w:rPr>
          <w:rFonts w:hint="eastAsia" w:ascii="Arial" w:hAnsi="Arial" w:eastAsia="黑体"/>
          <w:bCs/>
          <w:color w:val="auto"/>
          <w:sz w:val="30"/>
          <w:szCs w:val="30"/>
          <w:highlight w:val="none"/>
          <w:lang w:val="en-US" w:eastAsia="zh-CN"/>
        </w:rPr>
        <w:t>合同模板编号</w:t>
      </w:r>
      <w:r>
        <w:rPr>
          <w:rFonts w:hint="eastAsia" w:ascii="Arial" w:hAnsi="Arial" w:eastAsia="黑体"/>
          <w:bCs/>
          <w:color w:val="auto"/>
          <w:sz w:val="30"/>
          <w:szCs w:val="30"/>
          <w:highlight w:val="none"/>
        </w:rPr>
        <w:t>：</w:t>
      </w:r>
    </w:p>
    <w:p>
      <w:pPr>
        <w:autoSpaceDE w:val="0"/>
        <w:autoSpaceDN w:val="0"/>
        <w:adjustRightInd w:val="0"/>
        <w:spacing w:before="100" w:beforeAutospacing="1" w:after="100" w:afterAutospacing="1"/>
        <w:ind w:firstLine="8231" w:firstLineChars="1946"/>
        <w:rPr>
          <w:rFonts w:ascii="仿宋" w:hAnsi="仿宋" w:eastAsia="仿宋" w:cs="FangSong_GB2312-Identity-H"/>
          <w:b/>
          <w:bCs/>
          <w:color w:val="auto"/>
          <w:spacing w:val="60"/>
          <w:kern w:val="0"/>
          <w:sz w:val="30"/>
          <w:szCs w:val="30"/>
          <w:highlight w:val="none"/>
        </w:rPr>
      </w:pPr>
    </w:p>
    <w:tbl>
      <w:tblPr>
        <w:tblStyle w:val="17"/>
        <w:tblpPr w:leftFromText="180" w:rightFromText="180" w:vertAnchor="text" w:horzAnchor="margin" w:tblpXSpec="center" w:tblpY="2498"/>
        <w:tblOverlap w:val="never"/>
        <w:tblW w:w="6629" w:type="dxa"/>
        <w:tblInd w:w="0" w:type="dxa"/>
        <w:tblLayout w:type="fixed"/>
        <w:tblCellMar>
          <w:top w:w="0" w:type="dxa"/>
          <w:left w:w="108" w:type="dxa"/>
          <w:bottom w:w="0" w:type="dxa"/>
          <w:right w:w="108" w:type="dxa"/>
        </w:tblCellMar>
      </w:tblPr>
      <w:tblGrid>
        <w:gridCol w:w="6629"/>
      </w:tblGrid>
      <w:tr>
        <w:tblPrEx>
          <w:tblCellMar>
            <w:top w:w="0" w:type="dxa"/>
            <w:left w:w="108" w:type="dxa"/>
            <w:bottom w:w="0" w:type="dxa"/>
            <w:right w:w="108" w:type="dxa"/>
          </w:tblCellMar>
        </w:tblPrEx>
        <w:trPr>
          <w:trHeight w:val="446" w:hRule="atLeast"/>
        </w:trPr>
        <w:tc>
          <w:tcPr>
            <w:tcW w:w="6629" w:type="dxa"/>
            <w:noWrap w:val="0"/>
            <w:vAlign w:val="top"/>
          </w:tcPr>
          <w:p>
            <w:pPr>
              <w:pStyle w:val="13"/>
              <w:spacing w:line="800" w:lineRule="exact"/>
              <w:jc w:val="left"/>
              <w:rPr>
                <w:rFonts w:hAnsi="宋体"/>
                <w:b/>
                <w:color w:val="auto"/>
                <w:sz w:val="30"/>
                <w:szCs w:val="30"/>
                <w:highlight w:val="none"/>
              </w:rPr>
            </w:pPr>
            <w:r>
              <w:rPr>
                <w:rFonts w:ascii="Times New Roman" w:hAnsi="Times New Roman"/>
                <w:b/>
                <w:color w:val="auto"/>
                <w:sz w:val="30"/>
                <w:szCs w:val="30"/>
              </w:rPr>
              <w:t>采购编号：</w:t>
            </w:r>
          </w:p>
          <w:p>
            <w:pPr>
              <w:pStyle w:val="13"/>
              <w:spacing w:line="800" w:lineRule="exact"/>
              <w:jc w:val="left"/>
              <w:rPr>
                <w:rFonts w:ascii="Times New Roman" w:hAnsi="Times New Roman"/>
                <w:b/>
                <w:color w:val="auto"/>
                <w:sz w:val="30"/>
                <w:szCs w:val="30"/>
              </w:rPr>
            </w:pPr>
            <w:r>
              <w:rPr>
                <w:rFonts w:ascii="Times New Roman" w:hAnsi="Times New Roman"/>
                <w:b/>
                <w:color w:val="auto"/>
                <w:sz w:val="30"/>
                <w:szCs w:val="30"/>
              </w:rPr>
              <w:t>项目名称：</w:t>
            </w:r>
          </w:p>
          <w:p>
            <w:pPr>
              <w:pStyle w:val="13"/>
              <w:spacing w:line="800" w:lineRule="exact"/>
              <w:jc w:val="left"/>
              <w:rPr>
                <w:rFonts w:ascii="Times New Roman" w:hAnsi="Times New Roman"/>
                <w:b/>
                <w:bCs/>
                <w:color w:val="auto"/>
                <w:sz w:val="30"/>
                <w:szCs w:val="30"/>
              </w:rPr>
            </w:pPr>
            <w:r>
              <w:rPr>
                <w:rFonts w:ascii="Times New Roman" w:hAnsi="Times New Roman"/>
                <w:b/>
                <w:bCs/>
                <w:color w:val="auto"/>
                <w:sz w:val="30"/>
                <w:szCs w:val="30"/>
              </w:rPr>
              <w:t>甲方：惠州市第一妇幼保健院</w:t>
            </w:r>
          </w:p>
          <w:p>
            <w:pPr>
              <w:pStyle w:val="13"/>
              <w:spacing w:line="800" w:lineRule="exact"/>
              <w:jc w:val="left"/>
              <w:rPr>
                <w:rFonts w:ascii="宋体"/>
                <w:b/>
                <w:color w:val="auto"/>
                <w:sz w:val="30"/>
                <w:szCs w:val="30"/>
                <w:highlight w:val="none"/>
              </w:rPr>
            </w:pPr>
            <w:r>
              <w:rPr>
                <w:rFonts w:ascii="Times New Roman" w:hAnsi="Times New Roman"/>
                <w:b/>
                <w:bCs/>
                <w:color w:val="auto"/>
                <w:sz w:val="30"/>
                <w:szCs w:val="30"/>
              </w:rPr>
              <w:t>乙方：</w:t>
            </w:r>
          </w:p>
        </w:tc>
      </w:tr>
    </w:tbl>
    <w:p>
      <w:pPr>
        <w:autoSpaceDE w:val="0"/>
        <w:autoSpaceDN w:val="0"/>
        <w:adjustRightInd w:val="0"/>
        <w:spacing w:before="100" w:beforeAutospacing="1" w:after="100" w:afterAutospacing="1"/>
        <w:jc w:val="center"/>
        <w:rPr>
          <w:rFonts w:hint="eastAsia" w:ascii="宋体" w:eastAsia="仿宋"/>
          <w:bCs/>
          <w:color w:val="auto"/>
          <w:sz w:val="24"/>
          <w:highlight w:val="none"/>
          <w:lang w:val="en-US" w:eastAsia="zh-CN"/>
        </w:rPr>
      </w:pPr>
      <w:r>
        <w:rPr>
          <w:rFonts w:hint="eastAsia" w:ascii="仿宋" w:hAnsi="仿宋" w:eastAsia="仿宋" w:cs="FangSong_GB2312-Identity-H"/>
          <w:b/>
          <w:bCs/>
          <w:color w:val="auto"/>
          <w:spacing w:val="60"/>
          <w:kern w:val="0"/>
          <w:sz w:val="84"/>
          <w:szCs w:val="84"/>
          <w:highlight w:val="none"/>
        </w:rPr>
        <w:t>合同</w:t>
      </w:r>
      <w:r>
        <w:rPr>
          <w:rFonts w:hint="eastAsia" w:ascii="仿宋" w:hAnsi="仿宋" w:eastAsia="仿宋" w:cs="FangSong_GB2312-Identity-H"/>
          <w:b/>
          <w:bCs/>
          <w:color w:val="auto"/>
          <w:spacing w:val="60"/>
          <w:kern w:val="0"/>
          <w:sz w:val="84"/>
          <w:szCs w:val="84"/>
          <w:highlight w:val="none"/>
          <w:lang w:val="en-US" w:eastAsia="zh-CN"/>
        </w:rPr>
        <w:t>书</w:t>
      </w:r>
    </w:p>
    <w:p>
      <w:pPr>
        <w:spacing w:line="360" w:lineRule="auto"/>
        <w:jc w:val="center"/>
        <w:rPr>
          <w:rFonts w:ascii="宋体"/>
          <w:b/>
          <w:color w:val="auto"/>
          <w:sz w:val="44"/>
          <w:szCs w:val="44"/>
          <w:highlight w:val="none"/>
        </w:rPr>
      </w:pPr>
      <w:r>
        <w:rPr>
          <w:rFonts w:ascii="宋体"/>
          <w:bCs/>
          <w:color w:val="auto"/>
          <w:sz w:val="24"/>
          <w:highlight w:val="none"/>
        </w:rPr>
        <w:br w:type="page"/>
      </w:r>
      <w:r>
        <w:rPr>
          <w:rFonts w:hint="eastAsia" w:ascii="宋体" w:hAnsi="宋体"/>
          <w:b/>
          <w:color w:val="auto"/>
          <w:sz w:val="44"/>
          <w:szCs w:val="44"/>
          <w:highlight w:val="none"/>
        </w:rPr>
        <w:t>合   同</w:t>
      </w:r>
    </w:p>
    <w:p>
      <w:pPr>
        <w:spacing w:line="360" w:lineRule="auto"/>
        <w:jc w:val="center"/>
        <w:rPr>
          <w:rFonts w:ascii="宋体"/>
          <w:b/>
          <w:color w:val="auto"/>
          <w:sz w:val="44"/>
          <w:szCs w:val="44"/>
          <w:highlight w:val="none"/>
        </w:rPr>
      </w:pPr>
    </w:p>
    <w:p>
      <w:pPr>
        <w:spacing w:line="360" w:lineRule="auto"/>
        <w:jc w:val="left"/>
        <w:rPr>
          <w:rFonts w:ascii="宋体"/>
          <w:b/>
          <w:color w:val="auto"/>
          <w:sz w:val="24"/>
          <w:highlight w:val="none"/>
        </w:rPr>
      </w:pPr>
      <w:r>
        <w:rPr>
          <w:rFonts w:hint="eastAsia" w:ascii="宋体" w:hAnsi="宋体"/>
          <w:b/>
          <w:color w:val="auto"/>
          <w:sz w:val="24"/>
          <w:highlight w:val="none"/>
        </w:rPr>
        <w:t>甲方：</w:t>
      </w:r>
      <w:r>
        <w:rPr>
          <w:rFonts w:hint="eastAsia" w:ascii="宋体" w:hAnsi="宋体"/>
          <w:b/>
          <w:color w:val="auto"/>
          <w:kern w:val="0"/>
          <w:sz w:val="24"/>
          <w:highlight w:val="none"/>
        </w:rPr>
        <w:t>惠州市第一妇幼保健院</w:t>
      </w:r>
    </w:p>
    <w:p>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pPr>
        <w:tabs>
          <w:tab w:val="left" w:pos="720"/>
        </w:tabs>
        <w:spacing w:line="360" w:lineRule="auto"/>
        <w:ind w:firstLine="486"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）的中标结果，按照《中华人民共和国政府采购法》、《中华人民共和国民法典》的规定，经双方协商，本着平等互利和诚实信用的原则，一致同意签订本合同如下。</w:t>
      </w:r>
    </w:p>
    <w:p>
      <w:pPr>
        <w:numPr>
          <w:ilvl w:val="0"/>
          <w:numId w:val="2"/>
        </w:numPr>
        <w:tabs>
          <w:tab w:val="left" w:pos="1575"/>
          <w:tab w:val="clear" w:pos="1080"/>
        </w:tabs>
        <w:spacing w:before="120" w:line="440" w:lineRule="exact"/>
        <w:ind w:left="709" w:hanging="709"/>
        <w:jc w:val="left"/>
        <w:rPr>
          <w:b/>
          <w:color w:val="auto"/>
          <w:sz w:val="24"/>
        </w:rPr>
      </w:pPr>
      <w:r>
        <w:rPr>
          <w:b/>
          <w:color w:val="auto"/>
          <w:sz w:val="24"/>
        </w:rPr>
        <w:t>工程名称及概况：</w:t>
      </w:r>
    </w:p>
    <w:p>
      <w:pPr>
        <w:spacing w:line="360" w:lineRule="auto"/>
        <w:ind w:firstLine="121" w:firstLineChars="50"/>
        <w:rPr>
          <w:rFonts w:hint="eastAsia" w:eastAsia="宋体"/>
          <w:color w:val="auto"/>
          <w:sz w:val="24"/>
          <w:lang w:eastAsia="zh-CN"/>
        </w:rPr>
      </w:pPr>
      <w:r>
        <w:rPr>
          <w:color w:val="auto"/>
          <w:sz w:val="24"/>
        </w:rPr>
        <w:t>1.工程名称：</w:t>
      </w:r>
      <w:r>
        <w:rPr>
          <w:color w:val="auto"/>
          <w:sz w:val="24"/>
          <w:u w:val="single"/>
        </w:rPr>
        <w:t>惠州市第一妇幼保健院</w:t>
      </w:r>
      <w:r>
        <w:rPr>
          <w:rFonts w:hint="eastAsia"/>
          <w:color w:val="auto"/>
          <w:sz w:val="24"/>
          <w:u w:val="single"/>
          <w:lang w:eastAsia="zh-CN"/>
        </w:rPr>
        <w:t>门诊楼五楼天面模块机机组压缩机及保温棉更换采购项目</w:t>
      </w:r>
    </w:p>
    <w:p>
      <w:pPr>
        <w:spacing w:line="360" w:lineRule="auto"/>
        <w:ind w:firstLine="121" w:firstLineChars="50"/>
        <w:rPr>
          <w:color w:val="auto"/>
          <w:sz w:val="24"/>
          <w:u w:val="single"/>
        </w:rPr>
      </w:pPr>
      <w:r>
        <w:rPr>
          <w:color w:val="auto"/>
          <w:sz w:val="24"/>
        </w:rPr>
        <w:t>2.工程地址：</w:t>
      </w:r>
      <w:r>
        <w:rPr>
          <w:color w:val="auto"/>
          <w:sz w:val="24"/>
          <w:u w:val="single"/>
        </w:rPr>
        <w:t xml:space="preserve"> 惠州市第一妇幼保健院 </w:t>
      </w:r>
    </w:p>
    <w:p>
      <w:pPr>
        <w:numPr>
          <w:ilvl w:val="0"/>
          <w:numId w:val="2"/>
        </w:numPr>
        <w:tabs>
          <w:tab w:val="left" w:pos="1575"/>
          <w:tab w:val="clear" w:pos="1080"/>
        </w:tabs>
        <w:spacing w:before="120" w:line="440" w:lineRule="exact"/>
        <w:ind w:left="709" w:hanging="709"/>
        <w:jc w:val="left"/>
        <w:rPr>
          <w:b/>
          <w:color w:val="auto"/>
          <w:sz w:val="24"/>
        </w:rPr>
      </w:pPr>
      <w:r>
        <w:rPr>
          <w:b/>
          <w:color w:val="auto"/>
          <w:sz w:val="24"/>
        </w:rPr>
        <w:t>合同及工程范围</w:t>
      </w:r>
    </w:p>
    <w:p>
      <w:pPr>
        <w:spacing w:line="360" w:lineRule="auto"/>
        <w:ind w:firstLine="486" w:firstLineChars="200"/>
        <w:rPr>
          <w:color w:val="auto"/>
          <w:sz w:val="24"/>
        </w:rPr>
      </w:pPr>
      <w:r>
        <w:rPr>
          <w:rFonts w:hint="eastAsia"/>
          <w:color w:val="auto"/>
          <w:sz w:val="24"/>
        </w:rPr>
        <w:t>完成院方</w:t>
      </w:r>
      <w:r>
        <w:rPr>
          <w:rFonts w:hint="eastAsia"/>
          <w:color w:val="auto"/>
          <w:sz w:val="24"/>
          <w:lang w:eastAsia="zh-CN"/>
        </w:rPr>
        <w:t>门诊楼五楼天面模块机机组压缩机及保温棉更换采购项目</w:t>
      </w:r>
      <w:r>
        <w:rPr>
          <w:rFonts w:hint="eastAsia"/>
          <w:color w:val="auto"/>
          <w:sz w:val="24"/>
        </w:rPr>
        <w:t>的设计安装，保证冷库的稳定安全运行</w:t>
      </w:r>
      <w:r>
        <w:rPr>
          <w:color w:val="auto"/>
          <w:sz w:val="24"/>
        </w:rPr>
        <w:t>。</w:t>
      </w:r>
    </w:p>
    <w:p>
      <w:pPr>
        <w:numPr>
          <w:ilvl w:val="0"/>
          <w:numId w:val="2"/>
        </w:numPr>
        <w:tabs>
          <w:tab w:val="left" w:pos="1575"/>
          <w:tab w:val="clear" w:pos="1080"/>
        </w:tabs>
        <w:spacing w:before="120" w:line="440" w:lineRule="exact"/>
        <w:ind w:left="709" w:hanging="709"/>
        <w:jc w:val="left"/>
        <w:rPr>
          <w:b/>
          <w:color w:val="auto"/>
          <w:sz w:val="24"/>
        </w:rPr>
      </w:pPr>
      <w:r>
        <w:rPr>
          <w:b/>
          <w:color w:val="auto"/>
          <w:sz w:val="24"/>
        </w:rPr>
        <w:t>合同价款（人民币）</w:t>
      </w:r>
    </w:p>
    <w:p>
      <w:pPr>
        <w:spacing w:line="360" w:lineRule="auto"/>
        <w:rPr>
          <w:color w:val="auto"/>
          <w:sz w:val="24"/>
          <w:u w:val="single"/>
        </w:rPr>
      </w:pPr>
      <w:r>
        <w:rPr>
          <w:color w:val="auto"/>
          <w:sz w:val="24"/>
        </w:rPr>
        <w:t>1、合同含税总价人民币：</w:t>
      </w:r>
    </w:p>
    <w:p>
      <w:pPr>
        <w:spacing w:line="360" w:lineRule="auto"/>
        <w:rPr>
          <w:rFonts w:eastAsia="黑体"/>
          <w:b/>
          <w:color w:val="auto"/>
          <w:sz w:val="24"/>
          <w:u w:val="single"/>
        </w:rPr>
      </w:pPr>
      <w:r>
        <w:rPr>
          <w:color w:val="auto"/>
          <w:sz w:val="24"/>
        </w:rPr>
        <w:t>2、其他：</w:t>
      </w:r>
      <w:r>
        <w:rPr>
          <w:color w:val="auto"/>
          <w:sz w:val="24"/>
          <w:u w:val="single"/>
        </w:rPr>
        <w:t xml:space="preserve">   </w:t>
      </w:r>
      <w:r>
        <w:rPr>
          <w:rFonts w:hint="eastAsia"/>
          <w:color w:val="auto"/>
          <w:sz w:val="24"/>
          <w:u w:val="single"/>
        </w:rPr>
        <w:t>无</w:t>
      </w:r>
      <w:r>
        <w:rPr>
          <w:color w:val="auto"/>
          <w:sz w:val="24"/>
          <w:u w:val="single"/>
        </w:rPr>
        <w:t xml:space="preserve">                                 </w:t>
      </w:r>
    </w:p>
    <w:p>
      <w:pPr>
        <w:spacing w:line="360" w:lineRule="auto"/>
        <w:rPr>
          <w:color w:val="auto"/>
          <w:sz w:val="24"/>
        </w:rPr>
      </w:pPr>
      <w:r>
        <w:rPr>
          <w:color w:val="auto"/>
          <w:sz w:val="24"/>
        </w:rPr>
        <w:t>3、乙方须开具</w:t>
      </w:r>
      <w:r>
        <w:rPr>
          <w:color w:val="auto"/>
          <w:sz w:val="24"/>
          <w:u w:val="single"/>
        </w:rPr>
        <w:t xml:space="preserve"> </w:t>
      </w:r>
      <w:r>
        <w:rPr>
          <w:rFonts w:hint="eastAsia"/>
          <w:color w:val="auto"/>
          <w:sz w:val="24"/>
          <w:u w:val="single"/>
          <w:lang w:val="en-US" w:eastAsia="zh-CN"/>
        </w:rPr>
        <w:t xml:space="preserve">   </w:t>
      </w:r>
      <w:r>
        <w:rPr>
          <w:color w:val="auto"/>
          <w:sz w:val="24"/>
          <w:u w:val="single"/>
        </w:rPr>
        <w:t xml:space="preserve"> </w:t>
      </w:r>
      <w:r>
        <w:rPr>
          <w:color w:val="auto"/>
          <w:sz w:val="24"/>
        </w:rPr>
        <w:t>税率的增值税专用发票给甲方。</w:t>
      </w:r>
    </w:p>
    <w:p>
      <w:pPr>
        <w:rPr>
          <w:color w:val="auto"/>
          <w:sz w:val="24"/>
        </w:rPr>
      </w:pPr>
      <w:r>
        <w:rPr>
          <w:color w:val="auto"/>
          <w:sz w:val="24"/>
        </w:rPr>
        <w:br w:type="page"/>
      </w:r>
    </w:p>
    <w:p>
      <w:pPr>
        <w:numPr>
          <w:ilvl w:val="0"/>
          <w:numId w:val="2"/>
        </w:numPr>
        <w:tabs>
          <w:tab w:val="left" w:pos="1575"/>
          <w:tab w:val="clear" w:pos="1080"/>
        </w:tabs>
        <w:spacing w:before="120" w:line="440" w:lineRule="exact"/>
        <w:ind w:left="709" w:hanging="709"/>
        <w:jc w:val="left"/>
        <w:rPr>
          <w:b/>
          <w:color w:val="auto"/>
          <w:sz w:val="24"/>
        </w:rPr>
      </w:pPr>
      <w:r>
        <w:rPr>
          <w:b/>
          <w:color w:val="auto"/>
          <w:sz w:val="24"/>
        </w:rPr>
        <w:t>付款方式：</w:t>
      </w:r>
    </w:p>
    <w:p>
      <w:pPr>
        <w:pStyle w:val="23"/>
        <w:spacing w:line="360" w:lineRule="auto"/>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1、工程完成后，经甲方验收合格后30天内支付合同总金额。</w:t>
      </w:r>
    </w:p>
    <w:p>
      <w:pPr>
        <w:pStyle w:val="23"/>
        <w:spacing w:line="360" w:lineRule="auto"/>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2、乙方必须向甲方出具合法有效完整的完税发票及凭证进行支付结算。</w:t>
      </w:r>
    </w:p>
    <w:p>
      <w:pPr>
        <w:rPr>
          <w:color w:val="auto"/>
        </w:rPr>
      </w:pPr>
      <w:r>
        <w:rPr>
          <w:rFonts w:hint="eastAsia" w:ascii="Times New Roman" w:hAnsi="Times New Roman" w:eastAsia="宋体" w:cs="Times New Roman"/>
          <w:color w:val="auto"/>
          <w:sz w:val="24"/>
          <w:szCs w:val="28"/>
        </w:rPr>
        <w:t>3、支付方式采用银行转账支付。</w:t>
      </w:r>
    </w:p>
    <w:p>
      <w:pPr>
        <w:numPr>
          <w:ilvl w:val="0"/>
          <w:numId w:val="2"/>
        </w:numPr>
        <w:tabs>
          <w:tab w:val="left" w:pos="1575"/>
          <w:tab w:val="clear" w:pos="1080"/>
        </w:tabs>
        <w:spacing w:before="120" w:line="440" w:lineRule="exact"/>
        <w:ind w:left="709" w:hanging="709"/>
        <w:jc w:val="left"/>
        <w:rPr>
          <w:b/>
          <w:strike w:val="0"/>
          <w:color w:val="auto"/>
          <w:sz w:val="24"/>
        </w:rPr>
      </w:pPr>
      <w:r>
        <w:rPr>
          <w:b/>
          <w:strike w:val="0"/>
          <w:color w:val="auto"/>
          <w:sz w:val="24"/>
        </w:rPr>
        <w:t>甲方驻工地代表</w:t>
      </w:r>
    </w:p>
    <w:p>
      <w:pPr>
        <w:tabs>
          <w:tab w:val="left" w:pos="420"/>
        </w:tabs>
        <w:spacing w:line="440" w:lineRule="exact"/>
        <w:ind w:firstLine="364" w:firstLineChars="150"/>
        <w:jc w:val="left"/>
        <w:rPr>
          <w:strike w:val="0"/>
          <w:color w:val="auto"/>
          <w:sz w:val="24"/>
        </w:rPr>
      </w:pPr>
      <w:r>
        <w:rPr>
          <w:strike w:val="0"/>
          <w:color w:val="auto"/>
          <w:sz w:val="24"/>
        </w:rPr>
        <w:t xml:space="preserve"> 甲方委派驻工地现场总代表及其委托的现场管理协调人员，必须是甲方书面指定的人员。若甲方代表换人，必须提前通知乙方，后任也必须全面继承前任应担负的责任，不得以换人为由推脱责任。</w:t>
      </w:r>
    </w:p>
    <w:p>
      <w:pPr>
        <w:numPr>
          <w:ilvl w:val="0"/>
          <w:numId w:val="2"/>
        </w:numPr>
        <w:tabs>
          <w:tab w:val="left" w:pos="1575"/>
          <w:tab w:val="clear" w:pos="1080"/>
        </w:tabs>
        <w:spacing w:before="120" w:line="440" w:lineRule="exact"/>
        <w:ind w:left="993" w:hanging="1077"/>
        <w:rPr>
          <w:b/>
          <w:strike w:val="0"/>
          <w:color w:val="auto"/>
          <w:sz w:val="24"/>
        </w:rPr>
      </w:pPr>
      <w:r>
        <w:rPr>
          <w:b/>
          <w:strike w:val="0"/>
          <w:color w:val="auto"/>
          <w:sz w:val="24"/>
        </w:rPr>
        <w:t>甲方工作</w:t>
      </w:r>
    </w:p>
    <w:p>
      <w:pPr>
        <w:tabs>
          <w:tab w:val="left" w:pos="1050"/>
        </w:tabs>
        <w:spacing w:line="440" w:lineRule="exact"/>
        <w:ind w:firstLine="486" w:firstLineChars="200"/>
        <w:rPr>
          <w:strike w:val="0"/>
          <w:color w:val="auto"/>
          <w:sz w:val="24"/>
        </w:rPr>
      </w:pPr>
      <w:r>
        <w:rPr>
          <w:strike w:val="0"/>
          <w:color w:val="auto"/>
          <w:sz w:val="24"/>
        </w:rPr>
        <w:t>协调处理施工现场有关事宜，避免乙方产生待工或误工。协助安排施工场所及施工时段、协调处理有关突发事件，让工程进度顺利进行；同时</w:t>
      </w:r>
      <w:r>
        <w:rPr>
          <w:bCs/>
          <w:strike w:val="0"/>
          <w:color w:val="auto"/>
          <w:sz w:val="24"/>
        </w:rPr>
        <w:t>甲方</w:t>
      </w:r>
      <w:r>
        <w:rPr>
          <w:strike w:val="0"/>
          <w:color w:val="auto"/>
          <w:sz w:val="24"/>
        </w:rPr>
        <w:t>对工程质量享有最高的监督权和纠正权，</w:t>
      </w:r>
      <w:r>
        <w:rPr>
          <w:strike w:val="0"/>
          <w:color w:val="auto"/>
          <w:sz w:val="24"/>
          <w:shd w:val="clear" w:color="auto" w:fill="FFFFFF"/>
        </w:rPr>
        <w:t>确保工程安全施工、文明施工，</w:t>
      </w:r>
      <w:r>
        <w:rPr>
          <w:strike w:val="0"/>
          <w:color w:val="auto"/>
          <w:sz w:val="24"/>
        </w:rPr>
        <w:t>直至总工程验收。</w:t>
      </w:r>
    </w:p>
    <w:p>
      <w:pPr>
        <w:numPr>
          <w:ilvl w:val="0"/>
          <w:numId w:val="2"/>
        </w:numPr>
        <w:tabs>
          <w:tab w:val="left" w:pos="1575"/>
          <w:tab w:val="clear" w:pos="1080"/>
        </w:tabs>
        <w:spacing w:before="120" w:line="440" w:lineRule="exact"/>
        <w:ind w:left="1077" w:hanging="1077"/>
        <w:rPr>
          <w:b/>
          <w:color w:val="auto"/>
          <w:sz w:val="24"/>
        </w:rPr>
      </w:pPr>
      <w:r>
        <w:rPr>
          <w:b/>
          <w:color w:val="auto"/>
          <w:sz w:val="24"/>
        </w:rPr>
        <w:t>乙方驻工地代表</w:t>
      </w:r>
    </w:p>
    <w:p>
      <w:pPr>
        <w:tabs>
          <w:tab w:val="left" w:pos="1050"/>
        </w:tabs>
        <w:spacing w:line="440" w:lineRule="exact"/>
        <w:rPr>
          <w:color w:val="auto"/>
          <w:sz w:val="24"/>
        </w:rPr>
      </w:pPr>
      <w:r>
        <w:rPr>
          <w:color w:val="auto"/>
          <w:sz w:val="24"/>
        </w:rPr>
        <w:t>1、乙方委派驻工地的总负责人或总代表，应书面通知甲方，若乙方代表换人，须提前1天通知甲方，其后任必须全面继承承担前任应负的责任，不得以换人为由推脱责任。</w:t>
      </w:r>
    </w:p>
    <w:p>
      <w:pPr>
        <w:tabs>
          <w:tab w:val="left" w:pos="630"/>
          <w:tab w:val="left" w:pos="1050"/>
        </w:tabs>
        <w:spacing w:line="440" w:lineRule="exact"/>
        <w:rPr>
          <w:color w:val="auto"/>
          <w:sz w:val="24"/>
        </w:rPr>
      </w:pPr>
      <w:r>
        <w:rPr>
          <w:color w:val="auto"/>
          <w:sz w:val="24"/>
        </w:rPr>
        <w:t>2、乙方代表按合同约定履行职责。</w:t>
      </w:r>
    </w:p>
    <w:p>
      <w:pPr>
        <w:tabs>
          <w:tab w:val="left" w:pos="630"/>
          <w:tab w:val="left" w:pos="1050"/>
        </w:tabs>
        <w:spacing w:line="440" w:lineRule="exact"/>
        <w:ind w:left="480" w:hanging="486" w:hangingChars="200"/>
        <w:rPr>
          <w:color w:val="auto"/>
          <w:sz w:val="24"/>
        </w:rPr>
      </w:pPr>
      <w:r>
        <w:rPr>
          <w:color w:val="auto"/>
          <w:sz w:val="24"/>
        </w:rPr>
        <w:t>3、乙方代表统一结算领取该项目工程款，并向所有施工人员结算发放工资及劳务费。</w:t>
      </w:r>
    </w:p>
    <w:p>
      <w:pPr>
        <w:numPr>
          <w:ilvl w:val="0"/>
          <w:numId w:val="2"/>
        </w:numPr>
        <w:tabs>
          <w:tab w:val="left" w:pos="1575"/>
          <w:tab w:val="clear" w:pos="1080"/>
        </w:tabs>
        <w:spacing w:line="440" w:lineRule="exact"/>
        <w:rPr>
          <w:b/>
          <w:color w:val="auto"/>
          <w:sz w:val="24"/>
        </w:rPr>
      </w:pPr>
      <w:r>
        <w:rPr>
          <w:b/>
          <w:color w:val="auto"/>
          <w:sz w:val="24"/>
        </w:rPr>
        <w:t>乙方工作</w:t>
      </w:r>
    </w:p>
    <w:p>
      <w:pPr>
        <w:spacing w:before="120" w:line="400" w:lineRule="exact"/>
        <w:rPr>
          <w:color w:val="auto"/>
          <w:sz w:val="24"/>
        </w:rPr>
      </w:pPr>
      <w:r>
        <w:rPr>
          <w:color w:val="auto"/>
          <w:sz w:val="24"/>
        </w:rPr>
        <w:t xml:space="preserve">    乙方须提供符合甲方要求的设备及材料，具体内容如下：</w:t>
      </w:r>
    </w:p>
    <w:p>
      <w:pPr>
        <w:tabs>
          <w:tab w:val="left" w:pos="1575"/>
        </w:tabs>
        <w:spacing w:line="440" w:lineRule="exact"/>
        <w:rPr>
          <w:color w:val="auto"/>
          <w:sz w:val="24"/>
        </w:rPr>
      </w:pPr>
      <w:r>
        <w:rPr>
          <w:color w:val="auto"/>
          <w:sz w:val="24"/>
        </w:rPr>
        <w:t>1、对施工现场进行全面勘察，确定项目设备</w:t>
      </w:r>
      <w:r>
        <w:rPr>
          <w:rFonts w:hint="eastAsia"/>
          <w:color w:val="auto"/>
          <w:sz w:val="24"/>
        </w:rPr>
        <w:t>的</w:t>
      </w:r>
      <w:r>
        <w:rPr>
          <w:color w:val="auto"/>
          <w:sz w:val="24"/>
        </w:rPr>
        <w:t>设计及安装施工方案；出具相应的技术图纸；</w:t>
      </w:r>
    </w:p>
    <w:p>
      <w:pPr>
        <w:tabs>
          <w:tab w:val="left" w:pos="1575"/>
        </w:tabs>
        <w:spacing w:line="440" w:lineRule="exact"/>
        <w:rPr>
          <w:color w:val="auto"/>
          <w:sz w:val="24"/>
        </w:rPr>
      </w:pPr>
      <w:r>
        <w:rPr>
          <w:color w:val="auto"/>
          <w:sz w:val="24"/>
        </w:rPr>
        <w:t>2、根据双方确定的设计方案、施工方案，按业主方和甲方现场人员要求进行安装进行施工。</w:t>
      </w:r>
    </w:p>
    <w:p>
      <w:pPr>
        <w:tabs>
          <w:tab w:val="left" w:pos="1575"/>
        </w:tabs>
        <w:spacing w:line="440" w:lineRule="exact"/>
        <w:rPr>
          <w:color w:val="auto"/>
          <w:sz w:val="24"/>
        </w:rPr>
      </w:pPr>
      <w:r>
        <w:rPr>
          <w:color w:val="auto"/>
          <w:sz w:val="24"/>
        </w:rPr>
        <w:t>3、工程所涉及设备和工具，由乙方负责提供并自行保管；</w:t>
      </w:r>
    </w:p>
    <w:p>
      <w:pPr>
        <w:tabs>
          <w:tab w:val="left" w:pos="1575"/>
        </w:tabs>
        <w:spacing w:line="440" w:lineRule="exact"/>
        <w:rPr>
          <w:color w:val="auto"/>
          <w:sz w:val="24"/>
        </w:rPr>
      </w:pPr>
      <w:r>
        <w:rPr>
          <w:color w:val="auto"/>
          <w:sz w:val="24"/>
        </w:rPr>
        <w:t>4、乙方遵循甲方指令，并遵循业主方的相关厂纪厂规。</w:t>
      </w:r>
    </w:p>
    <w:p>
      <w:pPr>
        <w:tabs>
          <w:tab w:val="left" w:pos="1575"/>
        </w:tabs>
        <w:spacing w:line="440" w:lineRule="exact"/>
        <w:rPr>
          <w:color w:val="auto"/>
          <w:sz w:val="24"/>
        </w:rPr>
      </w:pPr>
      <w:r>
        <w:rPr>
          <w:color w:val="auto"/>
          <w:sz w:val="24"/>
        </w:rPr>
        <w:t>5、乙方应对施工步骤进行合理规划，并提前报甲方和业主方审核备案，以尽量不影响业主方生产为原则。施工过程中，严禁私自拉线、接电，否则，由此给业主方带来的损失将全部由乙方承担。</w:t>
      </w:r>
    </w:p>
    <w:p>
      <w:pPr>
        <w:numPr>
          <w:ilvl w:val="0"/>
          <w:numId w:val="2"/>
        </w:numPr>
        <w:tabs>
          <w:tab w:val="left" w:pos="1575"/>
          <w:tab w:val="clear" w:pos="1080"/>
        </w:tabs>
        <w:spacing w:before="120" w:line="440" w:lineRule="exact"/>
        <w:ind w:left="1077" w:hanging="1077"/>
        <w:rPr>
          <w:b/>
          <w:color w:val="auto"/>
          <w:sz w:val="24"/>
        </w:rPr>
      </w:pPr>
      <w:r>
        <w:rPr>
          <w:b/>
          <w:color w:val="auto"/>
          <w:sz w:val="24"/>
        </w:rPr>
        <w:t>工期保证</w:t>
      </w:r>
    </w:p>
    <w:p>
      <w:pPr>
        <w:tabs>
          <w:tab w:val="left" w:pos="945"/>
        </w:tabs>
        <w:spacing w:line="440" w:lineRule="exact"/>
        <w:rPr>
          <w:bCs/>
          <w:color w:val="auto"/>
          <w:sz w:val="24"/>
        </w:rPr>
      </w:pPr>
      <w:r>
        <w:rPr>
          <w:bCs/>
          <w:color w:val="auto"/>
          <w:sz w:val="24"/>
        </w:rPr>
        <w:t>1、乙方须于合同签订后三天内将具体项目施工计划、工期安排、人员安排报甲方备案；</w:t>
      </w:r>
    </w:p>
    <w:p>
      <w:pPr>
        <w:tabs>
          <w:tab w:val="left" w:pos="945"/>
        </w:tabs>
        <w:spacing w:line="440" w:lineRule="exact"/>
        <w:rPr>
          <w:bCs/>
          <w:color w:val="auto"/>
          <w:sz w:val="24"/>
        </w:rPr>
      </w:pPr>
      <w:r>
        <w:rPr>
          <w:bCs/>
          <w:color w:val="auto"/>
          <w:sz w:val="24"/>
        </w:rPr>
        <w:t>2、甲乙双方商议定的工期，乙方必须按甲方要求时间完成，如果造成工程验收延时，每延迟一天，甲方按照总工程款</w:t>
      </w:r>
      <w:r>
        <w:rPr>
          <w:rFonts w:hint="eastAsia"/>
          <w:bCs/>
          <w:color w:val="auto"/>
          <w:sz w:val="24"/>
          <w:lang w:val="en-US" w:eastAsia="zh-CN"/>
        </w:rPr>
        <w:t>2000元</w:t>
      </w:r>
      <w:r>
        <w:rPr>
          <w:bCs/>
          <w:color w:val="auto"/>
          <w:sz w:val="24"/>
        </w:rPr>
        <w:t>的金额扣除乙方工程款项</w:t>
      </w:r>
      <w:r>
        <w:rPr>
          <w:color w:val="auto"/>
          <w:sz w:val="24"/>
        </w:rPr>
        <w:t>（不可抗力除外）</w:t>
      </w:r>
      <w:r>
        <w:rPr>
          <w:bCs/>
          <w:color w:val="auto"/>
          <w:sz w:val="24"/>
        </w:rPr>
        <w:t>。</w:t>
      </w:r>
    </w:p>
    <w:p>
      <w:pPr>
        <w:numPr>
          <w:ilvl w:val="0"/>
          <w:numId w:val="2"/>
        </w:numPr>
        <w:tabs>
          <w:tab w:val="left" w:pos="1575"/>
          <w:tab w:val="clear" w:pos="1080"/>
        </w:tabs>
        <w:spacing w:before="120" w:line="440" w:lineRule="exact"/>
        <w:ind w:left="1077" w:hanging="1077"/>
        <w:rPr>
          <w:b/>
          <w:color w:val="auto"/>
          <w:sz w:val="24"/>
        </w:rPr>
      </w:pPr>
      <w:r>
        <w:rPr>
          <w:b/>
          <w:color w:val="auto"/>
          <w:sz w:val="24"/>
        </w:rPr>
        <w:t>工程质量</w:t>
      </w:r>
    </w:p>
    <w:p>
      <w:pPr>
        <w:tabs>
          <w:tab w:val="left" w:pos="945"/>
        </w:tabs>
        <w:spacing w:line="440" w:lineRule="exact"/>
        <w:rPr>
          <w:bCs/>
          <w:color w:val="auto"/>
          <w:sz w:val="24"/>
        </w:rPr>
      </w:pPr>
      <w:r>
        <w:rPr>
          <w:bCs/>
          <w:color w:val="auto"/>
          <w:sz w:val="24"/>
        </w:rPr>
        <w:t>1、乙方应对其提供的材料设备质量负责。乙方提供的材料设备须有合格证、出厂检测资料、样本、说明书等。所有资料须及时分类建档，保证做到完整齐全。本项目使用到的乙方提供的所有设备、材料货到项目现场后，均需通过甲方的审查通过，方可投入使用，否则甲方有权不予以接受，并保留要求乙方拆除并更换的权利。甲方的审查通过并不解除乙方对设备、材料质量、规格应承担的责任。</w:t>
      </w:r>
    </w:p>
    <w:p>
      <w:pPr>
        <w:tabs>
          <w:tab w:val="left" w:pos="945"/>
        </w:tabs>
        <w:spacing w:line="440" w:lineRule="exact"/>
        <w:rPr>
          <w:color w:val="auto"/>
          <w:sz w:val="24"/>
          <w:szCs w:val="28"/>
        </w:rPr>
      </w:pPr>
      <w:r>
        <w:rPr>
          <w:bCs/>
          <w:color w:val="auto"/>
          <w:sz w:val="24"/>
        </w:rPr>
        <w:t>2、</w:t>
      </w:r>
      <w:r>
        <w:rPr>
          <w:color w:val="auto"/>
          <w:sz w:val="24"/>
          <w:szCs w:val="28"/>
        </w:rPr>
        <w:t>乙方提供的全部材料设备的包装须有良好的防潮、防震、防锈、防爆炸和利于装卸等保护措施，以确保材料设备安全无损运抵指定交货地点。一旦发现包装有损坏，甲方有权拒绝接收，由此产生的所有损失和费用将由乙方承担。重新交付导致材料设备的包装物由乙方提供。</w:t>
      </w:r>
    </w:p>
    <w:p>
      <w:pPr>
        <w:tabs>
          <w:tab w:val="left" w:pos="945"/>
        </w:tabs>
        <w:spacing w:line="440" w:lineRule="exact"/>
        <w:rPr>
          <w:color w:val="auto"/>
          <w:sz w:val="24"/>
          <w:szCs w:val="28"/>
        </w:rPr>
      </w:pPr>
      <w:r>
        <w:rPr>
          <w:color w:val="auto"/>
          <w:sz w:val="24"/>
          <w:szCs w:val="28"/>
        </w:rPr>
        <w:t>3、乙方采购的材料设备与设计标准要求、合同要求或甲方要求不符时，乙方应按甲方项目负责人或工程师要求的时间运出施工场地，重新采购符合要求的产品，承担由此发生的费用。</w:t>
      </w:r>
    </w:p>
    <w:p>
      <w:pPr>
        <w:tabs>
          <w:tab w:val="left" w:pos="945"/>
        </w:tabs>
        <w:spacing w:line="440" w:lineRule="exact"/>
        <w:rPr>
          <w:color w:val="auto"/>
          <w:sz w:val="24"/>
          <w:szCs w:val="28"/>
        </w:rPr>
      </w:pPr>
      <w:r>
        <w:rPr>
          <w:color w:val="auto"/>
          <w:sz w:val="24"/>
          <w:szCs w:val="28"/>
        </w:rPr>
        <w:t>4、乙方采购的材料设备在使用前，乙方应按甲方项目负责人或工程师的要求进行检验或试验，不合格的不得使用，检验或试验费用由乙方承担。</w:t>
      </w:r>
    </w:p>
    <w:p>
      <w:pPr>
        <w:tabs>
          <w:tab w:val="left" w:pos="945"/>
        </w:tabs>
        <w:spacing w:line="440" w:lineRule="exact"/>
        <w:rPr>
          <w:bCs/>
          <w:color w:val="auto"/>
          <w:sz w:val="24"/>
        </w:rPr>
      </w:pPr>
      <w:r>
        <w:rPr>
          <w:color w:val="auto"/>
          <w:sz w:val="24"/>
          <w:szCs w:val="28"/>
        </w:rPr>
        <w:t>5、乙方需要使用代用材料时，应经甲方项目负责人认可后才能使用。由此增减的合同价款经甲方书面确认同意后方为有效。</w:t>
      </w:r>
    </w:p>
    <w:p>
      <w:pPr>
        <w:tabs>
          <w:tab w:val="left" w:pos="1575"/>
        </w:tabs>
        <w:spacing w:line="440" w:lineRule="exact"/>
        <w:rPr>
          <w:color w:val="auto"/>
          <w:sz w:val="24"/>
        </w:rPr>
      </w:pPr>
      <w:r>
        <w:rPr>
          <w:color w:val="auto"/>
          <w:sz w:val="24"/>
        </w:rPr>
        <w:t>6、乙方对系统的工程均需符合国家标准，如因乙方设计或安装不符合验收标准，直接导致验收延期的，乙方应立即组织人员返工，甲方按照工期保证条款中的金额扣除乙方工程款项。</w:t>
      </w:r>
    </w:p>
    <w:p>
      <w:pPr>
        <w:tabs>
          <w:tab w:val="left" w:pos="1575"/>
        </w:tabs>
        <w:spacing w:line="440" w:lineRule="exact"/>
        <w:rPr>
          <w:color w:val="auto"/>
          <w:sz w:val="24"/>
        </w:rPr>
      </w:pPr>
      <w:r>
        <w:rPr>
          <w:color w:val="auto"/>
          <w:sz w:val="24"/>
        </w:rPr>
        <w:t>7、工程完工后，乙方应将所有工地废料杂物及临时设备及时清理完毕，并将所有剩余材料及设备运离工地，且试车合格后，应向甲方提报完整的竣工资料(包含图纸及其他相关资料)及验收报告，经甲方查核无未完成的工作项目后，方得申报验收。</w:t>
      </w:r>
    </w:p>
    <w:p>
      <w:pPr>
        <w:tabs>
          <w:tab w:val="left" w:pos="1575"/>
        </w:tabs>
        <w:spacing w:line="440" w:lineRule="exact"/>
        <w:rPr>
          <w:color w:val="auto"/>
          <w:sz w:val="24"/>
          <w:szCs w:val="28"/>
        </w:rPr>
      </w:pPr>
      <w:r>
        <w:rPr>
          <w:color w:val="auto"/>
          <w:sz w:val="24"/>
        </w:rPr>
        <w:t>8、</w:t>
      </w:r>
      <w:r>
        <w:rPr>
          <w:color w:val="auto"/>
          <w:sz w:val="24"/>
          <w:szCs w:val="28"/>
        </w:rPr>
        <w:t>本项目进度在符合完工或阶段性验收标准时，乙方应书面报请最终验收，由甲方进行初验。验收时，乙方应派员会同办理。如乙方未到场，甲方亦可进行验收，乙方事后对验收结果不得表示异议。</w:t>
      </w:r>
    </w:p>
    <w:p>
      <w:pPr>
        <w:tabs>
          <w:tab w:val="left" w:pos="1575"/>
        </w:tabs>
        <w:spacing w:line="440" w:lineRule="exact"/>
        <w:rPr>
          <w:color w:val="auto"/>
          <w:sz w:val="24"/>
          <w:szCs w:val="28"/>
        </w:rPr>
      </w:pPr>
      <w:r>
        <w:rPr>
          <w:color w:val="auto"/>
          <w:sz w:val="24"/>
          <w:szCs w:val="28"/>
        </w:rPr>
        <w:t>9、初验结果发现本项目有缺点或乙方工作有不符合本合同规定之处，乙方应在甲方的规定期限内无偿修改完毕。</w:t>
      </w:r>
    </w:p>
    <w:p>
      <w:pPr>
        <w:tabs>
          <w:tab w:val="left" w:pos="1575"/>
        </w:tabs>
        <w:spacing w:line="440" w:lineRule="exact"/>
        <w:rPr>
          <w:color w:val="auto"/>
          <w:sz w:val="24"/>
          <w:szCs w:val="28"/>
        </w:rPr>
      </w:pPr>
      <w:r>
        <w:rPr>
          <w:color w:val="auto"/>
          <w:sz w:val="24"/>
          <w:szCs w:val="28"/>
        </w:rPr>
        <w:t>10、工程最终验收以工程符合本合同、本次招标技术要求为前提，以甲方的验收为最终验收，且需甲方项目经理签字方为有效。最终验收完成之日为工程最终验收合格之日。</w:t>
      </w:r>
    </w:p>
    <w:p>
      <w:pPr>
        <w:tabs>
          <w:tab w:val="left" w:pos="1575"/>
        </w:tabs>
        <w:spacing w:line="440" w:lineRule="exact"/>
        <w:rPr>
          <w:color w:val="auto"/>
          <w:sz w:val="24"/>
        </w:rPr>
      </w:pPr>
      <w:r>
        <w:rPr>
          <w:color w:val="auto"/>
          <w:sz w:val="24"/>
          <w:szCs w:val="28"/>
        </w:rPr>
        <w:t>11、乙方应在工程最终验收后7日内免费提供1套完整的纸质图纸、1套完整的电子版图纸和其它竣工资料给甲方。工程最终验收合格后，乙方应立即按甲方要求将各种工程资料交付给甲方，甲乙双方办理交接手续。</w:t>
      </w:r>
    </w:p>
    <w:p>
      <w:pPr>
        <w:tabs>
          <w:tab w:val="left" w:pos="1575"/>
        </w:tabs>
        <w:spacing w:line="440" w:lineRule="exact"/>
        <w:rPr>
          <w:color w:val="auto"/>
          <w:sz w:val="24"/>
        </w:rPr>
      </w:pPr>
      <w:r>
        <w:rPr>
          <w:color w:val="auto"/>
          <w:sz w:val="24"/>
        </w:rPr>
        <w:t>12、安装工程质保期为工程竣工后</w:t>
      </w:r>
      <w:r>
        <w:rPr>
          <w:rFonts w:hint="eastAsia"/>
          <w:color w:val="auto"/>
          <w:sz w:val="24"/>
        </w:rPr>
        <w:t>1</w:t>
      </w:r>
      <w:r>
        <w:rPr>
          <w:color w:val="auto"/>
          <w:sz w:val="24"/>
        </w:rPr>
        <w:t>年，在质保期内如果发现安装质量问题，乙方接到甲方通知后，应当8小时以内组织施工人员到现场维修或返工。乙方在保修过程中如更换设备、配件、材料的，应经甲方确认，且其质量标准不低于施工时所使用的相应设备、配件和材料。</w:t>
      </w:r>
    </w:p>
    <w:p>
      <w:pPr>
        <w:numPr>
          <w:ilvl w:val="0"/>
          <w:numId w:val="2"/>
        </w:numPr>
        <w:tabs>
          <w:tab w:val="left" w:pos="1575"/>
          <w:tab w:val="clear" w:pos="1080"/>
        </w:tabs>
        <w:spacing w:before="120" w:line="440" w:lineRule="exact"/>
        <w:ind w:left="1077" w:hanging="1077"/>
        <w:rPr>
          <w:b/>
          <w:color w:val="auto"/>
          <w:sz w:val="24"/>
        </w:rPr>
      </w:pPr>
      <w:r>
        <w:rPr>
          <w:b/>
          <w:color w:val="auto"/>
          <w:sz w:val="24"/>
        </w:rPr>
        <w:t>安全施工</w:t>
      </w:r>
    </w:p>
    <w:p>
      <w:pPr>
        <w:spacing w:line="440" w:lineRule="atLeast"/>
        <w:rPr>
          <w:color w:val="auto"/>
          <w:sz w:val="24"/>
        </w:rPr>
      </w:pPr>
      <w:r>
        <w:rPr>
          <w:color w:val="auto"/>
          <w:sz w:val="24"/>
        </w:rPr>
        <w:t>1、施工现场安全工作达标率100%，优良率95%以上。财产及人员损伤、损失为零。</w:t>
      </w:r>
    </w:p>
    <w:p>
      <w:pPr>
        <w:tabs>
          <w:tab w:val="left" w:pos="1575"/>
        </w:tabs>
        <w:spacing w:line="440" w:lineRule="exact"/>
        <w:rPr>
          <w:color w:val="auto"/>
          <w:sz w:val="24"/>
        </w:rPr>
      </w:pPr>
      <w:bookmarkStart w:id="1" w:name="_Toc202341775"/>
      <w:bookmarkStart w:id="2" w:name="_Toc151544403"/>
      <w:bookmarkStart w:id="3" w:name="_Toc202341303"/>
      <w:bookmarkStart w:id="4" w:name="_Toc202343229"/>
      <w:bookmarkStart w:id="5" w:name="_Toc202343384"/>
      <w:bookmarkStart w:id="6" w:name="_Toc151352468"/>
      <w:bookmarkStart w:id="7" w:name="_Toc202342941"/>
      <w:bookmarkStart w:id="8" w:name="_Toc202343100"/>
      <w:bookmarkStart w:id="9" w:name="_Toc201597505"/>
      <w:bookmarkStart w:id="10" w:name="_Toc34790020"/>
      <w:r>
        <w:rPr>
          <w:color w:val="auto"/>
          <w:sz w:val="24"/>
        </w:rPr>
        <w:t>2、施工纪律</w:t>
      </w:r>
      <w:bookmarkEnd w:id="1"/>
      <w:bookmarkEnd w:id="2"/>
      <w:bookmarkEnd w:id="3"/>
      <w:bookmarkEnd w:id="4"/>
      <w:bookmarkEnd w:id="5"/>
      <w:bookmarkEnd w:id="6"/>
      <w:bookmarkEnd w:id="7"/>
      <w:bookmarkEnd w:id="8"/>
      <w:bookmarkEnd w:id="9"/>
      <w:bookmarkEnd w:id="10"/>
    </w:p>
    <w:p>
      <w:pPr>
        <w:tabs>
          <w:tab w:val="left" w:pos="1575"/>
        </w:tabs>
        <w:spacing w:line="440" w:lineRule="exact"/>
        <w:rPr>
          <w:color w:val="auto"/>
          <w:sz w:val="24"/>
        </w:rPr>
      </w:pPr>
      <w:r>
        <w:rPr>
          <w:color w:val="auto"/>
          <w:sz w:val="24"/>
        </w:rPr>
        <w:t>（1）乙方每天进场施工时间严格按照甲方与业主方协调沟通时间，工程施工不得影响业主方正常工作和生产活动。</w:t>
      </w:r>
    </w:p>
    <w:p>
      <w:pPr>
        <w:tabs>
          <w:tab w:val="left" w:pos="1575"/>
        </w:tabs>
        <w:spacing w:line="440" w:lineRule="exact"/>
        <w:rPr>
          <w:color w:val="auto"/>
          <w:sz w:val="24"/>
        </w:rPr>
      </w:pPr>
      <w:r>
        <w:rPr>
          <w:color w:val="auto"/>
          <w:sz w:val="24"/>
        </w:rPr>
        <w:t>（2）</w:t>
      </w:r>
      <w:r>
        <w:rPr>
          <w:color w:val="auto"/>
          <w:sz w:val="24"/>
          <w:szCs w:val="28"/>
        </w:rPr>
        <w:t>乙方应对其在施工场地的工作人员进行安全教育、安全技术交底，对他们的安全负责，乙方应保存相关书面记录供甲方审查，特殊作业人员必须持证上岗</w:t>
      </w:r>
    </w:p>
    <w:p>
      <w:pPr>
        <w:tabs>
          <w:tab w:val="left" w:pos="1575"/>
        </w:tabs>
        <w:spacing w:line="440" w:lineRule="exact"/>
        <w:rPr>
          <w:color w:val="auto"/>
          <w:sz w:val="24"/>
        </w:rPr>
      </w:pPr>
      <w:r>
        <w:rPr>
          <w:color w:val="auto"/>
          <w:sz w:val="24"/>
        </w:rPr>
        <w:t>（3）进入施工现场，必须严格遵守业主方场所内的所有规定，乙方应随时接受行业安全检查人员依法实施的监督检查，采取必要的安全防护措施，消除事故隐患。因乙方安全管理不善、安全措施不力或安全防护不规范等而造成安全事故的，由乙方承担全部责任，包括但不限于甲方、任何第三方的一切损失及行政处罚。</w:t>
      </w:r>
    </w:p>
    <w:p>
      <w:pPr>
        <w:tabs>
          <w:tab w:val="left" w:pos="1575"/>
        </w:tabs>
        <w:spacing w:line="440" w:lineRule="exact"/>
        <w:rPr>
          <w:color w:val="auto"/>
          <w:sz w:val="24"/>
        </w:rPr>
      </w:pPr>
      <w:r>
        <w:rPr>
          <w:color w:val="auto"/>
          <w:sz w:val="24"/>
        </w:rPr>
        <w:t>（4）施工时必须严格执行交底中的安全技术措施（标示牌、警示牌、安全绳等等），未经交底严禁作业；</w:t>
      </w:r>
    </w:p>
    <w:p>
      <w:pPr>
        <w:tabs>
          <w:tab w:val="left" w:pos="1575"/>
        </w:tabs>
        <w:spacing w:line="440" w:lineRule="exact"/>
        <w:rPr>
          <w:color w:val="auto"/>
          <w:sz w:val="24"/>
        </w:rPr>
      </w:pPr>
      <w:r>
        <w:rPr>
          <w:color w:val="auto"/>
          <w:sz w:val="24"/>
        </w:rPr>
        <w:t>（5）乙方从事特种作业人员必须持有特种作业操作证（如电工证等），并且证件需报甲方备案，未备案人员禁止进行特种作业施工，否则造成的人身财产损失由乙方承担；</w:t>
      </w:r>
    </w:p>
    <w:p>
      <w:pPr>
        <w:tabs>
          <w:tab w:val="left" w:pos="1575"/>
        </w:tabs>
        <w:spacing w:line="440" w:lineRule="exact"/>
        <w:rPr>
          <w:color w:val="auto"/>
          <w:sz w:val="24"/>
        </w:rPr>
      </w:pPr>
      <w:r>
        <w:rPr>
          <w:color w:val="auto"/>
          <w:sz w:val="24"/>
        </w:rPr>
        <w:t>（6）施工人员必须服从双方及业主方现场管理人员的指挥和管理；</w:t>
      </w:r>
    </w:p>
    <w:p>
      <w:pPr>
        <w:tabs>
          <w:tab w:val="left" w:pos="1575"/>
        </w:tabs>
        <w:spacing w:line="440" w:lineRule="exact"/>
        <w:rPr>
          <w:color w:val="auto"/>
          <w:sz w:val="24"/>
        </w:rPr>
      </w:pPr>
      <w:r>
        <w:rPr>
          <w:color w:val="auto"/>
          <w:sz w:val="24"/>
        </w:rPr>
        <w:t>（7）施工过程禁止任何违规操作，若造成任何一方人身安全及财产损失的，一切由乙方承担损失；</w:t>
      </w:r>
    </w:p>
    <w:p>
      <w:pPr>
        <w:tabs>
          <w:tab w:val="left" w:pos="1575"/>
        </w:tabs>
        <w:spacing w:line="440" w:lineRule="exact"/>
        <w:rPr>
          <w:color w:val="auto"/>
          <w:sz w:val="24"/>
        </w:rPr>
      </w:pPr>
      <w:r>
        <w:rPr>
          <w:color w:val="auto"/>
          <w:sz w:val="24"/>
        </w:rPr>
        <w:t>（8）任何特种作业乙方需有必要的安全措施，否则造成的人身财产损失由乙方承担；</w:t>
      </w:r>
    </w:p>
    <w:p>
      <w:pPr>
        <w:tabs>
          <w:tab w:val="left" w:pos="1575"/>
        </w:tabs>
        <w:spacing w:line="440" w:lineRule="exact"/>
        <w:rPr>
          <w:color w:val="auto"/>
          <w:sz w:val="24"/>
        </w:rPr>
      </w:pPr>
      <w:r>
        <w:rPr>
          <w:color w:val="auto"/>
          <w:sz w:val="24"/>
        </w:rPr>
        <w:t>（9）乙方在施工现场危险范围需有明显的安全警示标识；如因乙方的疏忽、设备故障、材料瑕疵或施工不良，损害他人人身或财产，致使甲方负担赔偿责任、受到损害或支出费用时，乙方需负责赔偿甲方之损害。</w:t>
      </w:r>
    </w:p>
    <w:p>
      <w:pPr>
        <w:tabs>
          <w:tab w:val="left" w:pos="1575"/>
        </w:tabs>
        <w:spacing w:line="440" w:lineRule="exact"/>
        <w:rPr>
          <w:color w:val="auto"/>
          <w:sz w:val="24"/>
        </w:rPr>
      </w:pPr>
      <w:r>
        <w:rPr>
          <w:color w:val="auto"/>
          <w:sz w:val="24"/>
        </w:rPr>
        <w:t>（10）所有拆卸、安装均需按要求操作，小心轻放，确保拆卸设备的完好，并且按要求对拆卸设备进行包装堆放，按安装区域整理标清，并移交运送甲方和业主方作入库确认。</w:t>
      </w:r>
    </w:p>
    <w:p>
      <w:pPr>
        <w:tabs>
          <w:tab w:val="left" w:pos="1575"/>
        </w:tabs>
        <w:spacing w:line="440" w:lineRule="exact"/>
        <w:rPr>
          <w:color w:val="auto"/>
          <w:sz w:val="24"/>
        </w:rPr>
      </w:pPr>
      <w:r>
        <w:rPr>
          <w:color w:val="auto"/>
          <w:sz w:val="24"/>
        </w:rPr>
        <w:t>（11）施工现场业主方财产安全，施工期间，禁止擅自挪动、动用、偷窃业甲方和主方的任何办公设备、物料、产品、文件资料等设备财产。</w:t>
      </w:r>
    </w:p>
    <w:p>
      <w:pPr>
        <w:tabs>
          <w:tab w:val="left" w:pos="1575"/>
        </w:tabs>
        <w:spacing w:line="440" w:lineRule="exact"/>
        <w:rPr>
          <w:color w:val="auto"/>
          <w:sz w:val="24"/>
        </w:rPr>
      </w:pPr>
      <w:r>
        <w:rPr>
          <w:color w:val="auto"/>
          <w:sz w:val="24"/>
        </w:rPr>
        <w:t>（12）乙方需保证施工现场环境的清洁，做好施工卫生保护措施。施工完后，按要求对现场进行清理，现场不得留有任何废弃物。</w:t>
      </w:r>
    </w:p>
    <w:p>
      <w:pPr>
        <w:numPr>
          <w:ilvl w:val="0"/>
          <w:numId w:val="2"/>
        </w:numPr>
        <w:tabs>
          <w:tab w:val="left" w:pos="1575"/>
          <w:tab w:val="clear" w:pos="1080"/>
        </w:tabs>
        <w:spacing w:before="120" w:line="440" w:lineRule="exact"/>
        <w:ind w:left="1077" w:hanging="1077"/>
        <w:rPr>
          <w:b/>
          <w:color w:val="auto"/>
          <w:sz w:val="24"/>
        </w:rPr>
      </w:pPr>
      <w:r>
        <w:rPr>
          <w:b/>
          <w:color w:val="auto"/>
          <w:sz w:val="24"/>
        </w:rPr>
        <w:t>工程分包</w:t>
      </w:r>
    </w:p>
    <w:p>
      <w:pPr>
        <w:tabs>
          <w:tab w:val="left" w:pos="1890"/>
        </w:tabs>
        <w:spacing w:line="440" w:lineRule="exact"/>
        <w:ind w:left="0" w:leftChars="0" w:firstLine="486" w:firstLineChars="200"/>
        <w:rPr>
          <w:color w:val="auto"/>
          <w:sz w:val="24"/>
        </w:rPr>
      </w:pPr>
      <w:r>
        <w:rPr>
          <w:bCs/>
          <w:color w:val="auto"/>
          <w:sz w:val="24"/>
        </w:rPr>
        <w:t>本工程乙方不得分包或转包给其他方，否则乙方将承担单方违约的责任，一切后果责任由乙方承担。</w:t>
      </w:r>
    </w:p>
    <w:p>
      <w:pPr>
        <w:numPr>
          <w:ilvl w:val="0"/>
          <w:numId w:val="2"/>
        </w:numPr>
        <w:tabs>
          <w:tab w:val="left" w:pos="1575"/>
          <w:tab w:val="clear" w:pos="1080"/>
        </w:tabs>
        <w:spacing w:before="120" w:line="440" w:lineRule="exact"/>
        <w:ind w:left="1077" w:hanging="1077"/>
        <w:rPr>
          <w:b/>
          <w:color w:val="auto"/>
          <w:sz w:val="24"/>
        </w:rPr>
      </w:pPr>
      <w:r>
        <w:rPr>
          <w:b/>
          <w:color w:val="auto"/>
          <w:sz w:val="24"/>
        </w:rPr>
        <w:t>不可抗力</w:t>
      </w:r>
    </w:p>
    <w:p>
      <w:pPr>
        <w:tabs>
          <w:tab w:val="left" w:pos="1575"/>
        </w:tabs>
        <w:spacing w:line="440" w:lineRule="exact"/>
        <w:rPr>
          <w:color w:val="auto"/>
          <w:sz w:val="24"/>
        </w:rPr>
      </w:pPr>
      <w:r>
        <w:rPr>
          <w:color w:val="auto"/>
          <w:sz w:val="24"/>
        </w:rPr>
        <w:t>1、不可抗力原因和因素的认定标准：</w:t>
      </w:r>
    </w:p>
    <w:p>
      <w:pPr>
        <w:tabs>
          <w:tab w:val="left" w:pos="1575"/>
        </w:tabs>
        <w:spacing w:line="440" w:lineRule="exact"/>
        <w:rPr>
          <w:color w:val="auto"/>
          <w:sz w:val="24"/>
        </w:rPr>
      </w:pPr>
      <w:r>
        <w:rPr>
          <w:color w:val="auto"/>
          <w:sz w:val="24"/>
        </w:rPr>
        <w:t>（1）六级以上地震；</w:t>
      </w:r>
    </w:p>
    <w:p>
      <w:pPr>
        <w:tabs>
          <w:tab w:val="left" w:pos="1575"/>
        </w:tabs>
        <w:spacing w:line="440" w:lineRule="exact"/>
        <w:rPr>
          <w:color w:val="auto"/>
          <w:sz w:val="24"/>
        </w:rPr>
      </w:pPr>
      <w:r>
        <w:rPr>
          <w:color w:val="auto"/>
          <w:sz w:val="24"/>
        </w:rPr>
        <w:t>（2）六级以上的持续24小时大风；</w:t>
      </w:r>
    </w:p>
    <w:p>
      <w:pPr>
        <w:tabs>
          <w:tab w:val="left" w:pos="1575"/>
        </w:tabs>
        <w:spacing w:line="440" w:lineRule="exact"/>
        <w:rPr>
          <w:color w:val="auto"/>
          <w:sz w:val="24"/>
        </w:rPr>
      </w:pPr>
      <w:r>
        <w:rPr>
          <w:color w:val="auto"/>
          <w:sz w:val="24"/>
        </w:rPr>
        <w:t>（3）30mm以上持续24小时的大雨、暴雨；</w:t>
      </w:r>
    </w:p>
    <w:p>
      <w:pPr>
        <w:tabs>
          <w:tab w:val="left" w:pos="1575"/>
        </w:tabs>
        <w:spacing w:line="440" w:lineRule="exact"/>
        <w:rPr>
          <w:color w:val="auto"/>
          <w:sz w:val="24"/>
        </w:rPr>
      </w:pPr>
      <w:r>
        <w:rPr>
          <w:color w:val="auto"/>
          <w:sz w:val="24"/>
        </w:rPr>
        <w:t>（4）15年以上未发生过、持续二天的高温天气；</w:t>
      </w:r>
    </w:p>
    <w:p>
      <w:pPr>
        <w:tabs>
          <w:tab w:val="left" w:pos="1575"/>
        </w:tabs>
        <w:spacing w:line="440" w:lineRule="exact"/>
        <w:rPr>
          <w:color w:val="auto"/>
          <w:sz w:val="24"/>
        </w:rPr>
      </w:pPr>
      <w:r>
        <w:rPr>
          <w:color w:val="auto"/>
          <w:sz w:val="24"/>
        </w:rPr>
        <w:t>（5）自然原因发生的火灾；</w:t>
      </w:r>
    </w:p>
    <w:p>
      <w:pPr>
        <w:tabs>
          <w:tab w:val="left" w:pos="1575"/>
        </w:tabs>
        <w:spacing w:line="440" w:lineRule="exact"/>
        <w:rPr>
          <w:color w:val="auto"/>
          <w:sz w:val="24"/>
        </w:rPr>
      </w:pPr>
      <w:r>
        <w:rPr>
          <w:color w:val="auto"/>
          <w:sz w:val="24"/>
        </w:rPr>
        <w:t xml:space="preserve">（6）其它不可抗力原因（包括因战争、动乱、空中飞行物体坠落或非甲、乙双方责任造成的爆炸等）。 </w:t>
      </w:r>
    </w:p>
    <w:p>
      <w:pPr>
        <w:tabs>
          <w:tab w:val="left" w:pos="1575"/>
        </w:tabs>
        <w:spacing w:line="440" w:lineRule="exact"/>
        <w:rPr>
          <w:color w:val="auto"/>
          <w:sz w:val="24"/>
        </w:rPr>
      </w:pPr>
      <w:r>
        <w:rPr>
          <w:color w:val="auto"/>
          <w:sz w:val="24"/>
        </w:rPr>
        <w:t>（7）因雷雨或大风天气因素不可施工，故须延长施工时间或延长停气时间，乙方需尽力配合，乙方不承担任何责任。</w:t>
      </w:r>
    </w:p>
    <w:p>
      <w:pPr>
        <w:tabs>
          <w:tab w:val="left" w:pos="1575"/>
        </w:tabs>
        <w:spacing w:line="440" w:lineRule="exact"/>
        <w:rPr>
          <w:color w:val="auto"/>
          <w:sz w:val="24"/>
        </w:rPr>
      </w:pPr>
      <w:r>
        <w:rPr>
          <w:color w:val="auto"/>
          <w:sz w:val="24"/>
        </w:rPr>
        <w:t>2、上述不可抗拒因素出现，乙方应立即采取措施并向甲方通报受灾情况，在上述因素引起的损害终止后两日内向甲方报告损失情况和清理、修复的费用。若灾害间歇形式继续发生，乙方应每隔一天向甲方报告一次灾害情况，直到灾害结束。</w:t>
      </w:r>
    </w:p>
    <w:p>
      <w:pPr>
        <w:tabs>
          <w:tab w:val="left" w:pos="1575"/>
        </w:tabs>
        <w:spacing w:line="440" w:lineRule="exact"/>
        <w:rPr>
          <w:color w:val="auto"/>
          <w:sz w:val="24"/>
        </w:rPr>
      </w:pPr>
      <w:r>
        <w:rPr>
          <w:color w:val="auto"/>
          <w:sz w:val="24"/>
        </w:rPr>
        <w:t>3、 因13.1所列灾害发生的费用由双方分别承担：</w:t>
      </w:r>
    </w:p>
    <w:p>
      <w:pPr>
        <w:tabs>
          <w:tab w:val="left" w:pos="1575"/>
        </w:tabs>
        <w:spacing w:line="440" w:lineRule="exact"/>
        <w:rPr>
          <w:color w:val="auto"/>
          <w:sz w:val="24"/>
        </w:rPr>
      </w:pPr>
      <w:r>
        <w:rPr>
          <w:color w:val="auto"/>
          <w:sz w:val="24"/>
        </w:rPr>
        <w:t>（1） 人员伤亡由乙方负责并承担相应费用；</w:t>
      </w:r>
    </w:p>
    <w:p>
      <w:pPr>
        <w:tabs>
          <w:tab w:val="left" w:pos="1575"/>
        </w:tabs>
        <w:spacing w:line="440" w:lineRule="exact"/>
        <w:rPr>
          <w:color w:val="auto"/>
          <w:sz w:val="24"/>
        </w:rPr>
      </w:pPr>
      <w:r>
        <w:rPr>
          <w:color w:val="auto"/>
          <w:sz w:val="24"/>
        </w:rPr>
        <w:t>（2） 造成施工现场乙方临时设施损坏和修复费用，由乙方承担；</w:t>
      </w:r>
    </w:p>
    <w:p>
      <w:pPr>
        <w:tabs>
          <w:tab w:val="left" w:pos="1575"/>
        </w:tabs>
        <w:spacing w:line="440" w:lineRule="exact"/>
        <w:rPr>
          <w:color w:val="auto"/>
          <w:sz w:val="24"/>
        </w:rPr>
      </w:pPr>
      <w:r>
        <w:rPr>
          <w:color w:val="auto"/>
          <w:sz w:val="24"/>
        </w:rPr>
        <w:t>（3） 乙方设备、机械、车辆等现场施工用具及人员停工、窝工、机械、设备停置损失，由乙方承担；</w:t>
      </w:r>
    </w:p>
    <w:p>
      <w:pPr>
        <w:tabs>
          <w:tab w:val="left" w:pos="1575"/>
        </w:tabs>
        <w:spacing w:line="440" w:lineRule="exact"/>
        <w:rPr>
          <w:color w:val="auto"/>
          <w:sz w:val="24"/>
        </w:rPr>
      </w:pPr>
      <w:r>
        <w:rPr>
          <w:color w:val="auto"/>
          <w:sz w:val="24"/>
        </w:rPr>
        <w:t>（4） 造成已验收工程损坏的，由乙方负责返修，返修费用由甲方承担。</w:t>
      </w:r>
    </w:p>
    <w:p>
      <w:pPr>
        <w:tabs>
          <w:tab w:val="left" w:pos="1575"/>
        </w:tabs>
        <w:spacing w:line="440" w:lineRule="exact"/>
        <w:rPr>
          <w:color w:val="auto"/>
          <w:sz w:val="24"/>
        </w:rPr>
      </w:pPr>
      <w:r>
        <w:rPr>
          <w:color w:val="auto"/>
          <w:sz w:val="24"/>
        </w:rPr>
        <w:t>（5） 清理、修理工作的责任与费用的承担，双方商议后另签补充协议。</w:t>
      </w:r>
    </w:p>
    <w:p>
      <w:pPr>
        <w:numPr>
          <w:ilvl w:val="0"/>
          <w:numId w:val="2"/>
        </w:numPr>
        <w:tabs>
          <w:tab w:val="left" w:pos="1575"/>
          <w:tab w:val="clear" w:pos="1080"/>
        </w:tabs>
        <w:spacing w:before="120" w:line="440" w:lineRule="exact"/>
        <w:ind w:left="1077" w:hanging="1077"/>
        <w:rPr>
          <w:b/>
          <w:color w:val="auto"/>
          <w:sz w:val="24"/>
        </w:rPr>
      </w:pPr>
      <w:r>
        <w:rPr>
          <w:b/>
          <w:color w:val="auto"/>
          <w:sz w:val="24"/>
        </w:rPr>
        <w:t xml:space="preserve">  保险</w:t>
      </w:r>
    </w:p>
    <w:p>
      <w:pPr>
        <w:tabs>
          <w:tab w:val="left" w:pos="1890"/>
        </w:tabs>
        <w:spacing w:before="120" w:line="440" w:lineRule="exact"/>
        <w:rPr>
          <w:color w:val="auto"/>
          <w:sz w:val="24"/>
          <w:szCs w:val="28"/>
        </w:rPr>
      </w:pPr>
      <w:r>
        <w:rPr>
          <w:color w:val="auto"/>
          <w:sz w:val="24"/>
        </w:rPr>
        <w:t>1、</w:t>
      </w:r>
      <w:r>
        <w:rPr>
          <w:color w:val="auto"/>
          <w:sz w:val="24"/>
          <w:szCs w:val="28"/>
        </w:rPr>
        <w:t>乙方必须对施工工程、进场设备与材料及与其施工工程有关者办理以下保险并支付相应费用：</w:t>
      </w:r>
    </w:p>
    <w:p>
      <w:pPr>
        <w:tabs>
          <w:tab w:val="left" w:pos="1575"/>
        </w:tabs>
        <w:spacing w:line="440" w:lineRule="exact"/>
        <w:rPr>
          <w:color w:val="auto"/>
          <w:sz w:val="24"/>
        </w:rPr>
      </w:pPr>
      <w:r>
        <w:rPr>
          <w:color w:val="auto"/>
          <w:sz w:val="24"/>
        </w:rPr>
        <w:t>（1）、为施工人员办理意外伤害险及惠州市政府要求的社会保险；</w:t>
      </w:r>
    </w:p>
    <w:p>
      <w:pPr>
        <w:tabs>
          <w:tab w:val="left" w:pos="1575"/>
        </w:tabs>
        <w:spacing w:line="440" w:lineRule="exact"/>
        <w:rPr>
          <w:color w:val="auto"/>
          <w:sz w:val="24"/>
        </w:rPr>
      </w:pPr>
      <w:r>
        <w:rPr>
          <w:color w:val="auto"/>
          <w:sz w:val="24"/>
        </w:rPr>
        <w:t>（2）、为施工机械设备、机动车辆办理保险；</w:t>
      </w:r>
    </w:p>
    <w:p>
      <w:pPr>
        <w:tabs>
          <w:tab w:val="left" w:pos="1575"/>
        </w:tabs>
        <w:spacing w:line="440" w:lineRule="exact"/>
        <w:rPr>
          <w:color w:val="auto"/>
          <w:sz w:val="24"/>
        </w:rPr>
      </w:pPr>
      <w:r>
        <w:rPr>
          <w:color w:val="auto"/>
          <w:sz w:val="24"/>
        </w:rPr>
        <w:t>（3）、第三者责任险。</w:t>
      </w:r>
    </w:p>
    <w:p>
      <w:pPr>
        <w:tabs>
          <w:tab w:val="left" w:pos="1575"/>
        </w:tabs>
        <w:spacing w:line="440" w:lineRule="exact"/>
        <w:rPr>
          <w:color w:val="auto"/>
          <w:sz w:val="24"/>
        </w:rPr>
      </w:pPr>
      <w:r>
        <w:rPr>
          <w:color w:val="auto"/>
          <w:sz w:val="24"/>
        </w:rPr>
        <w:t>2、 所有人员和设备财产保险，在施工进场前出具保险单据，在甲方备案。</w:t>
      </w:r>
    </w:p>
    <w:p>
      <w:pPr>
        <w:numPr>
          <w:ilvl w:val="0"/>
          <w:numId w:val="2"/>
        </w:numPr>
        <w:tabs>
          <w:tab w:val="left" w:pos="1575"/>
          <w:tab w:val="clear" w:pos="1080"/>
        </w:tabs>
        <w:spacing w:before="120" w:line="440" w:lineRule="exact"/>
        <w:ind w:left="1077" w:hanging="1077"/>
        <w:rPr>
          <w:b/>
          <w:color w:val="auto"/>
          <w:sz w:val="24"/>
        </w:rPr>
      </w:pPr>
      <w:r>
        <w:rPr>
          <w:b/>
          <w:color w:val="auto"/>
          <w:sz w:val="24"/>
        </w:rPr>
        <w:t xml:space="preserve">  工程暂停或缓建</w:t>
      </w:r>
    </w:p>
    <w:p>
      <w:pPr>
        <w:tabs>
          <w:tab w:val="left" w:pos="1575"/>
        </w:tabs>
        <w:spacing w:line="440" w:lineRule="exact"/>
        <w:rPr>
          <w:color w:val="auto"/>
          <w:sz w:val="24"/>
        </w:rPr>
      </w:pPr>
      <w:r>
        <w:rPr>
          <w:color w:val="auto"/>
          <w:sz w:val="24"/>
        </w:rPr>
        <w:t>1、 因甲方内部政策调整、不可抗力及甲、乙双方之外原因导致工程停止、使合同不能继续履行，甲方需提前以书面方式通知乙方，双方签订工程停、缓建协议备查。</w:t>
      </w:r>
    </w:p>
    <w:p>
      <w:pPr>
        <w:tabs>
          <w:tab w:val="left" w:pos="1575"/>
        </w:tabs>
        <w:spacing w:line="440" w:lineRule="exact"/>
        <w:rPr>
          <w:color w:val="auto"/>
          <w:sz w:val="24"/>
        </w:rPr>
      </w:pPr>
      <w:r>
        <w:rPr>
          <w:color w:val="auto"/>
          <w:sz w:val="24"/>
        </w:rPr>
        <w:t>2、工作停、缓建后，乙方应妥善做好已完工程和已购材料、设备保护及保管工作，并按甲方要求将自有机械、设备、人员撤出施工现场。甲方应为乙方撤离提供相关条件，并按合约定内容支付已完工程价款。</w:t>
      </w:r>
    </w:p>
    <w:p>
      <w:pPr>
        <w:numPr>
          <w:ilvl w:val="0"/>
          <w:numId w:val="2"/>
        </w:numPr>
        <w:tabs>
          <w:tab w:val="left" w:pos="1575"/>
          <w:tab w:val="clear" w:pos="1080"/>
        </w:tabs>
        <w:spacing w:before="120" w:line="440" w:lineRule="exact"/>
        <w:ind w:left="1077" w:hanging="1077"/>
        <w:rPr>
          <w:b/>
          <w:color w:val="auto"/>
          <w:sz w:val="24"/>
        </w:rPr>
      </w:pPr>
      <w:bookmarkStart w:id="11" w:name="_Toc395605680"/>
      <w:bookmarkStart w:id="12" w:name="_Toc486971225"/>
      <w:r>
        <w:rPr>
          <w:b/>
          <w:color w:val="auto"/>
          <w:sz w:val="24"/>
        </w:rPr>
        <w:t xml:space="preserve"> 违约责任</w:t>
      </w:r>
      <w:bookmarkEnd w:id="11"/>
      <w:bookmarkEnd w:id="12"/>
    </w:p>
    <w:p>
      <w:pPr>
        <w:tabs>
          <w:tab w:val="left" w:pos="1575"/>
        </w:tabs>
        <w:spacing w:line="440" w:lineRule="exact"/>
        <w:rPr>
          <w:color w:val="auto"/>
          <w:sz w:val="24"/>
        </w:rPr>
      </w:pPr>
      <w:r>
        <w:rPr>
          <w:color w:val="auto"/>
          <w:sz w:val="24"/>
        </w:rPr>
        <w:t>1、甲方违约责任</w:t>
      </w:r>
    </w:p>
    <w:p>
      <w:pPr>
        <w:tabs>
          <w:tab w:val="left" w:pos="1575"/>
        </w:tabs>
        <w:spacing w:line="440" w:lineRule="exact"/>
        <w:rPr>
          <w:color w:val="auto"/>
          <w:sz w:val="24"/>
          <w:szCs w:val="28"/>
        </w:rPr>
      </w:pPr>
      <w:r>
        <w:rPr>
          <w:color w:val="auto"/>
          <w:sz w:val="24"/>
          <w:szCs w:val="28"/>
        </w:rPr>
        <w:t>甲方无故不按合同约定履行付款义务，逾期超过一个月的，甲方须承担违约责任，每逾期一天按照应付金额的千分之一支付乙方违约金，并且乙方不承担因此而造成的工期延误责任。</w:t>
      </w:r>
    </w:p>
    <w:p>
      <w:pPr>
        <w:tabs>
          <w:tab w:val="left" w:pos="1575"/>
        </w:tabs>
        <w:spacing w:line="440" w:lineRule="exact"/>
        <w:rPr>
          <w:color w:val="auto"/>
          <w:sz w:val="24"/>
        </w:rPr>
      </w:pPr>
      <w:r>
        <w:rPr>
          <w:color w:val="auto"/>
          <w:sz w:val="24"/>
          <w:szCs w:val="28"/>
        </w:rPr>
        <w:t>2、乙方违约责任：</w:t>
      </w:r>
    </w:p>
    <w:p>
      <w:pPr>
        <w:tabs>
          <w:tab w:val="left" w:pos="1575"/>
        </w:tabs>
        <w:spacing w:line="440" w:lineRule="exact"/>
        <w:rPr>
          <w:color w:val="auto"/>
          <w:sz w:val="24"/>
        </w:rPr>
      </w:pPr>
      <w:r>
        <w:rPr>
          <w:color w:val="auto"/>
          <w:sz w:val="24"/>
          <w:szCs w:val="28"/>
        </w:rPr>
        <w:t>乙方不履行合同义务或不按合同约定履行义务的其他情况，应按照合同承担违约责任，并赔偿因其违约造成的损失。乙方向甲方保证其提供的设备是全新的、已经正确安装的、能够正常运行并达到其说明书所述的使用目的，且不会给甲方项目人员的人身和财产安全造成损害。</w:t>
      </w:r>
    </w:p>
    <w:p>
      <w:pPr>
        <w:numPr>
          <w:ilvl w:val="0"/>
          <w:numId w:val="2"/>
        </w:numPr>
        <w:tabs>
          <w:tab w:val="left" w:pos="1575"/>
          <w:tab w:val="clear" w:pos="1080"/>
        </w:tabs>
        <w:spacing w:before="120" w:line="440" w:lineRule="exact"/>
        <w:ind w:left="1077" w:hanging="1077"/>
        <w:rPr>
          <w:b/>
          <w:color w:val="auto"/>
          <w:sz w:val="24"/>
        </w:rPr>
      </w:pPr>
      <w:r>
        <w:rPr>
          <w:b/>
          <w:color w:val="auto"/>
          <w:sz w:val="24"/>
        </w:rPr>
        <w:t xml:space="preserve">  合同的生效与终止</w:t>
      </w:r>
    </w:p>
    <w:p>
      <w:pPr>
        <w:pStyle w:val="2"/>
        <w:spacing w:line="440" w:lineRule="exact"/>
        <w:rPr>
          <w:color w:val="auto"/>
          <w:sz w:val="24"/>
        </w:rPr>
      </w:pPr>
      <w:r>
        <w:rPr>
          <w:color w:val="auto"/>
          <w:sz w:val="24"/>
        </w:rPr>
        <w:t>1、本合同自甲、乙双方法人代表或其委托代理人签字并加盖单位公章之日起生效。</w:t>
      </w:r>
    </w:p>
    <w:p>
      <w:pPr>
        <w:pStyle w:val="2"/>
        <w:spacing w:line="440" w:lineRule="exact"/>
        <w:rPr>
          <w:color w:val="auto"/>
          <w:sz w:val="24"/>
        </w:rPr>
      </w:pPr>
      <w:r>
        <w:rPr>
          <w:color w:val="auto"/>
          <w:sz w:val="24"/>
        </w:rPr>
        <w:t xml:space="preserve">2、本合同可经由甲乙双方协商一致后书面解除。 </w:t>
      </w:r>
    </w:p>
    <w:p>
      <w:pPr>
        <w:pStyle w:val="2"/>
        <w:spacing w:line="440" w:lineRule="exact"/>
        <w:rPr>
          <w:color w:val="auto"/>
          <w:sz w:val="24"/>
        </w:rPr>
      </w:pPr>
      <w:r>
        <w:rPr>
          <w:color w:val="auto"/>
          <w:sz w:val="24"/>
        </w:rPr>
        <w:t>3、本合同的解除不影响任意一方根据本合同或者相关的法律法规向对方寻求赔偿的权利。</w:t>
      </w:r>
    </w:p>
    <w:p>
      <w:pPr>
        <w:numPr>
          <w:ilvl w:val="0"/>
          <w:numId w:val="2"/>
        </w:numPr>
        <w:tabs>
          <w:tab w:val="left" w:pos="1575"/>
          <w:tab w:val="clear" w:pos="1080"/>
        </w:tabs>
        <w:spacing w:before="120" w:line="440" w:lineRule="exact"/>
        <w:ind w:left="1077" w:hanging="1077"/>
        <w:rPr>
          <w:b/>
          <w:color w:val="auto"/>
          <w:sz w:val="24"/>
        </w:rPr>
      </w:pPr>
      <w:r>
        <w:rPr>
          <w:b/>
          <w:color w:val="auto"/>
          <w:sz w:val="24"/>
        </w:rPr>
        <w:t xml:space="preserve">   其它</w:t>
      </w:r>
    </w:p>
    <w:p>
      <w:pPr>
        <w:tabs>
          <w:tab w:val="left" w:pos="1575"/>
        </w:tabs>
        <w:spacing w:line="440" w:lineRule="exact"/>
        <w:rPr>
          <w:color w:val="auto"/>
          <w:sz w:val="24"/>
        </w:rPr>
      </w:pPr>
      <w:r>
        <w:rPr>
          <w:color w:val="auto"/>
          <w:sz w:val="24"/>
        </w:rPr>
        <w:t>1、 本协议在履行过程中如出现纠纷，由甲乙双方协商解决，协商不成由甲方所在地人民法院裁决。</w:t>
      </w:r>
    </w:p>
    <w:p>
      <w:pPr>
        <w:tabs>
          <w:tab w:val="left" w:pos="1575"/>
        </w:tabs>
        <w:spacing w:line="440" w:lineRule="exact"/>
        <w:rPr>
          <w:color w:val="auto"/>
          <w:sz w:val="24"/>
          <w:szCs w:val="28"/>
        </w:rPr>
      </w:pPr>
      <w:r>
        <w:rPr>
          <w:color w:val="auto"/>
          <w:sz w:val="24"/>
        </w:rPr>
        <w:t>2、</w:t>
      </w:r>
      <w:r>
        <w:rPr>
          <w:color w:val="auto"/>
          <w:sz w:val="24"/>
          <w:szCs w:val="28"/>
        </w:rPr>
        <w:t>本合同如有未尽事宜，由甲乙双方共同协商，做出补充规定，补充规定与本合同具有同等法律效力。</w:t>
      </w:r>
    </w:p>
    <w:p>
      <w:pPr>
        <w:tabs>
          <w:tab w:val="left" w:pos="1575"/>
        </w:tabs>
        <w:spacing w:line="440" w:lineRule="exact"/>
        <w:rPr>
          <w:color w:val="auto"/>
          <w:sz w:val="24"/>
          <w:szCs w:val="28"/>
        </w:rPr>
      </w:pPr>
      <w:r>
        <w:rPr>
          <w:color w:val="auto"/>
          <w:sz w:val="24"/>
          <w:szCs w:val="28"/>
        </w:rPr>
        <w:t>3、本合同所列明的联系方式是经各自确认过的有效联系方式，如有变更，应在变更后当日书面通知对方。联系方式适用于与本合同有关的一切送达。</w:t>
      </w:r>
    </w:p>
    <w:p>
      <w:pPr>
        <w:tabs>
          <w:tab w:val="left" w:pos="1575"/>
        </w:tabs>
        <w:spacing w:line="440" w:lineRule="exact"/>
        <w:rPr>
          <w:color w:val="auto"/>
          <w:sz w:val="24"/>
        </w:rPr>
      </w:pPr>
      <w:r>
        <w:rPr>
          <w:color w:val="auto"/>
          <w:sz w:val="24"/>
          <w:szCs w:val="28"/>
        </w:rPr>
        <w:t>3、本合同一式贰份，双方各执壹份，各份具有同等法律效力。本合同自甲乙双方法定代表人或授权代理人签字盖章之日起生效</w:t>
      </w:r>
      <w:r>
        <w:rPr>
          <w:color w:val="auto"/>
          <w:sz w:val="24"/>
        </w:rPr>
        <w:t>。</w:t>
      </w:r>
    </w:p>
    <w:p>
      <w:pPr>
        <w:spacing w:line="360" w:lineRule="auto"/>
        <w:rPr>
          <w:b/>
          <w:color w:val="auto"/>
          <w:szCs w:val="21"/>
        </w:rPr>
      </w:pPr>
      <w:r>
        <w:rPr>
          <w:color w:val="auto"/>
          <w:szCs w:val="21"/>
        </w:rPr>
        <w:t>4、</w:t>
      </w:r>
      <w:r>
        <w:rPr>
          <w:color w:val="auto"/>
          <w:sz w:val="24"/>
          <w:szCs w:val="28"/>
        </w:rPr>
        <w:t>本合同以下附件是合同的组成部分。</w:t>
      </w:r>
    </w:p>
    <w:p>
      <w:pPr>
        <w:numPr>
          <w:ilvl w:val="0"/>
          <w:numId w:val="2"/>
        </w:numPr>
        <w:tabs>
          <w:tab w:val="left" w:pos="1575"/>
          <w:tab w:val="clear" w:pos="1080"/>
        </w:tabs>
        <w:spacing w:before="120" w:line="440" w:lineRule="exact"/>
        <w:ind w:left="1077" w:hanging="1077"/>
        <w:rPr>
          <w:b/>
          <w:color w:val="auto"/>
          <w:sz w:val="24"/>
        </w:rPr>
      </w:pPr>
      <w:r>
        <w:rPr>
          <w:b/>
          <w:color w:val="auto"/>
          <w:sz w:val="24"/>
        </w:rPr>
        <w:t>附件</w:t>
      </w:r>
    </w:p>
    <w:p>
      <w:pPr>
        <w:spacing w:line="360" w:lineRule="auto"/>
        <w:rPr>
          <w:b/>
          <w:color w:val="auto"/>
          <w:sz w:val="24"/>
        </w:rPr>
      </w:pPr>
      <w:r>
        <w:rPr>
          <w:color w:val="auto"/>
          <w:sz w:val="24"/>
        </w:rPr>
        <w:t>惠州市第一妇幼保健院</w:t>
      </w:r>
      <w:r>
        <w:rPr>
          <w:rFonts w:hint="eastAsia"/>
          <w:color w:val="auto"/>
          <w:sz w:val="24"/>
          <w:lang w:eastAsia="zh-CN"/>
        </w:rPr>
        <w:t>门诊楼五楼天面模块机机组压缩机及保温棉更换采购项目</w:t>
      </w:r>
      <w:r>
        <w:rPr>
          <w:color w:val="auto"/>
          <w:sz w:val="24"/>
        </w:rPr>
        <w:t>报价单</w:t>
      </w:r>
    </w:p>
    <w:p>
      <w:pPr>
        <w:pStyle w:val="2"/>
        <w:rPr>
          <w:rFonts w:hint="eastAsia" w:ascii="宋体" w:hAnsi="宋体"/>
          <w:color w:val="auto"/>
          <w:sz w:val="24"/>
          <w:highlight w:val="none"/>
        </w:rPr>
      </w:pPr>
    </w:p>
    <w:p>
      <w:pPr>
        <w:pStyle w:val="12"/>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(以下无正文)</w:t>
      </w:r>
    </w:p>
    <w:p>
      <w:pPr>
        <w:pStyle w:val="2"/>
        <w:rPr>
          <w:rFonts w:hint="eastAsia" w:ascii="宋体" w:hAnsi="宋体"/>
          <w:color w:val="auto"/>
          <w:sz w:val="24"/>
          <w:highlight w:val="none"/>
        </w:rPr>
      </w:pPr>
    </w:p>
    <w:p>
      <w:pPr>
        <w:spacing w:line="460" w:lineRule="exact"/>
        <w:ind w:left="5588" w:leftChars="228" w:hanging="5103" w:hangingChars="2100"/>
        <w:jc w:val="left"/>
        <w:rPr>
          <w:rFonts w:ascii="宋体"/>
          <w:color w:val="auto"/>
          <w:sz w:val="24"/>
          <w:highlight w:val="none"/>
        </w:rPr>
      </w:pPr>
      <w:r>
        <w:rPr>
          <w:rFonts w:hint="eastAsia" w:ascii="宋体" w:hAnsi="宋体" w:cs="宋体"/>
          <w:color w:val="auto"/>
          <w:sz w:val="24"/>
          <w:highlight w:val="none"/>
        </w:rPr>
        <w:t>甲方：惠州市第一妇幼保健院            乙方：</w:t>
      </w:r>
    </w:p>
    <w:p>
      <w:pPr>
        <w:spacing w:line="460" w:lineRule="exact"/>
        <w:ind w:left="5588" w:leftChars="228" w:hanging="5103" w:hangingChars="2100"/>
        <w:jc w:val="left"/>
        <w:rPr>
          <w:rFonts w:ascii="宋体"/>
          <w:color w:val="auto"/>
          <w:sz w:val="24"/>
          <w:highlight w:val="none"/>
        </w:rPr>
      </w:pPr>
      <w:r>
        <w:rPr>
          <w:rFonts w:hint="eastAsia" w:ascii="宋体" w:hAnsi="宋体"/>
          <w:color w:val="auto"/>
          <w:sz w:val="24"/>
          <w:highlight w:val="none"/>
        </w:rPr>
        <w:t>授权代表</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hAnsi="宋体"/>
          <w:color w:val="auto"/>
          <w:sz w:val="24"/>
          <w:highlight w:val="none"/>
          <w:lang w:val="en-US" w:eastAsia="zh-CN"/>
        </w:rPr>
        <w:t>法定代表人</w:t>
      </w:r>
    </w:p>
    <w:p>
      <w:pPr>
        <w:spacing w:line="460" w:lineRule="exact"/>
        <w:ind w:left="5588" w:leftChars="228" w:hanging="5103" w:hangingChars="2100"/>
        <w:jc w:val="left"/>
        <w:rPr>
          <w:rFonts w:ascii="宋体" w:hAnsi="宋体" w:cs="宋体"/>
          <w:color w:val="auto"/>
          <w:sz w:val="24"/>
          <w:highlight w:val="none"/>
        </w:rPr>
      </w:pPr>
      <w:r>
        <w:rPr>
          <w:rFonts w:hint="eastAsia" w:ascii="宋体" w:hAnsi="宋体" w:cs="宋体"/>
          <w:color w:val="auto"/>
          <w:sz w:val="24"/>
          <w:highlight w:val="none"/>
        </w:rPr>
        <w:t>地址：惠州市演达四路5号              地址：</w:t>
      </w:r>
    </w:p>
    <w:p>
      <w:pPr>
        <w:autoSpaceDE w:val="0"/>
        <w:autoSpaceDN w:val="0"/>
        <w:adjustRightInd w:val="0"/>
        <w:spacing w:line="460" w:lineRule="exact"/>
        <w:ind w:right="246" w:firstLine="486" w:firstLineChars="200"/>
        <w:rPr>
          <w:rFonts w:ascii="宋体" w:hAnsi="宋体" w:cs="宋体"/>
          <w:color w:val="auto"/>
          <w:sz w:val="24"/>
          <w:highlight w:val="none"/>
        </w:rPr>
      </w:pPr>
      <w:r>
        <w:rPr>
          <w:rFonts w:hint="eastAsia" w:ascii="宋体" w:hAnsi="宋体" w:cs="宋体"/>
          <w:color w:val="auto"/>
          <w:sz w:val="24"/>
          <w:highlight w:val="none"/>
        </w:rPr>
        <w:t>电话：0752-7806</w:t>
      </w:r>
      <w:r>
        <w:rPr>
          <w:rFonts w:hint="eastAsia" w:ascii="宋体" w:hAnsi="宋体" w:cs="宋体"/>
          <w:color w:val="auto"/>
          <w:sz w:val="24"/>
          <w:highlight w:val="none"/>
          <w:lang w:val="en-US" w:eastAsia="zh-CN"/>
        </w:rPr>
        <w:t xml:space="preserve">628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电话：</w:t>
      </w:r>
    </w:p>
    <w:p>
      <w:pPr>
        <w:spacing w:line="460" w:lineRule="exact"/>
        <w:ind w:firstLine="486" w:firstLineChars="200"/>
        <w:rPr>
          <w:rFonts w:hint="eastAsia" w:ascii="仿宋" w:hAnsi="仿宋" w:eastAsia="仿宋" w:cs="仿宋"/>
          <w:b/>
          <w:color w:val="auto"/>
          <w:kern w:val="0"/>
          <w:sz w:val="28"/>
          <w:szCs w:val="28"/>
          <w:highlight w:val="none"/>
        </w:rPr>
      </w:pPr>
      <w:r>
        <w:rPr>
          <w:rFonts w:hint="eastAsia" w:ascii="宋体" w:hAnsi="宋体" w:cs="宋体"/>
          <w:color w:val="auto"/>
          <w:sz w:val="24"/>
          <w:highlight w:val="none"/>
        </w:rPr>
        <w:t>日期：   年    月   日                日期：    年    月    日</w:t>
      </w:r>
      <w:r>
        <w:rPr>
          <w:rFonts w:hint="eastAsia" w:ascii="仿宋" w:hAnsi="仿宋" w:eastAsia="仿宋" w:cs="仿宋"/>
          <w:b/>
          <w:color w:val="auto"/>
          <w:kern w:val="0"/>
          <w:sz w:val="28"/>
          <w:szCs w:val="28"/>
          <w:highlight w:val="none"/>
        </w:rPr>
        <w:br w:type="page"/>
      </w:r>
    </w:p>
    <w:p>
      <w:pPr>
        <w:pStyle w:val="13"/>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pPr>
        <w:pStyle w:val="13"/>
        <w:adjustRightInd w:val="0"/>
        <w:snapToGrid w:val="0"/>
        <w:spacing w:line="440" w:lineRule="exact"/>
        <w:jc w:val="center"/>
        <w:rPr>
          <w:rFonts w:hint="eastAsia" w:ascii="仿宋" w:hAnsi="仿宋" w:eastAsia="仿宋" w:cs="仿宋"/>
          <w:b/>
          <w:color w:val="auto"/>
          <w:kern w:val="0"/>
          <w:sz w:val="28"/>
          <w:szCs w:val="28"/>
          <w:highlight w:val="none"/>
        </w:rPr>
      </w:pPr>
    </w:p>
    <w:p>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pPr>
        <w:pStyle w:val="13"/>
        <w:adjustRightInd w:val="0"/>
        <w:snapToGrid w:val="0"/>
        <w:spacing w:line="360" w:lineRule="auto"/>
        <w:jc w:val="center"/>
        <w:rPr>
          <w:rFonts w:hint="eastAsia" w:ascii="仿宋" w:hAnsi="仿宋" w:eastAsia="仿宋" w:cs="仿宋"/>
          <w:b/>
          <w:color w:val="auto"/>
          <w:kern w:val="0"/>
          <w:sz w:val="72"/>
          <w:szCs w:val="72"/>
          <w:highlight w:val="none"/>
        </w:rPr>
      </w:pPr>
    </w:p>
    <w:p>
      <w:pPr>
        <w:pStyle w:val="13"/>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pPr>
        <w:pStyle w:val="13"/>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pPr>
        <w:pStyle w:val="13"/>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pPr>
        <w:pStyle w:val="13"/>
        <w:adjustRightInd w:val="0"/>
        <w:snapToGrid w:val="0"/>
        <w:spacing w:line="360" w:lineRule="auto"/>
        <w:rPr>
          <w:rFonts w:hint="eastAsia" w:ascii="仿宋" w:hAnsi="仿宋" w:eastAsia="仿宋" w:cs="仿宋"/>
          <w:b/>
          <w:color w:val="auto"/>
          <w:kern w:val="0"/>
          <w:sz w:val="24"/>
          <w:szCs w:val="24"/>
          <w:highlight w:val="none"/>
        </w:rPr>
      </w:pPr>
    </w:p>
    <w:p>
      <w:pPr>
        <w:pStyle w:val="13"/>
        <w:adjustRightInd w:val="0"/>
        <w:snapToGrid w:val="0"/>
        <w:spacing w:line="440" w:lineRule="exact"/>
        <w:rPr>
          <w:rFonts w:hint="eastAsia" w:ascii="仿宋" w:hAnsi="仿宋" w:eastAsia="仿宋" w:cs="仿宋"/>
          <w:b/>
          <w:color w:val="auto"/>
          <w:kern w:val="0"/>
          <w:sz w:val="24"/>
          <w:szCs w:val="24"/>
          <w:highlight w:val="none"/>
        </w:rPr>
      </w:pPr>
    </w:p>
    <w:p>
      <w:pPr>
        <w:pStyle w:val="13"/>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pPr>
        <w:pStyle w:val="13"/>
        <w:spacing w:line="360" w:lineRule="auto"/>
        <w:rPr>
          <w:rFonts w:hint="eastAsia" w:ascii="仿宋" w:hAnsi="仿宋" w:eastAsia="仿宋" w:cs="仿宋"/>
          <w:b/>
          <w:color w:val="auto"/>
          <w:sz w:val="28"/>
          <w:szCs w:val="28"/>
          <w:highlight w:val="none"/>
        </w:rPr>
      </w:pPr>
    </w:p>
    <w:p>
      <w:pPr>
        <w:pStyle w:val="13"/>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pPr>
        <w:pStyle w:val="13"/>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pPr>
        <w:pStyle w:val="13"/>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pPr>
        <w:pStyle w:val="13"/>
        <w:adjustRightInd w:val="0"/>
        <w:snapToGrid w:val="0"/>
        <w:spacing w:line="440" w:lineRule="exact"/>
        <w:rPr>
          <w:rFonts w:hint="eastAsia" w:ascii="仿宋" w:hAnsi="仿宋" w:eastAsia="仿宋" w:cs="仿宋"/>
          <w:b/>
          <w:color w:val="auto"/>
          <w:kern w:val="0"/>
          <w:sz w:val="24"/>
          <w:szCs w:val="24"/>
          <w:highlight w:val="none"/>
        </w:rPr>
      </w:pPr>
    </w:p>
    <w:p>
      <w:pPr>
        <w:pStyle w:val="13"/>
        <w:adjustRightInd w:val="0"/>
        <w:snapToGrid w:val="0"/>
        <w:spacing w:line="440" w:lineRule="exact"/>
        <w:rPr>
          <w:rFonts w:hint="eastAsia" w:ascii="仿宋" w:hAnsi="仿宋" w:eastAsia="仿宋" w:cs="仿宋"/>
          <w:b/>
          <w:color w:val="auto"/>
          <w:kern w:val="0"/>
          <w:sz w:val="24"/>
          <w:szCs w:val="24"/>
          <w:highlight w:val="none"/>
        </w:rPr>
      </w:pPr>
    </w:p>
    <w:p>
      <w:pPr>
        <w:pStyle w:val="13"/>
        <w:adjustRightInd w:val="0"/>
        <w:snapToGrid w:val="0"/>
        <w:spacing w:line="440" w:lineRule="exact"/>
        <w:rPr>
          <w:rFonts w:hint="eastAsia" w:ascii="仿宋" w:hAnsi="仿宋" w:eastAsia="仿宋" w:cs="仿宋"/>
          <w:b/>
          <w:color w:val="auto"/>
          <w:kern w:val="0"/>
          <w:sz w:val="24"/>
          <w:szCs w:val="24"/>
          <w:highlight w:val="none"/>
        </w:rPr>
      </w:pPr>
    </w:p>
    <w:p>
      <w:pPr>
        <w:pStyle w:val="13"/>
        <w:adjustRightInd w:val="0"/>
        <w:snapToGrid w:val="0"/>
        <w:spacing w:line="440" w:lineRule="exact"/>
        <w:rPr>
          <w:rFonts w:hint="eastAsia" w:ascii="仿宋" w:hAnsi="仿宋" w:eastAsia="仿宋" w:cs="仿宋"/>
          <w:b/>
          <w:color w:val="auto"/>
          <w:kern w:val="0"/>
          <w:sz w:val="24"/>
          <w:szCs w:val="24"/>
          <w:highlight w:val="none"/>
        </w:rPr>
      </w:pPr>
    </w:p>
    <w:p>
      <w:pPr>
        <w:pStyle w:val="13"/>
        <w:adjustRightInd w:val="0"/>
        <w:snapToGrid w:val="0"/>
        <w:spacing w:line="440" w:lineRule="exact"/>
        <w:rPr>
          <w:rFonts w:hint="eastAsia" w:ascii="仿宋" w:hAnsi="仿宋" w:eastAsia="仿宋" w:cs="仿宋"/>
          <w:b/>
          <w:color w:val="auto"/>
          <w:kern w:val="0"/>
          <w:sz w:val="24"/>
          <w:szCs w:val="24"/>
          <w:highlight w:val="none"/>
        </w:rPr>
      </w:pPr>
    </w:p>
    <w:p>
      <w:pPr>
        <w:pStyle w:val="13"/>
        <w:adjustRightInd w:val="0"/>
        <w:snapToGrid w:val="0"/>
        <w:spacing w:line="440" w:lineRule="exact"/>
        <w:rPr>
          <w:rFonts w:hint="eastAsia" w:ascii="仿宋" w:hAnsi="仿宋" w:eastAsia="仿宋" w:cs="仿宋"/>
          <w:b/>
          <w:color w:val="auto"/>
          <w:kern w:val="0"/>
          <w:sz w:val="24"/>
          <w:szCs w:val="24"/>
          <w:highlight w:val="none"/>
        </w:rPr>
      </w:pPr>
    </w:p>
    <w:p>
      <w:pPr>
        <w:pStyle w:val="13"/>
        <w:adjustRightInd w:val="0"/>
        <w:snapToGrid w:val="0"/>
        <w:spacing w:line="440" w:lineRule="exact"/>
        <w:rPr>
          <w:rFonts w:hint="eastAsia" w:ascii="仿宋" w:hAnsi="仿宋" w:eastAsia="仿宋" w:cs="仿宋"/>
          <w:b/>
          <w:color w:val="auto"/>
          <w:kern w:val="0"/>
          <w:sz w:val="24"/>
          <w:szCs w:val="24"/>
          <w:highlight w:val="none"/>
        </w:rPr>
      </w:pPr>
    </w:p>
    <w:p>
      <w:pPr>
        <w:pStyle w:val="13"/>
        <w:adjustRightInd w:val="0"/>
        <w:snapToGrid w:val="0"/>
        <w:spacing w:line="440" w:lineRule="exact"/>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 xml:space="preserve">响应供应商：                              </w:t>
      </w:r>
      <w:r>
        <w:rPr>
          <w:rFonts w:hint="eastAsia" w:ascii="仿宋" w:hAnsi="仿宋" w:eastAsia="仿宋" w:cs="仿宋"/>
          <w:b/>
          <w:color w:val="auto"/>
          <w:kern w:val="0"/>
          <w:sz w:val="24"/>
          <w:szCs w:val="24"/>
          <w:highlight w:val="none"/>
          <w:lang w:eastAsia="zh-CN"/>
        </w:rPr>
        <w:t>盖章</w:t>
      </w:r>
    </w:p>
    <w:p>
      <w:pPr>
        <w:pStyle w:val="13"/>
        <w:adjustRightInd w:val="0"/>
        <w:snapToGrid w:val="0"/>
        <w:spacing w:line="440" w:lineRule="exact"/>
        <w:rPr>
          <w:rFonts w:hint="eastAsia" w:ascii="仿宋" w:hAnsi="仿宋" w:eastAsia="仿宋" w:cs="仿宋"/>
          <w:b/>
          <w:color w:val="auto"/>
          <w:kern w:val="0"/>
          <w:sz w:val="24"/>
          <w:szCs w:val="24"/>
          <w:highlight w:val="none"/>
        </w:rPr>
      </w:pPr>
    </w:p>
    <w:p>
      <w:pPr>
        <w:pStyle w:val="13"/>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pPr>
        <w:pStyle w:val="13"/>
        <w:adjustRightInd w:val="0"/>
        <w:snapToGrid w:val="0"/>
        <w:spacing w:line="440" w:lineRule="exact"/>
        <w:rPr>
          <w:rFonts w:hint="eastAsia"/>
          <w:color w:val="auto"/>
          <w:highlight w:val="none"/>
        </w:rPr>
      </w:pPr>
      <w:bookmarkStart w:id="13" w:name="_Toc202820350"/>
      <w:bookmarkStart w:id="14" w:name="_Toc202816995"/>
      <w:bookmarkStart w:id="15" w:name="_Toc202819877"/>
      <w:bookmarkStart w:id="16" w:name="_Toc202252033"/>
      <w:bookmarkStart w:id="17" w:name="_Toc202251699"/>
      <w:bookmarkStart w:id="18" w:name="_Toc202251074"/>
      <w:bookmarkStart w:id="19" w:name="_Toc202254104"/>
      <w:r>
        <w:rPr>
          <w:color w:val="auto"/>
          <w:highlight w:val="none"/>
        </w:rPr>
        <w:br w:type="page"/>
      </w:r>
      <w:r>
        <w:rPr>
          <w:rFonts w:hint="eastAsia" w:ascii="仿宋" w:hAnsi="仿宋" w:eastAsia="仿宋" w:cs="仿宋"/>
          <w:b/>
          <w:bCs/>
          <w:color w:val="auto"/>
          <w:sz w:val="28"/>
          <w:highlight w:val="none"/>
        </w:rPr>
        <w:t xml:space="preserve">1 </w:t>
      </w:r>
      <w:bookmarkEnd w:id="13"/>
      <w:bookmarkEnd w:id="14"/>
      <w:bookmarkEnd w:id="15"/>
      <w:bookmarkEnd w:id="16"/>
      <w:bookmarkEnd w:id="17"/>
      <w:bookmarkEnd w:id="18"/>
      <w:bookmarkEnd w:id="19"/>
      <w:r>
        <w:rPr>
          <w:rFonts w:hint="eastAsia" w:ascii="仿宋" w:hAnsi="仿宋" w:eastAsia="仿宋" w:cs="仿宋"/>
          <w:b/>
          <w:bCs/>
          <w:color w:val="auto"/>
          <w:sz w:val="28"/>
          <w:highlight w:val="none"/>
        </w:rPr>
        <w:t>资格性/符合性自查表</w:t>
      </w:r>
    </w:p>
    <w:tbl>
      <w:tblPr>
        <w:tblStyle w:val="17"/>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0"/>
        <w:gridCol w:w="4185"/>
        <w:gridCol w:w="1850"/>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gridSpan w:val="2"/>
            <w:noWrap w:val="0"/>
            <w:vAlign w:val="top"/>
          </w:tcPr>
          <w:p>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4185"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850"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204"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46" w:type="dxa"/>
            <w:vMerge w:val="restart"/>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资格性审查</w:t>
            </w:r>
          </w:p>
        </w:tc>
        <w:tc>
          <w:tcPr>
            <w:tcW w:w="1130"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具有独立承担民事责任能力</w:t>
            </w:r>
          </w:p>
        </w:tc>
        <w:tc>
          <w:tcPr>
            <w:tcW w:w="4185"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c>
          <w:tcPr>
            <w:tcW w:w="1850"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130"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具有良好的商业信誉和健全的财务会计制度</w:t>
            </w:r>
          </w:p>
        </w:tc>
        <w:tc>
          <w:tcPr>
            <w:tcW w:w="4185"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c>
          <w:tcPr>
            <w:tcW w:w="1850"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130"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有</w:t>
            </w:r>
            <w:r>
              <w:rPr>
                <w:rFonts w:hint="eastAsia" w:ascii="仿宋" w:hAnsi="仿宋" w:eastAsia="仿宋" w:cs="仿宋"/>
                <w:color w:val="auto"/>
                <w:highlight w:val="none"/>
              </w:rPr>
              <w:t>依法缴纳税收</w:t>
            </w:r>
          </w:p>
        </w:tc>
        <w:tc>
          <w:tcPr>
            <w:tcW w:w="4185"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c>
          <w:tcPr>
            <w:tcW w:w="1850"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130"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有</w:t>
            </w:r>
            <w:r>
              <w:rPr>
                <w:rFonts w:hint="eastAsia" w:ascii="仿宋" w:hAnsi="仿宋" w:eastAsia="仿宋" w:cs="仿宋"/>
                <w:color w:val="auto"/>
                <w:highlight w:val="none"/>
              </w:rPr>
              <w:t>依法缴纳社会保险凭据</w:t>
            </w:r>
          </w:p>
        </w:tc>
        <w:tc>
          <w:tcPr>
            <w:tcW w:w="4185"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p>
        </w:tc>
        <w:tc>
          <w:tcPr>
            <w:tcW w:w="1850"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130"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w:t>
            </w:r>
          </w:p>
        </w:tc>
        <w:tc>
          <w:tcPr>
            <w:tcW w:w="4185"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履行合同所必需的设备和专业技术能力的证明材料或书面声明；</w:t>
            </w:r>
          </w:p>
        </w:tc>
        <w:tc>
          <w:tcPr>
            <w:tcW w:w="1850"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130"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没有重大违法记录</w:t>
            </w:r>
          </w:p>
        </w:tc>
        <w:tc>
          <w:tcPr>
            <w:tcW w:w="4185"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参加政府采购活动前3年内在经营活动中没有重大违法记录的书面声明。</w:t>
            </w:r>
          </w:p>
        </w:tc>
        <w:tc>
          <w:tcPr>
            <w:tcW w:w="1850"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130"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信用记录</w:t>
            </w:r>
          </w:p>
        </w:tc>
        <w:tc>
          <w:tcPr>
            <w:tcW w:w="4185"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c>
          <w:tcPr>
            <w:tcW w:w="1850"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130"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控股关系</w:t>
            </w:r>
          </w:p>
        </w:tc>
        <w:tc>
          <w:tcPr>
            <w:tcW w:w="4185"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c>
          <w:tcPr>
            <w:tcW w:w="1850"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130"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不得参加本项目情况</w:t>
            </w:r>
          </w:p>
        </w:tc>
        <w:tc>
          <w:tcPr>
            <w:tcW w:w="4185"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c>
          <w:tcPr>
            <w:tcW w:w="1850"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130"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联合体</w:t>
            </w:r>
          </w:p>
        </w:tc>
        <w:tc>
          <w:tcPr>
            <w:tcW w:w="4185"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本项目不接受联合体参加比选，不允许响应供应商对各比选项目进行分包或转包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供应商出具声明函</w:t>
            </w:r>
            <w:r>
              <w:rPr>
                <w:rFonts w:hint="eastAsia" w:ascii="仿宋" w:hAnsi="仿宋" w:eastAsia="仿宋" w:cs="仿宋"/>
                <w:color w:val="auto"/>
                <w:szCs w:val="21"/>
                <w:highlight w:val="none"/>
                <w:lang w:eastAsia="zh-CN"/>
              </w:rPr>
              <w:t>）。</w:t>
            </w:r>
          </w:p>
        </w:tc>
        <w:tc>
          <w:tcPr>
            <w:tcW w:w="1850"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130" w:type="dxa"/>
            <w:noWrap w:val="0"/>
            <w:vAlign w:val="center"/>
          </w:tcPr>
          <w:p>
            <w:pPr>
              <w:ind w:left="40" w:leftChars="19"/>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落实政府采购政策需满足的资格要求</w:t>
            </w:r>
          </w:p>
        </w:tc>
        <w:tc>
          <w:tcPr>
            <w:tcW w:w="4185"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本项目是专门面向中小企业采购的项目。（提供《中小企业声明函》</w:t>
            </w:r>
            <w:r>
              <w:rPr>
                <w:rFonts w:hint="eastAsia" w:ascii="仿宋" w:hAnsi="仿宋" w:eastAsia="仿宋" w:cs="仿宋"/>
                <w:color w:val="auto"/>
                <w:szCs w:val="21"/>
                <w:highlight w:val="none"/>
                <w:lang w:eastAsia="zh-CN"/>
              </w:rPr>
              <w:t>，具体格式文件见比价文件P49中小企业声明函（工程、服务）</w:t>
            </w:r>
            <w:r>
              <w:rPr>
                <w:rFonts w:hint="eastAsia" w:ascii="仿宋" w:hAnsi="仿宋" w:eastAsia="仿宋" w:cs="仿宋"/>
                <w:color w:val="auto"/>
                <w:szCs w:val="21"/>
                <w:highlight w:val="none"/>
                <w:lang w:val="hr-HR" w:eastAsia="zh-CN"/>
              </w:rPr>
              <w:t>，未按要求提供声明函的将导致响应无效</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。本项目中小企业划分标准所属行业为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其他未列明行业。</w:t>
            </w:r>
          </w:p>
        </w:tc>
        <w:tc>
          <w:tcPr>
            <w:tcW w:w="1850"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continue"/>
            <w:noWrap w:val="0"/>
            <w:vAlign w:val="center"/>
          </w:tcPr>
          <w:p>
            <w:pPr>
              <w:jc w:val="center"/>
              <w:rPr>
                <w:rFonts w:hint="eastAsia"/>
                <w:color w:val="auto"/>
                <w:highlight w:val="none"/>
              </w:rPr>
            </w:pPr>
          </w:p>
        </w:tc>
        <w:tc>
          <w:tcPr>
            <w:tcW w:w="1130"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报名</w:t>
            </w:r>
          </w:p>
        </w:tc>
        <w:tc>
          <w:tcPr>
            <w:tcW w:w="4185"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已在医院办公室报名。</w:t>
            </w:r>
          </w:p>
        </w:tc>
        <w:tc>
          <w:tcPr>
            <w:tcW w:w="1850"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130"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eastAsia="zh-CN"/>
              </w:rPr>
              <w:t>文件签署</w:t>
            </w:r>
          </w:p>
        </w:tc>
        <w:tc>
          <w:tcPr>
            <w:tcW w:w="4185"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850"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130"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eastAsia="zh-CN"/>
              </w:rPr>
              <w:t>响应有效期</w:t>
            </w:r>
          </w:p>
        </w:tc>
        <w:tc>
          <w:tcPr>
            <w:tcW w:w="4185" w:type="dxa"/>
            <w:noWrap w:val="0"/>
            <w:vAlign w:val="center"/>
          </w:tcPr>
          <w:p>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850"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130"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4185"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850"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130"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其他</w:t>
            </w:r>
          </w:p>
        </w:tc>
        <w:tc>
          <w:tcPr>
            <w:tcW w:w="4185"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按有关法律、法规、规章和比选文件中规定的其他无效响应情形。</w:t>
            </w:r>
          </w:p>
        </w:tc>
        <w:tc>
          <w:tcPr>
            <w:tcW w:w="1850"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pPr>
        <w:rPr>
          <w:rFonts w:hint="eastAsia"/>
          <w:color w:val="auto"/>
          <w:highlight w:val="none"/>
        </w:rPr>
      </w:pPr>
    </w:p>
    <w:p>
      <w:pPr>
        <w:pStyle w:val="9"/>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w:t>
      </w:r>
      <w:r>
        <w:rPr>
          <w:rFonts w:hint="eastAsia" w:ascii="仿宋" w:hAnsi="仿宋" w:eastAsia="仿宋" w:cs="仿宋"/>
          <w:color w:val="auto"/>
          <w:sz w:val="24"/>
          <w:szCs w:val="24"/>
          <w:highlight w:val="none"/>
          <w:lang w:val="en-US" w:eastAsia="zh-CN"/>
        </w:rPr>
        <w:t>资格性和符合性</w:t>
      </w:r>
      <w:r>
        <w:rPr>
          <w:rFonts w:hint="eastAsia" w:ascii="仿宋" w:hAnsi="仿宋" w:eastAsia="仿宋" w:cs="仿宋"/>
          <w:color w:val="auto"/>
          <w:sz w:val="24"/>
          <w:szCs w:val="24"/>
          <w:highlight w:val="none"/>
        </w:rPr>
        <w:t>审核的重要内容之一，响应供应商必须严格按照其内容及要求在响应文件中对应序列如实提供，对缺漏和不符合项将会直接导致响应无效！在对应的□打“√”，并标注页码。</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pStyle w:val="13"/>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7"/>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5254"/>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94" w:type="dxa"/>
            <w:noWrap w:val="0"/>
            <w:vAlign w:val="center"/>
          </w:tcPr>
          <w:p>
            <w:pPr>
              <w:pStyle w:val="24"/>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pPr>
              <w:pStyle w:val="24"/>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5254" w:type="dxa"/>
            <w:noWrap w:val="0"/>
            <w:vAlign w:val="center"/>
          </w:tcPr>
          <w:p>
            <w:pPr>
              <w:pStyle w:val="24"/>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535" w:type="dxa"/>
            <w:noWrap w:val="0"/>
            <w:vAlign w:val="center"/>
          </w:tcPr>
          <w:p>
            <w:pPr>
              <w:pStyle w:val="24"/>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94"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5254" w:type="dxa"/>
            <w:noWrap w:val="0"/>
            <w:vAlign w:val="top"/>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c>
          <w:tcPr>
            <w:tcW w:w="1535"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94" w:type="dxa"/>
            <w:noWrap w:val="0"/>
            <w:vAlign w:val="center"/>
          </w:tcPr>
          <w:p>
            <w:pPr>
              <w:widowControl/>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第二部分第四点服务要求条款</w:t>
            </w:r>
            <w:r>
              <w:rPr>
                <w:rFonts w:hint="eastAsia" w:ascii="仿宋" w:hAnsi="仿宋" w:eastAsia="仿宋" w:cs="仿宋"/>
                <w:color w:val="auto"/>
                <w:sz w:val="24"/>
                <w:szCs w:val="24"/>
                <w:highlight w:val="none"/>
              </w:rPr>
              <w:t>的响应程度</w:t>
            </w:r>
          </w:p>
        </w:tc>
        <w:tc>
          <w:tcPr>
            <w:tcW w:w="5254" w:type="dxa"/>
            <w:noWrap w:val="0"/>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根据各响应供应商所提供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第二部分第四点服务要求条款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响应程度进行评分：</w:t>
            </w:r>
          </w:p>
          <w:p>
            <w:pPr>
              <w:widowControl/>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完全满足“采购项目</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要求”中不带▲号的一般技术参数，得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分；有一项不带▲号条款负偏离，得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 有二项不带▲号条款负偏离，得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 有三项不带▲号条款负偏离，得6分； 有四项不带▲号条款负偏离，得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 以此类推，当不带▲号条款负偏离达到</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项（含）以上时，视为严重偏离此评分项不得分。</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文件未要求提供证明材料的技术参数，以</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文件格式技术和服务要求响应表为准。</w:t>
            </w:r>
          </w:p>
        </w:tc>
        <w:tc>
          <w:tcPr>
            <w:tcW w:w="1535"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94" w:type="dxa"/>
            <w:noWrap w:val="0"/>
            <w:vAlign w:val="center"/>
          </w:tcPr>
          <w:p>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实施方案</w:t>
            </w:r>
          </w:p>
        </w:tc>
        <w:tc>
          <w:tcPr>
            <w:tcW w:w="5254" w:type="dxa"/>
            <w:noWrap w:val="0"/>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根据各响应供应商提出的实施方案（包括人力投入、进度计划、具体操作、服务便利措施等情况）进行综合评审，</w:t>
            </w:r>
          </w:p>
          <w:p>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1.实施方案优于采购人的需求，完整包括以上评审内容，且科学可靠，完善、可行程度高，得 10分；</w:t>
            </w:r>
          </w:p>
          <w:p>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2.实施方案响应采购人的需求，基本包括以上评审内容，较科学可靠、完善、基本可行的，得7分；</w:t>
            </w:r>
          </w:p>
          <w:p>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3.实施方案基本响应采购人的需求，对以上评审内容有缺失，科学可靠、完善、可行性程度一般，得4分；</w:t>
            </w:r>
          </w:p>
          <w:p>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4.无提供方案不得分。</w:t>
            </w:r>
          </w:p>
        </w:tc>
        <w:tc>
          <w:tcPr>
            <w:tcW w:w="1535"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4" w:type="dxa"/>
            <w:noWrap w:val="0"/>
            <w:vAlign w:val="center"/>
          </w:tcPr>
          <w:p>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突发事件处理方案</w:t>
            </w:r>
          </w:p>
        </w:tc>
        <w:tc>
          <w:tcPr>
            <w:tcW w:w="5254" w:type="dxa"/>
            <w:noWrap w:val="0"/>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根据各响应供应商提供的突发事件处理方案（</w:t>
            </w:r>
            <w:r>
              <w:rPr>
                <w:rFonts w:hint="eastAsia" w:ascii="仿宋" w:hAnsi="仿宋" w:eastAsia="仿宋" w:cs="仿宋"/>
                <w:color w:val="auto"/>
                <w:sz w:val="24"/>
                <w:lang w:eastAsia="zh-CN"/>
              </w:rPr>
              <w:t>：更换期间爆管，</w:t>
            </w:r>
            <w:r>
              <w:rPr>
                <w:rFonts w:hint="eastAsia" w:ascii="仿宋" w:hAnsi="仿宋" w:eastAsia="仿宋" w:cs="仿宋"/>
                <w:color w:val="auto"/>
                <w:kern w:val="2"/>
                <w:sz w:val="24"/>
                <w:szCs w:val="24"/>
                <w:lang w:val="en-US" w:eastAsia="zh-CN" w:bidi="ar-SA"/>
              </w:rPr>
              <w:t>包括人员到位时间、处置措施等情况）进行综合评审，</w:t>
            </w:r>
          </w:p>
          <w:p>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1.突发事件处理方案优于采购人的需求，完整包括以上评审内容，且科学可靠，完善、可行程度高，得 10分；</w:t>
            </w:r>
          </w:p>
          <w:p>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2.突发事件处理方案响应采购人的需求，基本包括以上评审内容，较科学可靠、完善、基本可行的，得6分；</w:t>
            </w:r>
          </w:p>
          <w:p>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3.突发事件处理方案基本响应采购人的需求，对以上评审内容有缺失，科学可靠、完善、可行性程度一般，得3分；</w:t>
            </w:r>
          </w:p>
          <w:p>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4.无提供方案不得分。</w:t>
            </w:r>
          </w:p>
        </w:tc>
        <w:tc>
          <w:tcPr>
            <w:tcW w:w="1535"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noWrap w:val="0"/>
            <w:vAlign w:val="center"/>
          </w:tcPr>
          <w:p>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 xml:space="preserve">服务团队要求 </w:t>
            </w:r>
          </w:p>
        </w:tc>
        <w:tc>
          <w:tcPr>
            <w:tcW w:w="5254" w:type="dxa"/>
            <w:noWrap w:val="0"/>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根据各响应供应商拟派3名人员作为团队要求：</w:t>
            </w:r>
          </w:p>
          <w:p>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1.项目负责人持有安监部门颁发的《特种作业操作证（制冷与空调作业）》上岗作业证书，得3分；</w:t>
            </w:r>
          </w:p>
          <w:p>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2.安装技术人员1人，持有安监部门颁发的《特种作业操作证（高处作业）》上岗作业证书，得3分；</w:t>
            </w:r>
          </w:p>
          <w:p>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3.维修焊接技术人员1人，持有安监部门颁发的《特种作业操作证（融化焊接与热切割作业）》上岗作业证书，得3分；</w:t>
            </w:r>
          </w:p>
          <w:p>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（本项满分6分，须提供人员相关证书和近三个月社保缴纳证明文件复印件，否则不得分。）</w:t>
            </w:r>
          </w:p>
        </w:tc>
        <w:tc>
          <w:tcPr>
            <w:tcW w:w="1535" w:type="dxa"/>
            <w:noWrap w:val="0"/>
            <w:vAlign w:val="center"/>
          </w:tcPr>
          <w:p>
            <w:pPr>
              <w:widowControl/>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noWrap w:val="0"/>
            <w:vAlign w:val="center"/>
          </w:tcPr>
          <w:p>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质保期限的响应</w:t>
            </w:r>
          </w:p>
        </w:tc>
        <w:tc>
          <w:tcPr>
            <w:tcW w:w="5254" w:type="dxa"/>
            <w:noWrap w:val="0"/>
            <w:vAlign w:val="center"/>
          </w:tcPr>
          <w:p>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根据各响应供应商</w:t>
            </w:r>
            <w:r>
              <w:rPr>
                <w:rFonts w:hint="eastAsia" w:ascii="仿宋" w:hAnsi="仿宋" w:eastAsia="仿宋" w:cs="仿宋"/>
                <w:color w:val="auto"/>
                <w:sz w:val="24"/>
                <w:lang w:val="en-US" w:eastAsia="zh-CN"/>
              </w:rPr>
              <w:t>提供</w:t>
            </w:r>
            <w:r>
              <w:rPr>
                <w:rFonts w:hint="eastAsia" w:ascii="仿宋" w:hAnsi="仿宋" w:eastAsia="仿宋" w:cs="仿宋"/>
                <w:color w:val="auto"/>
                <w:sz w:val="24"/>
              </w:rPr>
              <w:t>的项目质保期限在符合采购文件要求的质保期基础上承诺期限进行评分</w:t>
            </w:r>
            <w:r>
              <w:rPr>
                <w:rFonts w:hint="eastAsia" w:ascii="仿宋" w:hAnsi="仿宋" w:eastAsia="仿宋" w:cs="仿宋"/>
                <w:color w:val="auto"/>
                <w:kern w:val="2"/>
                <w:sz w:val="24"/>
                <w:szCs w:val="24"/>
                <w:lang w:val="en-US" w:eastAsia="zh-CN" w:bidi="ar-SA"/>
              </w:rPr>
              <w:t>。</w:t>
            </w:r>
          </w:p>
          <w:p>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质保期限符合招标文件要求，</w:t>
            </w:r>
            <w:r>
              <w:rPr>
                <w:rFonts w:hint="eastAsia" w:ascii="仿宋" w:hAnsi="仿宋" w:eastAsia="仿宋" w:cs="仿宋"/>
                <w:color w:val="auto"/>
                <w:sz w:val="24"/>
                <w:lang w:val="en-US" w:eastAsia="zh-CN"/>
              </w:rPr>
              <w:t>在1年质保期的基础上，承诺1年得2分；承诺2年得4分</w:t>
            </w:r>
            <w:r>
              <w:rPr>
                <w:rFonts w:hint="eastAsia" w:ascii="仿宋" w:hAnsi="仿宋" w:eastAsia="仿宋" w:cs="仿宋"/>
                <w:color w:val="auto"/>
                <w:kern w:val="2"/>
                <w:sz w:val="24"/>
                <w:szCs w:val="24"/>
                <w:lang w:val="en-US" w:eastAsia="zh-CN" w:bidi="ar-SA"/>
              </w:rPr>
              <w:t>；</w:t>
            </w:r>
            <w:r>
              <w:rPr>
                <w:rFonts w:hint="eastAsia" w:ascii="仿宋" w:hAnsi="仿宋" w:eastAsia="仿宋" w:cs="仿宋"/>
                <w:color w:val="auto"/>
                <w:sz w:val="24"/>
                <w:lang w:val="en-US" w:eastAsia="zh-CN"/>
              </w:rPr>
              <w:t>承诺3年得6分，提供承诺函，格式自拟，不提供</w:t>
            </w:r>
            <w:r>
              <w:rPr>
                <w:rFonts w:hint="eastAsia" w:ascii="仿宋" w:hAnsi="仿宋" w:eastAsia="仿宋" w:cs="仿宋"/>
                <w:color w:val="auto"/>
                <w:kern w:val="2"/>
                <w:sz w:val="24"/>
                <w:szCs w:val="24"/>
                <w:lang w:val="en-US" w:eastAsia="zh-CN" w:bidi="ar-SA"/>
              </w:rPr>
              <w:t>不得分。</w:t>
            </w:r>
          </w:p>
        </w:tc>
        <w:tc>
          <w:tcPr>
            <w:tcW w:w="1535"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noWrap w:val="0"/>
            <w:vAlign w:val="center"/>
          </w:tcPr>
          <w:p>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质量控制和安全保障措施</w:t>
            </w:r>
          </w:p>
        </w:tc>
        <w:tc>
          <w:tcPr>
            <w:tcW w:w="5254" w:type="dxa"/>
            <w:noWrap w:val="0"/>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根据响应供应商提供的针对本项目质量控制和安全保障措施是否合理，编制内容是否符合技术要求等内容进行对比评审。</w:t>
            </w:r>
          </w:p>
          <w:p>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1.质量控制和安全保障措施体系完整，制度健全，措施有力得9分；</w:t>
            </w:r>
          </w:p>
          <w:p>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2.质量控制和安全保障措施体系较完整，制度较健全，措施较有力得6分；</w:t>
            </w:r>
          </w:p>
          <w:p>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3.质量控制和安全保障措施体系不完整，制度不够健全，措施不得力得3分；</w:t>
            </w:r>
          </w:p>
          <w:p>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4.无提供内容不得分。</w:t>
            </w:r>
          </w:p>
        </w:tc>
        <w:tc>
          <w:tcPr>
            <w:tcW w:w="1535"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noWrap w:val="0"/>
            <w:vAlign w:val="center"/>
          </w:tcPr>
          <w:p>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 xml:space="preserve">同类业绩情况 </w:t>
            </w:r>
          </w:p>
        </w:tc>
        <w:tc>
          <w:tcPr>
            <w:tcW w:w="5254" w:type="dxa"/>
            <w:noWrap w:val="0"/>
            <w:vAlign w:val="center"/>
          </w:tcPr>
          <w:p>
            <w:pPr>
              <w:widowControl/>
              <w:spacing w:line="240" w:lineRule="auto"/>
              <w:ind w:left="0" w:leftChars="0" w:right="0" w:rightChars="0"/>
              <w:jc w:val="left"/>
              <w:rPr>
                <w:rFonts w:hint="eastAsia" w:ascii="仿宋" w:hAnsi="仿宋" w:eastAsia="仿宋" w:cs="仿宋"/>
                <w:color w:val="auto"/>
                <w:kern w:val="2"/>
                <w:sz w:val="24"/>
                <w:lang w:val="en-US"/>
              </w:rPr>
            </w:pPr>
            <w:r>
              <w:rPr>
                <w:rFonts w:hint="eastAsia" w:ascii="仿宋" w:hAnsi="仿宋" w:eastAsia="仿宋" w:cs="仿宋"/>
                <w:color w:val="auto"/>
                <w:kern w:val="2"/>
                <w:sz w:val="24"/>
                <w:lang w:val="en-US"/>
              </w:rPr>
              <w:t>根据</w:t>
            </w:r>
            <w:r>
              <w:rPr>
                <w:rFonts w:hint="eastAsia" w:ascii="仿宋" w:hAnsi="仿宋" w:eastAsia="仿宋" w:cs="仿宋"/>
                <w:color w:val="auto"/>
                <w:kern w:val="2"/>
                <w:sz w:val="24"/>
                <w:lang w:val="en-US" w:eastAsia="zh-CN"/>
              </w:rPr>
              <w:t>各</w:t>
            </w:r>
            <w:r>
              <w:rPr>
                <w:rFonts w:hint="eastAsia" w:ascii="仿宋" w:hAnsi="仿宋" w:eastAsia="仿宋" w:cs="仿宋"/>
                <w:color w:val="auto"/>
                <w:kern w:val="2"/>
                <w:sz w:val="24"/>
                <w:lang w:val="en-US"/>
              </w:rPr>
              <w:t>供应商</w:t>
            </w:r>
            <w:r>
              <w:rPr>
                <w:rFonts w:hint="eastAsia" w:ascii="仿宋" w:hAnsi="仿宋" w:eastAsia="仿宋" w:cs="仿宋"/>
                <w:color w:val="auto"/>
                <w:kern w:val="2"/>
                <w:sz w:val="24"/>
                <w:lang w:val="en-US" w:eastAsia="zh-CN"/>
              </w:rPr>
              <w:t>提供的</w:t>
            </w:r>
            <w:r>
              <w:rPr>
                <w:rFonts w:hint="eastAsia" w:ascii="仿宋" w:hAnsi="仿宋" w:eastAsia="仿宋" w:cs="仿宋"/>
                <w:color w:val="auto"/>
                <w:kern w:val="2"/>
                <w:sz w:val="24"/>
                <w:lang w:val="en-US"/>
              </w:rPr>
              <w:t>20</w:t>
            </w:r>
            <w:r>
              <w:rPr>
                <w:rFonts w:hint="eastAsia" w:ascii="仿宋" w:hAnsi="仿宋" w:eastAsia="仿宋" w:cs="仿宋"/>
                <w:color w:val="auto"/>
                <w:kern w:val="2"/>
                <w:sz w:val="24"/>
                <w:lang w:val="en-US" w:eastAsia="zh-CN"/>
              </w:rPr>
              <w:t>22</w:t>
            </w:r>
            <w:r>
              <w:rPr>
                <w:rFonts w:hint="eastAsia" w:ascii="仿宋" w:hAnsi="仿宋" w:eastAsia="仿宋" w:cs="仿宋"/>
                <w:color w:val="auto"/>
                <w:kern w:val="2"/>
                <w:sz w:val="24"/>
                <w:lang w:val="en-US"/>
              </w:rPr>
              <w:t>年1月1日至今</w:t>
            </w:r>
            <w:r>
              <w:rPr>
                <w:rFonts w:hint="eastAsia" w:ascii="仿宋" w:hAnsi="仿宋" w:eastAsia="仿宋" w:cs="仿宋"/>
                <w:color w:val="auto"/>
                <w:kern w:val="2"/>
                <w:sz w:val="24"/>
                <w:lang w:val="en-US" w:eastAsia="zh-CN"/>
              </w:rPr>
              <w:t>（以合同签订时间为准）</w:t>
            </w:r>
            <w:r>
              <w:rPr>
                <w:rFonts w:hint="eastAsia" w:ascii="仿宋" w:hAnsi="仿宋" w:eastAsia="仿宋" w:cs="仿宋"/>
                <w:color w:val="auto"/>
                <w:kern w:val="2"/>
                <w:sz w:val="24"/>
                <w:lang w:val="en-US"/>
              </w:rPr>
              <w:t>的同类项目业绩情况进行评分，每提供一个业绩得</w:t>
            </w:r>
            <w:r>
              <w:rPr>
                <w:rFonts w:hint="eastAsia" w:ascii="仿宋" w:hAnsi="仿宋" w:eastAsia="仿宋" w:cs="仿宋"/>
                <w:color w:val="auto"/>
                <w:kern w:val="2"/>
                <w:sz w:val="24"/>
                <w:lang w:val="en-US" w:eastAsia="zh-CN"/>
              </w:rPr>
              <w:t>1</w:t>
            </w:r>
            <w:r>
              <w:rPr>
                <w:rFonts w:hint="eastAsia" w:ascii="仿宋" w:hAnsi="仿宋" w:eastAsia="仿宋" w:cs="仿宋"/>
                <w:color w:val="auto"/>
                <w:kern w:val="2"/>
                <w:sz w:val="24"/>
                <w:lang w:val="en-US"/>
              </w:rPr>
              <w:t>分，本项最高得分</w:t>
            </w:r>
            <w:r>
              <w:rPr>
                <w:rFonts w:hint="eastAsia" w:ascii="仿宋" w:hAnsi="仿宋" w:eastAsia="仿宋" w:cs="仿宋"/>
                <w:color w:val="auto"/>
                <w:kern w:val="2"/>
                <w:sz w:val="24"/>
                <w:lang w:val="en-US" w:eastAsia="zh-CN"/>
              </w:rPr>
              <w:t>6</w:t>
            </w:r>
            <w:r>
              <w:rPr>
                <w:rFonts w:hint="eastAsia" w:ascii="仿宋" w:hAnsi="仿宋" w:eastAsia="仿宋" w:cs="仿宋"/>
                <w:color w:val="auto"/>
                <w:kern w:val="2"/>
                <w:sz w:val="24"/>
                <w:lang w:val="en-US"/>
              </w:rPr>
              <w:t>分。</w:t>
            </w:r>
          </w:p>
          <w:p>
            <w:pPr>
              <w:widowControl/>
              <w:spacing w:before="0" w:after="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rPr>
              <w:t>同类业绩证明文件是中标/成交通知书或合同关键页的复印件或扫描件（合同关键页是指包括：①能显示</w:t>
            </w:r>
            <w:r>
              <w:rPr>
                <w:rFonts w:hint="eastAsia" w:ascii="仿宋" w:hAnsi="仿宋" w:eastAsia="仿宋" w:cs="仿宋"/>
                <w:color w:val="auto"/>
                <w:kern w:val="2"/>
                <w:sz w:val="24"/>
                <w:lang w:eastAsia="zh-CN"/>
              </w:rPr>
              <w:t>服务内容</w:t>
            </w:r>
            <w:r>
              <w:rPr>
                <w:rFonts w:hint="eastAsia" w:ascii="仿宋" w:hAnsi="仿宋" w:eastAsia="仿宋" w:cs="仿宋"/>
                <w:color w:val="auto"/>
                <w:kern w:val="2"/>
                <w:sz w:val="24"/>
              </w:rPr>
              <w:t>等相关信息；②签订合同双方的单位名称、合同项目名称；③签订合同双方的签章、盖章及签订日期），无提供不得分。</w:t>
            </w:r>
          </w:p>
        </w:tc>
        <w:tc>
          <w:tcPr>
            <w:tcW w:w="1535"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noWrap w:val="0"/>
            <w:vAlign w:val="center"/>
          </w:tcPr>
          <w:p>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对采购文件的商务响应程度</w:t>
            </w:r>
          </w:p>
        </w:tc>
        <w:tc>
          <w:tcPr>
            <w:tcW w:w="5254" w:type="dxa"/>
            <w:noWrap w:val="0"/>
            <w:vAlign w:val="center"/>
          </w:tcPr>
          <w:p>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根据本项目的采购文件对各响应供应商的商务要求响应文件响应情况进行综合评审，全部满足采购文件“商务要求”要求得5分，有一项不满足采购文件要求得4分，有两项不满足采购文件要求得3分，以此类推，扣完为止。</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文件未要求提供证明材料的技术参数，以</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文件格式技术和服务要求响应表为准。</w:t>
            </w:r>
          </w:p>
        </w:tc>
        <w:tc>
          <w:tcPr>
            <w:tcW w:w="1535"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bl>
    <w:p>
      <w:pPr>
        <w:adjustRightInd w:val="0"/>
        <w:snapToGrid w:val="0"/>
        <w:spacing w:line="300" w:lineRule="auto"/>
        <w:rPr>
          <w:rFonts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20" w:name="_Toc202820351"/>
      <w:bookmarkStart w:id="21" w:name="_Toc202251075"/>
      <w:bookmarkStart w:id="22" w:name="_Toc202819878"/>
      <w:bookmarkStart w:id="23" w:name="_Toc202254105"/>
      <w:bookmarkStart w:id="24" w:name="_Toc202252034"/>
      <w:bookmarkStart w:id="25" w:name="_Toc202251700"/>
      <w:bookmarkStart w:id="26" w:name="_Toc202816996"/>
      <w:r>
        <w:rPr>
          <w:rFonts w:hint="eastAsia" w:ascii="仿宋" w:hAnsi="仿宋" w:eastAsia="仿宋" w:cs="仿宋"/>
          <w:b/>
          <w:bCs/>
          <w:color w:val="auto"/>
          <w:sz w:val="28"/>
          <w:szCs w:val="28"/>
          <w:highlight w:val="none"/>
        </w:rPr>
        <w:t>3 资格性文件</w:t>
      </w:r>
      <w:bookmarkEnd w:id="20"/>
      <w:bookmarkEnd w:id="21"/>
      <w:bookmarkEnd w:id="22"/>
      <w:bookmarkEnd w:id="23"/>
      <w:bookmarkEnd w:id="24"/>
      <w:bookmarkEnd w:id="25"/>
      <w:bookmarkEnd w:id="26"/>
    </w:p>
    <w:p>
      <w:pPr>
        <w:pStyle w:val="6"/>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autoSpaceDE w:val="0"/>
        <w:autoSpaceDN w:val="0"/>
        <w:spacing w:line="38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4. </w:t>
      </w:r>
      <w:r>
        <w:rPr>
          <w:rFonts w:hint="eastAsia" w:ascii="仿宋" w:hAnsi="仿宋" w:eastAsia="仿宋" w:cs="仿宋"/>
          <w:color w:val="auto"/>
          <w:kern w:val="0"/>
          <w:sz w:val="24"/>
          <w:highlight w:val="none"/>
          <w:lang w:eastAsia="zh-CN"/>
        </w:rPr>
        <w:t>技术</w:t>
      </w:r>
      <w:r>
        <w:rPr>
          <w:rFonts w:hint="eastAsia" w:ascii="仿宋" w:hAnsi="仿宋" w:eastAsia="仿宋" w:cs="仿宋"/>
          <w:color w:val="auto"/>
          <w:kern w:val="0"/>
          <w:sz w:val="24"/>
          <w:highlight w:val="none"/>
        </w:rPr>
        <w:t>部分</w:t>
      </w:r>
      <w:r>
        <w:rPr>
          <w:rFonts w:hint="eastAsia" w:ascii="仿宋" w:hAnsi="仿宋" w:eastAsia="仿宋" w:cs="仿宋"/>
          <w:color w:val="auto"/>
          <w:kern w:val="0"/>
          <w:sz w:val="24"/>
          <w:highlight w:val="none"/>
          <w:lang w:eastAsia="zh-CN"/>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 价格部分</w:t>
      </w:r>
      <w:r>
        <w:rPr>
          <w:rFonts w:hint="eastAsia" w:ascii="仿宋" w:hAnsi="仿宋" w:eastAsia="仿宋" w:cs="仿宋"/>
          <w:color w:val="auto"/>
          <w:sz w:val="24"/>
          <w:highlight w:val="none"/>
        </w:rPr>
        <w:t>。</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pPr>
        <w:spacing w:line="380" w:lineRule="exact"/>
        <w:ind w:firstLine="486"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如果有的话</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。我方已完全清晰理解比选文件的所有要求，不存在任何含糊不清和误解之处，同意放弃对这些文件所提出的异议和质疑的权利。</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w:t>
      </w:r>
      <w:r>
        <w:rPr>
          <w:rFonts w:hint="eastAsia" w:ascii="仿宋" w:hAnsi="仿宋" w:eastAsia="仿宋" w:cs="仿宋"/>
          <w:color w:val="auto"/>
          <w:sz w:val="24"/>
          <w:highlight w:val="none"/>
          <w:lang w:eastAsia="zh-CN"/>
        </w:rPr>
        <w:t>的成分</w:t>
      </w:r>
      <w:r>
        <w:rPr>
          <w:rFonts w:hint="eastAsia" w:ascii="仿宋" w:hAnsi="仿宋" w:eastAsia="仿宋" w:cs="仿宋"/>
          <w:color w:val="auto"/>
          <w:sz w:val="24"/>
          <w:highlight w:val="none"/>
        </w:rPr>
        <w:t>，否则，愿承担相应的后果和法律责任。</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所作的评定结果，同时清楚理解到报价最低并非意味着必定获得成交资格。</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账号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pPr>
        <w:pStyle w:val="2"/>
        <w:rPr>
          <w:rFonts w:hint="eastAsia"/>
          <w:color w:val="auto"/>
          <w:highlight w:val="none"/>
        </w:rPr>
      </w:pPr>
    </w:p>
    <w:p>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pPr>
        <w:pStyle w:val="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pPr>
        <w:pStyle w:val="25"/>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可使用下述格式，也可使用广东省工商行政管理局统一印制的法定代表人证明书格式）</w:t>
      </w:r>
    </w:p>
    <w:p>
      <w:pPr>
        <w:pStyle w:val="25"/>
        <w:jc w:val="center"/>
        <w:outlineLvl w:val="3"/>
        <w:rPr>
          <w:rFonts w:ascii="仿宋" w:hAnsi="仿宋" w:eastAsia="仿宋" w:cs="仿宋"/>
          <w:color w:val="auto"/>
          <w:sz w:val="24"/>
          <w:szCs w:val="24"/>
          <w:highlight w:val="none"/>
        </w:rPr>
      </w:pPr>
      <w:r>
        <w:rPr>
          <w:rFonts w:ascii="仿宋" w:hAnsi="仿宋" w:eastAsia="仿宋" w:cs="仿宋"/>
          <w:b/>
          <w:color w:val="auto"/>
          <w:sz w:val="24"/>
          <w:szCs w:val="24"/>
          <w:highlight w:val="none"/>
        </w:rPr>
        <w:t>法定代表人证明书</w:t>
      </w:r>
    </w:p>
    <w:p>
      <w:pPr>
        <w:pStyle w:val="25"/>
        <w:rPr>
          <w:rFonts w:ascii="仿宋" w:hAnsi="仿宋" w:eastAsia="仿宋" w:cs="仿宋"/>
          <w:color w:val="auto"/>
          <w:sz w:val="24"/>
          <w:szCs w:val="24"/>
          <w:highlight w:val="none"/>
        </w:rPr>
      </w:pP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现任我单位</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职务，为法定代表人，特此证明。</w:t>
      </w:r>
    </w:p>
    <w:p>
      <w:pPr>
        <w:pStyle w:val="25"/>
        <w:rPr>
          <w:rFonts w:hint="default" w:ascii="仿宋" w:hAnsi="仿宋" w:eastAsia="仿宋" w:cs="仿宋"/>
          <w:color w:val="auto"/>
          <w:sz w:val="24"/>
          <w:szCs w:val="24"/>
          <w:highlight w:val="none"/>
          <w:lang w:val="en-US" w:eastAsia="zh-CN"/>
        </w:rPr>
      </w:pPr>
      <w:r>
        <w:rPr>
          <w:rFonts w:ascii="仿宋" w:hAnsi="仿宋" w:eastAsia="仿宋" w:cs="仿宋"/>
          <w:color w:val="auto"/>
          <w:sz w:val="24"/>
          <w:szCs w:val="24"/>
          <w:highlight w:val="none"/>
        </w:rPr>
        <w:t>有效期限：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pPr>
        <w:pStyle w:val="25"/>
        <w:ind w:firstLine="243" w:firstLineChars="100"/>
        <w:rPr>
          <w:rFonts w:hint="default" w:ascii="仿宋" w:hAnsi="仿宋" w:eastAsia="仿宋" w:cs="仿宋"/>
          <w:color w:val="auto"/>
          <w:sz w:val="24"/>
          <w:szCs w:val="24"/>
          <w:highlight w:val="none"/>
          <w:lang w:val="en-US" w:eastAsia="zh-CN"/>
        </w:rPr>
      </w:pPr>
      <w:r>
        <w:rPr>
          <w:rFonts w:ascii="仿宋" w:hAnsi="仿宋" w:eastAsia="仿宋" w:cs="仿宋"/>
          <w:color w:val="auto"/>
          <w:sz w:val="24"/>
          <w:szCs w:val="24"/>
          <w:highlight w:val="none"/>
        </w:rPr>
        <w:t>附：代表人性别：</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年龄：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szCs w:val="24"/>
          <w:highlight w:val="none"/>
        </w:rPr>
        <w:t>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pPr>
        <w:pStyle w:val="25"/>
        <w:ind w:firstLine="243" w:firstLineChars="100"/>
        <w:rPr>
          <w:rFonts w:ascii="仿宋" w:hAnsi="仿宋" w:eastAsia="仿宋" w:cs="仿宋"/>
          <w:color w:val="auto"/>
          <w:sz w:val="24"/>
          <w:szCs w:val="24"/>
          <w:highlight w:val="none"/>
        </w:rPr>
      </w:pPr>
      <w:r>
        <w:rPr>
          <w:rFonts w:ascii="仿宋" w:hAnsi="仿宋" w:eastAsia="仿宋" w:cs="仿宋"/>
          <w:color w:val="auto"/>
          <w:sz w:val="24"/>
          <w:szCs w:val="24"/>
          <w:highlight w:val="none"/>
        </w:rPr>
        <w:t>注册号码：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szCs w:val="24"/>
          <w:highlight w:val="none"/>
        </w:rPr>
        <w:t>企业类型：</w:t>
      </w:r>
    </w:p>
    <w:p>
      <w:pPr>
        <w:pStyle w:val="25"/>
        <w:ind w:firstLine="243"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经营</w:t>
      </w:r>
      <w:r>
        <w:rPr>
          <w:rFonts w:ascii="仿宋" w:hAnsi="仿宋" w:eastAsia="仿宋" w:cs="仿宋"/>
          <w:color w:val="auto"/>
          <w:sz w:val="24"/>
          <w:szCs w:val="24"/>
          <w:highlight w:val="none"/>
        </w:rPr>
        <w:t>范围：</w:t>
      </w:r>
      <w:r>
        <w:rPr>
          <w:rFonts w:hint="eastAsia" w:ascii="仿宋" w:hAnsi="仿宋" w:eastAsia="仿宋" w:cs="仿宋"/>
          <w:color w:val="auto"/>
          <w:sz w:val="24"/>
          <w:highlight w:val="none"/>
          <w:u w:val="single"/>
        </w:rPr>
        <w:t xml:space="preserve">                </w:t>
      </w:r>
    </w:p>
    <w:p>
      <w:pPr>
        <w:pStyle w:val="25"/>
        <w:ind w:firstLine="243"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名称（盖章）：</w:t>
      </w:r>
      <w:r>
        <w:rPr>
          <w:rFonts w:hint="eastAsia" w:ascii="仿宋" w:hAnsi="仿宋" w:eastAsia="仿宋" w:cs="仿宋"/>
          <w:color w:val="auto"/>
          <w:sz w:val="24"/>
          <w:highlight w:val="none"/>
          <w:u w:val="single"/>
        </w:rPr>
        <w:t xml:space="preserve">                </w:t>
      </w:r>
    </w:p>
    <w:p>
      <w:pPr>
        <w:pStyle w:val="25"/>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地址：</w:t>
      </w:r>
      <w:r>
        <w:rPr>
          <w:rFonts w:hint="eastAsia" w:ascii="仿宋" w:hAnsi="仿宋" w:eastAsia="仿宋" w:cs="仿宋"/>
          <w:color w:val="auto"/>
          <w:sz w:val="24"/>
          <w:highlight w:val="none"/>
          <w:u w:val="single"/>
        </w:rPr>
        <w:t xml:space="preserve">                </w:t>
      </w:r>
    </w:p>
    <w:p>
      <w:pPr>
        <w:pStyle w:val="25"/>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响应供应商法定代表人</w:t>
      </w:r>
      <w:r>
        <w:rPr>
          <w:rFonts w:ascii="仿宋" w:hAnsi="仿宋" w:eastAsia="仿宋" w:cs="仿宋"/>
          <w:color w:val="auto"/>
          <w:sz w:val="24"/>
          <w:szCs w:val="24"/>
          <w:highlight w:val="none"/>
        </w:rPr>
        <w:t>（签字或盖章）：</w:t>
      </w:r>
      <w:r>
        <w:rPr>
          <w:rFonts w:hint="eastAsia" w:ascii="仿宋" w:hAnsi="仿宋" w:eastAsia="仿宋" w:cs="仿宋"/>
          <w:color w:val="auto"/>
          <w:sz w:val="24"/>
          <w:highlight w:val="none"/>
          <w:u w:val="single"/>
        </w:rPr>
        <w:t xml:space="preserve">                </w:t>
      </w:r>
    </w:p>
    <w:p>
      <w:pPr>
        <w:pStyle w:val="25"/>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职务：</w:t>
      </w:r>
      <w:r>
        <w:rPr>
          <w:rFonts w:hint="eastAsia" w:ascii="仿宋" w:hAnsi="仿宋" w:eastAsia="仿宋" w:cs="仿宋"/>
          <w:color w:val="auto"/>
          <w:sz w:val="24"/>
          <w:highlight w:val="none"/>
          <w:u w:val="single"/>
        </w:rPr>
        <w:t xml:space="preserve">                        </w:t>
      </w:r>
    </w:p>
    <w:p>
      <w:pPr>
        <w:pStyle w:val="25"/>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日期： 年 月 日</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为避免响应无效，请供应商务必提供本附件</w:t>
      </w:r>
      <w:r>
        <w:rPr>
          <w:rFonts w:hint="eastAsia" w:ascii="仿宋" w:hAnsi="仿宋" w:eastAsia="仿宋" w:cs="仿宋"/>
          <w:b/>
          <w:color w:val="auto"/>
          <w:sz w:val="28"/>
          <w:szCs w:val="28"/>
          <w:highlight w:val="none"/>
          <w:lang w:eastAsia="zh-CN"/>
        </w:rPr>
        <w:t>）</w:t>
      </w:r>
    </w:p>
    <w:p>
      <w:pPr>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VPlDdcAAAAIAQAADwAAAAAAAAAB&#10;ACAAAAAiAAAAZHJzL2Rvd25yZXYueG1sUEsBAhQAFAAAAAgAh07iQIj7VQ0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S+wB1gAAAAgBAAAPAAAAAAAAAAEA&#10;IAAAACIAAABkcnMvZG93bnJldi54bWxQSwECFAAUAAAACACHTuJAteALPRECAAAQBAAADgAAAAAA&#10;AAABACAAAAAlAQAAZHJzL2Uyb0RvYy54bWxQSwUGAAAAAAYABgBZAQAAq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（对于银行、保险、电信、邮政、铁路等行业以及获得总公司</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授权的分公司，可以提供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分支机构负责人授权书）</w:t>
      </w:r>
    </w:p>
    <w:p>
      <w:pPr>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法定代表人授权书</w:t>
      </w:r>
    </w:p>
    <w:p>
      <w:pPr>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惠州市第一妇幼保健院</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是注册于</w:t>
      </w:r>
      <w:r>
        <w:rPr>
          <w:rFonts w:hint="eastAsia" w:ascii="仿宋" w:hAnsi="仿宋" w:eastAsia="仿宋" w:cs="仿宋"/>
          <w:color w:val="auto"/>
          <w:sz w:val="24"/>
          <w:highlight w:val="none"/>
          <w:u w:val="single"/>
        </w:rPr>
        <w:t>（国家或地区）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响应供应商</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的法定代表人，现任</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职务，有效证件号码：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。现授权</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作为我公司的全权代理人，就“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”项目采购[采购项目编号为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和合同执行，以我方的名义处理一切与之有关的事宜。</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日签字生效，特此声明。</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p>
    <w:p>
      <w:pPr>
        <w:rPr>
          <w:rFonts w:hint="default" w:ascii="仿宋" w:hAnsi="仿宋" w:eastAsia="仿宋" w:cs="仿宋"/>
          <w:color w:val="auto"/>
          <w:sz w:val="24"/>
          <w:highlight w:val="none"/>
          <w:u w:val="single"/>
          <w:lang w:val="en-US"/>
        </w:rPr>
      </w:pPr>
      <w:r>
        <w:rPr>
          <w:rFonts w:hint="eastAsia" w:ascii="仿宋" w:hAnsi="仿宋" w:eastAsia="仿宋" w:cs="仿宋"/>
          <w:color w:val="auto"/>
          <w:sz w:val="24"/>
          <w:highlight w:val="none"/>
        </w:rPr>
        <w:t xml:space="preserve"> 地址：</w:t>
      </w:r>
      <w:r>
        <w:rPr>
          <w:rFonts w:hint="eastAsia" w:ascii="仿宋" w:hAnsi="仿宋" w:eastAsia="仿宋" w:cs="仿宋"/>
          <w:color w:val="auto"/>
          <w:sz w:val="24"/>
          <w:highlight w:val="none"/>
          <w:u w:val="single"/>
          <w:lang w:val="en-US" w:eastAsia="zh-CN"/>
        </w:rPr>
        <w:t xml:space="preserve">               </w:t>
      </w:r>
    </w:p>
    <w:p>
      <w:pPr>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响应供应商法定代表人</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u w:val="single"/>
          <w:lang w:val="en-US" w:eastAsia="zh-CN"/>
        </w:rPr>
        <w:t xml:space="preserve">               </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职务：</w:t>
      </w:r>
      <w:r>
        <w:rPr>
          <w:rFonts w:hint="eastAsia" w:ascii="仿宋" w:hAnsi="仿宋" w:eastAsia="仿宋" w:cs="仿宋"/>
          <w:color w:val="auto"/>
          <w:sz w:val="24"/>
          <w:highlight w:val="none"/>
          <w:u w:val="single"/>
          <w:lang w:val="en-US" w:eastAsia="zh-CN"/>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法定代表人授权代表（签字或盖章）：</w:t>
      </w:r>
      <w:r>
        <w:rPr>
          <w:rFonts w:hint="eastAsia" w:ascii="仿宋" w:hAnsi="仿宋" w:eastAsia="仿宋" w:cs="仿宋"/>
          <w:color w:val="auto"/>
          <w:sz w:val="24"/>
          <w:highlight w:val="none"/>
          <w:u w:val="single"/>
          <w:lang w:val="en-US" w:eastAsia="zh-CN"/>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职务：</w:t>
      </w:r>
      <w:r>
        <w:rPr>
          <w:rFonts w:hint="eastAsia" w:ascii="仿宋" w:hAnsi="仿宋" w:eastAsia="仿宋" w:cs="仿宋"/>
          <w:color w:val="auto"/>
          <w:sz w:val="24"/>
          <w:highlight w:val="none"/>
          <w:u w:val="single"/>
          <w:lang w:val="en-US" w:eastAsia="zh-CN"/>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ind w:firstLine="480"/>
        <w:rPr>
          <w:color w:val="auto"/>
          <w:highlight w:val="none"/>
        </w:rPr>
      </w:pPr>
    </w:p>
    <w:p>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l/zInXAAAACQEAAA8AAAAAAAAA&#10;AQAgAAAAIgAAAGRycy9kb3ducmV2LnhtbFBLAQIUABQAAAAIAIdO4kA7us+cEgIAABAEAAAOAAAA&#10;AAAAAAEAIAAAACYBAABkcnMvZTJvRG9jLnhtbFBLBQYAAAAABgAGAFkBAACq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b59pdcAAAAJAQAADwAAAAAAAAAB&#10;ACAAAAAiAAAAZHJzL2Rvd25yZXYueG1sUEsBAhQAFAAAAAgAh07iQEGMc/w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XDLHtkAAAANAQAADwAAAAAA&#10;AAABACAAAAAiAAAAZHJzL2Rvd25yZXYueG1sUEsBAhQAFAAAAAgAh07iQAahkawSAgAAEAQAAA4A&#10;AAAAAAAAAQAgAAAAKAEAAGRycy9lMm9Eb2MueG1sUEsFBgAAAAAGAAYAWQEAAKw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响应邀请，本签字人愿意参加响应，提供比选文件中规定的货物、服务及工程，并证明提交的下列文件和说明是准确的和真实的。</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且提供以下证明文件：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eastAsia="zh-CN"/>
        </w:rPr>
        <w:t>12个月内银行</w:t>
      </w:r>
      <w:r>
        <w:rPr>
          <w:rFonts w:hint="eastAsia" w:ascii="仿宋" w:hAnsi="仿宋" w:eastAsia="仿宋" w:cs="仿宋"/>
          <w:color w:val="auto"/>
          <w:sz w:val="24"/>
          <w:highlight w:val="none"/>
        </w:rPr>
        <w:t>出具的资信证明（复印件）；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（3）比选截止时间前一年内任意一个月的依法缴纳税收证明材料（如依法免税，则须提供相应文件证明其依法免税）；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（4）比选截止时间前一年内任意一个月的依法缴纳社会保险凭据（如依法不需要缴纳社保，则须提供相应文件证明其依法不需要缴纳）；</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供应商出具声明函</w:t>
      </w:r>
      <w:r>
        <w:rPr>
          <w:rFonts w:hint="eastAsia" w:ascii="仿宋" w:hAnsi="仿宋" w:eastAsia="仿宋" w:cs="仿宋"/>
          <w:color w:val="auto"/>
          <w:sz w:val="24"/>
          <w:highlight w:val="none"/>
          <w:lang w:eastAsia="zh-CN"/>
        </w:rPr>
        <w:t>）</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sz w:val="24"/>
          <w:highlight w:val="none"/>
        </w:rPr>
        <w:t>供应商出具声明函</w:t>
      </w:r>
      <w:r>
        <w:rPr>
          <w:rFonts w:hint="eastAsia" w:ascii="仿宋" w:hAnsi="仿宋" w:eastAsia="仿宋" w:cs="仿宋"/>
          <w:color w:val="auto"/>
          <w:sz w:val="24"/>
          <w:highlight w:val="none"/>
          <w:lang w:eastAsia="zh-CN"/>
        </w:rPr>
        <w:t>）</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供应商出具声明函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pPr>
        <w:spacing w:line="4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6.本项目是专门面向中小企业采购的项目。（提供《中小企业声明函》，具体格式文件见比价文件P49中小企业声明函（工程、服务）</w:t>
      </w:r>
      <w:r>
        <w:rPr>
          <w:rFonts w:hint="eastAsia" w:ascii="仿宋" w:hAnsi="仿宋" w:eastAsia="仿宋" w:cs="仿宋"/>
          <w:color w:val="auto"/>
          <w:sz w:val="24"/>
          <w:highlight w:val="none"/>
          <w:lang w:val="hr-HR" w:eastAsia="zh-CN"/>
        </w:rPr>
        <w:t>，未按要求提供声明函的将导致响应无效</w:t>
      </w:r>
      <w:r>
        <w:rPr>
          <w:rFonts w:hint="eastAsia" w:ascii="仿宋" w:hAnsi="仿宋" w:eastAsia="仿宋" w:cs="仿宋"/>
          <w:color w:val="auto"/>
          <w:sz w:val="24"/>
          <w:highlight w:val="none"/>
          <w:lang w:val="en-US" w:eastAsia="zh-CN"/>
        </w:rPr>
        <w:t>）。本项目中小企业划分标准所属行业为：其他未列明行业。</w:t>
      </w:r>
    </w:p>
    <w:p>
      <w:pPr>
        <w:spacing w:line="4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7.已在医院办公室报名。</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7" w:name="_Toc202816997"/>
      <w:bookmarkStart w:id="28" w:name="_Toc202254106"/>
      <w:bookmarkStart w:id="29" w:name="_Toc202252035"/>
      <w:bookmarkStart w:id="30" w:name="_Toc202820352"/>
      <w:bookmarkStart w:id="31" w:name="_Toc202251076"/>
      <w:bookmarkStart w:id="32" w:name="_Toc202251701"/>
      <w:bookmarkStart w:id="33" w:name="_Toc202819879"/>
    </w:p>
    <w:p>
      <w:pPr>
        <w:pStyle w:val="4"/>
        <w:rPr>
          <w:rFonts w:hint="eastAsia"/>
          <w:color w:val="auto"/>
          <w:sz w:val="24"/>
          <w:szCs w:val="24"/>
          <w:highlight w:val="none"/>
        </w:rPr>
      </w:pPr>
      <w:r>
        <w:rPr>
          <w:color w:val="auto"/>
          <w:sz w:val="24"/>
          <w:highlight w:val="none"/>
        </w:rPr>
        <w:br w:type="page"/>
      </w:r>
      <w:r>
        <w:rPr>
          <w:rFonts w:hint="eastAsia" w:ascii="仿宋" w:hAnsi="仿宋" w:eastAsia="仿宋" w:cs="仿宋"/>
          <w:color w:val="auto"/>
          <w:highlight w:val="none"/>
        </w:rPr>
        <w:t>4 商务部分</w:t>
      </w:r>
      <w:bookmarkEnd w:id="27"/>
      <w:bookmarkEnd w:id="28"/>
      <w:bookmarkEnd w:id="29"/>
      <w:bookmarkEnd w:id="30"/>
      <w:bookmarkEnd w:id="31"/>
      <w:bookmarkEnd w:id="32"/>
      <w:bookmarkEnd w:id="33"/>
    </w:p>
    <w:p>
      <w:pPr>
        <w:tabs>
          <w:tab w:val="left" w:pos="540"/>
        </w:tabs>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lang w:val="en-GB"/>
        </w:rPr>
        <w:t>其它必需重要事项说明及承诺</w:t>
      </w:r>
      <w:r>
        <w:rPr>
          <w:rFonts w:hint="eastAsia" w:ascii="仿宋" w:hAnsi="仿宋" w:eastAsia="仿宋" w:cs="仿宋"/>
          <w:b/>
          <w:color w:val="auto"/>
          <w:sz w:val="24"/>
          <w:highlight w:val="none"/>
          <w:lang w:val="en-GB" w:eastAsia="zh-CN"/>
        </w:rPr>
        <w:t>（</w:t>
      </w:r>
      <w:r>
        <w:rPr>
          <w:rFonts w:hint="eastAsia" w:ascii="仿宋" w:hAnsi="仿宋" w:eastAsia="仿宋" w:cs="仿宋"/>
          <w:b/>
          <w:color w:val="auto"/>
          <w:sz w:val="24"/>
          <w:highlight w:val="none"/>
          <w:lang w:val="en-GB"/>
        </w:rPr>
        <w:t>单页</w:t>
      </w:r>
      <w:r>
        <w:rPr>
          <w:rFonts w:hint="eastAsia" w:ascii="仿宋" w:hAnsi="仿宋" w:eastAsia="仿宋" w:cs="仿宋"/>
          <w:b/>
          <w:color w:val="auto"/>
          <w:sz w:val="24"/>
          <w:highlight w:val="none"/>
          <w:lang w:val="en-GB" w:eastAsia="zh-CN"/>
        </w:rPr>
        <w:t>）</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参加本项目前三年内，在经营活动中没有违法记录承诺函。</w:t>
      </w:r>
    </w:p>
    <w:p>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响应供应商名称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法定代表人的资格，郑重声明：</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adjustRightInd w:val="0"/>
        <w:snapToGrid w:val="0"/>
        <w:spacing w:line="400" w:lineRule="exact"/>
        <w:ind w:firstLine="555"/>
        <w:rPr>
          <w:rFonts w:hint="eastAsia" w:ascii="仿宋" w:hAnsi="仿宋" w:eastAsia="仿宋" w:cs="仿宋"/>
          <w:color w:val="auto"/>
          <w:sz w:val="24"/>
          <w:highlight w:val="none"/>
        </w:rPr>
      </w:pP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诚信响应承诺书。</w:t>
      </w:r>
    </w:p>
    <w:p>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w:t>
      </w:r>
      <w:r>
        <w:rPr>
          <w:rFonts w:hint="eastAsia" w:ascii="仿宋" w:hAnsi="仿宋" w:eastAsia="仿宋" w:cs="仿宋"/>
          <w:b/>
          <w:color w:val="auto"/>
          <w:sz w:val="30"/>
          <w:szCs w:val="30"/>
          <w:highlight w:val="none"/>
          <w:lang w:val="hr-HR" w:eastAsia="zh-CN"/>
        </w:rPr>
        <w:t>（</w:t>
      </w:r>
      <w:r>
        <w:rPr>
          <w:rFonts w:hint="eastAsia" w:ascii="仿宋" w:hAnsi="仿宋" w:eastAsia="仿宋" w:cs="仿宋"/>
          <w:b/>
          <w:color w:val="auto"/>
          <w:sz w:val="30"/>
          <w:szCs w:val="30"/>
          <w:highlight w:val="none"/>
          <w:lang w:val="hr-HR"/>
        </w:rPr>
        <w:t>单页</w:t>
      </w:r>
      <w:r>
        <w:rPr>
          <w:rFonts w:hint="eastAsia" w:ascii="仿宋" w:hAnsi="仿宋" w:eastAsia="仿宋" w:cs="仿宋"/>
          <w:b/>
          <w:color w:val="auto"/>
          <w:sz w:val="30"/>
          <w:szCs w:val="30"/>
          <w:highlight w:val="none"/>
          <w:lang w:val="hr-HR" w:eastAsia="zh-CN"/>
        </w:rPr>
        <w:t>）</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numPr>
          <w:ilvl w:val="0"/>
          <w:numId w:val="3"/>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pPr>
        <w:pStyle w:val="12"/>
        <w:numPr>
          <w:ilvl w:val="0"/>
          <w:numId w:val="0"/>
        </w:num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应当自行核实是否属于小微企业，并认真填写声明函，若有虚假将追究其责任。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w:t>
      </w:r>
      <w:r>
        <w:rPr>
          <w:rFonts w:hint="eastAsia" w:ascii="仿宋" w:hAnsi="仿宋" w:eastAsia="仿宋" w:cs="仿宋"/>
          <w:color w:val="auto"/>
          <w:sz w:val="24"/>
          <w:highlight w:val="none"/>
          <w:lang w:eastAsia="zh-CN"/>
        </w:rPr>
        <w:t>作</w:t>
      </w:r>
      <w:r>
        <w:rPr>
          <w:rFonts w:hint="eastAsia" w:ascii="仿宋" w:hAnsi="仿宋" w:eastAsia="仿宋" w:cs="仿宋"/>
          <w:color w:val="auto"/>
          <w:sz w:val="24"/>
          <w:highlight w:val="none"/>
        </w:rPr>
        <w:t>声明。</w:t>
      </w:r>
    </w:p>
    <w:p>
      <w:pPr>
        <w:rPr>
          <w:rFonts w:hint="default"/>
          <w:color w:val="auto"/>
          <w:highlight w:val="none"/>
          <w:lang w:val="en-US" w:eastAsia="zh-CN"/>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4.2商务条款响应</w:t>
      </w:r>
    </w:p>
    <w:p>
      <w:pPr>
        <w:pStyle w:val="6"/>
        <w:spacing w:before="0" w:after="0"/>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rPr>
        <w:t>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完全理解并接受合同条款要求</w:t>
            </w:r>
          </w:p>
        </w:tc>
        <w:tc>
          <w:tcPr>
            <w:tcW w:w="1381" w:type="dxa"/>
            <w:noWrap w:val="0"/>
            <w:vAlign w:val="center"/>
          </w:tcPr>
          <w:p>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完全理解并接受对合格响应供应商、合格的货物、工程和服务要求</w:t>
            </w:r>
          </w:p>
        </w:tc>
        <w:tc>
          <w:tcPr>
            <w:tcW w:w="1381" w:type="dxa"/>
            <w:noWrap w:val="0"/>
            <w:vAlign w:val="center"/>
          </w:tcPr>
          <w:p>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完全理解并接受对响应供应商的各项须知、规约要求和责任义务</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报价内容均涵盖报价要求之一切费用和伴随服务</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3947" w:type="dxa"/>
            <w:noWrap w:val="0"/>
            <w:vAlign w:val="center"/>
          </w:tcPr>
          <w:p>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同意按本项目要求缴付相关款项</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3947" w:type="dxa"/>
            <w:noWrap w:val="0"/>
            <w:vAlign w:val="center"/>
          </w:tcPr>
          <w:p>
            <w:pPr>
              <w:rPr>
                <w:rFonts w:hint="eastAsia" w:ascii="仿宋" w:hAnsi="仿宋" w:eastAsia="仿宋" w:cs="仿宋"/>
                <w:color w:val="auto"/>
                <w:kern w:val="2"/>
                <w:sz w:val="21"/>
                <w:szCs w:val="21"/>
                <w:highlight w:val="none"/>
                <w:lang w:val="en-GB" w:eastAsia="zh-CN" w:bidi="ar-SA"/>
              </w:rPr>
            </w:pPr>
            <w:r>
              <w:rPr>
                <w:rFonts w:hint="eastAsia" w:ascii="仿宋" w:hAnsi="仿宋" w:eastAsia="仿宋" w:cs="仿宋"/>
                <w:color w:val="auto"/>
                <w:szCs w:val="21"/>
                <w:highlight w:val="none"/>
                <w:lang w:val="en-GB"/>
              </w:rPr>
              <w:t>同意</w:t>
            </w:r>
            <w:r>
              <w:rPr>
                <w:rFonts w:hint="eastAsia" w:ascii="仿宋" w:hAnsi="仿宋" w:eastAsia="仿宋" w:cs="仿宋"/>
                <w:color w:val="auto"/>
                <w:szCs w:val="21"/>
                <w:highlight w:val="none"/>
                <w:lang w:val="en-GB" w:eastAsia="zh-CN"/>
              </w:rPr>
              <w:t>采购人</w:t>
            </w:r>
            <w:r>
              <w:rPr>
                <w:rFonts w:hint="eastAsia" w:ascii="仿宋" w:hAnsi="仿宋" w:eastAsia="仿宋" w:cs="仿宋"/>
                <w:color w:val="auto"/>
                <w:szCs w:val="21"/>
                <w:highlight w:val="none"/>
                <w:lang w:val="en-GB"/>
              </w:rPr>
              <w:t>以任何形式对我方响应文件内容的真实性和有效性进行审查、验证</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3947" w:type="dxa"/>
            <w:noWrap w:val="0"/>
            <w:vAlign w:val="center"/>
          </w:tcPr>
          <w:p>
            <w:pPr>
              <w:rPr>
                <w:rFonts w:hint="eastAsia" w:ascii="仿宋" w:hAnsi="仿宋" w:eastAsia="仿宋" w:cs="仿宋"/>
                <w:color w:val="auto"/>
                <w:kern w:val="2"/>
                <w:sz w:val="21"/>
                <w:szCs w:val="21"/>
                <w:highlight w:val="none"/>
                <w:lang w:val="en-GB" w:eastAsia="zh-CN" w:bidi="ar-SA"/>
              </w:rPr>
            </w:pPr>
            <w:r>
              <w:rPr>
                <w:rFonts w:hint="eastAsia" w:ascii="仿宋" w:hAnsi="仿宋" w:eastAsia="仿宋" w:cs="仿宋"/>
                <w:color w:val="auto"/>
                <w:szCs w:val="21"/>
                <w:highlight w:val="none"/>
                <w:lang w:val="en-US" w:eastAsia="zh-CN"/>
              </w:rPr>
              <w:t>满足对服务的各项要求</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8041" w:type="dxa"/>
            <w:gridSpan w:val="4"/>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pPr>
        <w:rPr>
          <w:rFonts w:hint="eastAsia" w:ascii="仿宋" w:hAnsi="仿宋" w:eastAsia="仿宋" w:cs="仿宋"/>
          <w:color w:val="auto"/>
          <w:szCs w:val="21"/>
          <w:highlight w:val="none"/>
          <w:lang w:val="en-GB"/>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color w:val="auto"/>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34" w:name="_Toc202816998"/>
      <w:bookmarkStart w:id="35" w:name="_Toc202251077"/>
      <w:bookmarkStart w:id="36" w:name="_Toc202254107"/>
      <w:bookmarkStart w:id="37" w:name="_Toc202820353"/>
      <w:bookmarkStart w:id="38" w:name="_Toc202819880"/>
      <w:bookmarkStart w:id="39" w:name="_Toc202251702"/>
      <w:bookmarkStart w:id="40" w:name="_Toc202252036"/>
      <w:r>
        <w:rPr>
          <w:rFonts w:hint="eastAsia"/>
          <w:color w:val="auto"/>
          <w:highlight w:val="none"/>
        </w:rPr>
        <w:br w:type="page"/>
      </w:r>
    </w:p>
    <w:p>
      <w:pPr>
        <w:tabs>
          <w:tab w:val="left" w:pos="540"/>
        </w:tabs>
        <w:outlineLvl w:val="1"/>
        <w:rPr>
          <w:rFonts w:hint="eastAsia" w:ascii="仿宋" w:hAnsi="仿宋" w:eastAsia="仿宋" w:cs="仿宋"/>
          <w:b/>
          <w:color w:val="auto"/>
          <w:sz w:val="24"/>
          <w:highlight w:val="none"/>
        </w:rPr>
      </w:pPr>
      <w:bookmarkStart w:id="41" w:name="_Toc20962"/>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所投项目业绩介绍（单页）</w:t>
      </w:r>
      <w:bookmarkEnd w:id="41"/>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2"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客户名称</w:t>
            </w:r>
          </w:p>
        </w:tc>
        <w:tc>
          <w:tcPr>
            <w:tcW w:w="2787"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项目名称及合同金额（万元）</w:t>
            </w:r>
          </w:p>
        </w:tc>
        <w:tc>
          <w:tcPr>
            <w:tcW w:w="1533" w:type="dxa"/>
            <w:shd w:val="clear" w:color="auto" w:fill="F3F3F3"/>
            <w:noWrap w:val="0"/>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签订合同时间</w:t>
            </w:r>
          </w:p>
        </w:tc>
        <w:tc>
          <w:tcPr>
            <w:tcW w:w="1518"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pStyle w:val="27"/>
              <w:rPr>
                <w:rFonts w:hint="eastAsia" w:ascii="仿宋" w:hAnsi="仿宋" w:eastAsia="仿宋" w:cs="仿宋"/>
                <w:color w:val="auto"/>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注：业绩是必须以响应供应商名义完成并已验收的项目。响应供应商必须提供合同复印件或成交通知书（请留意评审细则是否要求提供验收报告）。</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pStyle w:val="2"/>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 </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w:t>
      </w:r>
      <w:bookmarkEnd w:id="34"/>
      <w:bookmarkEnd w:id="35"/>
      <w:bookmarkEnd w:id="36"/>
      <w:bookmarkEnd w:id="37"/>
      <w:bookmarkEnd w:id="38"/>
      <w:bookmarkEnd w:id="39"/>
      <w:bookmarkEnd w:id="40"/>
    </w:p>
    <w:p>
      <w:pPr>
        <w:pStyle w:val="13"/>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实质性服务要求（“★”项）条款响应表</w:t>
      </w:r>
    </w:p>
    <w:tbl>
      <w:tblPr>
        <w:tblStyle w:val="17"/>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722"/>
        <w:gridCol w:w="2416"/>
        <w:gridCol w:w="1701"/>
        <w:gridCol w:w="871"/>
        <w:gridCol w:w="912"/>
        <w:gridCol w:w="77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pPr>
              <w:ind w:firstLine="3159"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72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2416"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0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noWrap w:val="0"/>
            <w:vAlign w:val="center"/>
          </w:tcPr>
          <w:p>
            <w:pPr>
              <w:spacing w:line="380" w:lineRule="exact"/>
              <w:ind w:left="40" w:leftChars="19"/>
              <w:jc w:val="left"/>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zh-CN" w:eastAsia="zh-CN"/>
              </w:rPr>
              <w:t>11</w:t>
            </w:r>
          </w:p>
        </w:tc>
        <w:tc>
          <w:tcPr>
            <w:tcW w:w="722" w:type="dxa"/>
            <w:noWrap w:val="0"/>
            <w:vAlign w:val="center"/>
          </w:tcPr>
          <w:p>
            <w:pPr>
              <w:spacing w:line="380" w:lineRule="exact"/>
              <w:ind w:left="40" w:leftChars="19"/>
              <w:jc w:val="left"/>
              <w:rPr>
                <w:rFonts w:hint="eastAsia" w:ascii="仿宋" w:hAnsi="仿宋" w:eastAsia="仿宋" w:cs="仿宋"/>
                <w:color w:val="auto"/>
                <w:szCs w:val="21"/>
                <w:highlight w:val="none"/>
                <w:lang w:val="zh-CN" w:eastAsia="zh-CN"/>
              </w:rPr>
            </w:pPr>
          </w:p>
        </w:tc>
        <w:tc>
          <w:tcPr>
            <w:tcW w:w="2416" w:type="dxa"/>
            <w:noWrap w:val="0"/>
            <w:vAlign w:val="center"/>
          </w:tcPr>
          <w:p>
            <w:pPr>
              <w:numPr>
                <w:ilvl w:val="0"/>
                <w:numId w:val="0"/>
              </w:numPr>
              <w:adjustRightInd/>
              <w:snapToGrid/>
              <w:spacing w:line="380" w:lineRule="exact"/>
              <w:ind w:left="40" w:leftChars="19"/>
              <w:jc w:val="left"/>
              <w:rPr>
                <w:rFonts w:hint="eastAsia" w:ascii="仿宋" w:hAnsi="仿宋" w:eastAsia="仿宋" w:cs="仿宋"/>
                <w:color w:val="auto"/>
                <w:sz w:val="21"/>
                <w:szCs w:val="21"/>
                <w:highlight w:val="none"/>
                <w:lang w:val="zh-CN"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pPr>
        <w:pStyle w:val="13"/>
        <w:adjustRightInd w:val="0"/>
        <w:snapToGrid w:val="0"/>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pPr>
        <w:pStyle w:val="13"/>
        <w:adjustRightInd w:val="0"/>
        <w:snapToGrid w:val="0"/>
        <w:spacing w:line="440" w:lineRule="exact"/>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pStyle w:val="13"/>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pPr>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非实质性</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服务要求条款响应表</w:t>
      </w:r>
    </w:p>
    <w:tbl>
      <w:tblPr>
        <w:tblStyle w:val="17"/>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855" w:type="dxa"/>
            <w:gridSpan w:val="8"/>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06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62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44"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826"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25"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025"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val="en-US" w:eastAsia="zh-CN"/>
              </w:rPr>
            </w:pP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服务要求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w:t>
      </w:r>
      <w:r>
        <w:rPr>
          <w:rFonts w:hint="eastAsia" w:ascii="仿宋" w:hAnsi="仿宋" w:eastAsia="仿宋" w:cs="仿宋"/>
          <w:color w:val="auto"/>
          <w:sz w:val="24"/>
          <w:highlight w:val="none"/>
          <w:lang w:val="en-GB" w:eastAsia="zh-CN"/>
        </w:rPr>
        <w:t>做</w:t>
      </w:r>
      <w:r>
        <w:rPr>
          <w:rFonts w:hint="eastAsia" w:ascii="仿宋" w:hAnsi="仿宋" w:eastAsia="仿宋" w:cs="仿宋"/>
          <w:color w:val="auto"/>
          <w:sz w:val="24"/>
          <w:highlight w:val="none"/>
          <w:lang w:val="en-GB"/>
        </w:rPr>
        <w:t>任何更改。否则视为不符合响应要求。</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pPr>
        <w:adjustRightInd w:val="0"/>
        <w:snapToGrid w:val="0"/>
        <w:spacing w:line="300" w:lineRule="auto"/>
        <w:rPr>
          <w:rFonts w:ascii="仿宋" w:hAnsi="仿宋" w:eastAsia="仿宋" w:cs="仿宋"/>
          <w:b/>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br w:type="page"/>
      </w:r>
    </w:p>
    <w:p>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6.价格部分</w:t>
      </w:r>
    </w:p>
    <w:p>
      <w:pPr>
        <w:numPr>
          <w:ilvl w:val="0"/>
          <w:numId w:val="0"/>
        </w:numPr>
        <w:rPr>
          <w:rFonts w:hint="eastAsia" w:ascii="仿宋" w:hAnsi="仿宋" w:eastAsia="仿宋" w:cs="仿宋"/>
          <w:b/>
          <w:bCs/>
          <w:color w:val="auto"/>
          <w:kern w:val="2"/>
          <w:sz w:val="28"/>
          <w:szCs w:val="28"/>
          <w:highlight w:val="none"/>
          <w:lang w:val="en-US" w:eastAsia="zh-CN" w:bidi="ar-SA"/>
        </w:rPr>
      </w:pP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pPr>
        <w:jc w:val="center"/>
        <w:rPr>
          <w:rFonts w:hint="eastAsia" w:ascii="仿宋" w:hAnsi="仿宋" w:eastAsia="仿宋" w:cs="仿宋"/>
          <w:b/>
          <w:bCs/>
          <w:color w:val="auto"/>
          <w:sz w:val="32"/>
          <w:szCs w:val="32"/>
          <w:highlight w:val="none"/>
        </w:rPr>
      </w:pPr>
    </w:p>
    <w:tbl>
      <w:tblPr>
        <w:tblStyle w:val="17"/>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noWrap w:val="0"/>
            <w:vAlign w:val="center"/>
          </w:tcPr>
          <w:p>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采购项目名称</w:t>
            </w:r>
          </w:p>
        </w:tc>
        <w:tc>
          <w:tcPr>
            <w:tcW w:w="7632" w:type="dxa"/>
            <w:tcBorders>
              <w:bottom w:val="single" w:color="auto" w:sz="4" w:space="0"/>
            </w:tcBorders>
            <w:noWrap w:val="0"/>
            <w:vAlign w:val="center"/>
          </w:tcPr>
          <w:p>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noWrap w:val="0"/>
            <w:vAlign w:val="center"/>
          </w:tcPr>
          <w:p>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采购编号</w:t>
            </w:r>
          </w:p>
        </w:tc>
        <w:tc>
          <w:tcPr>
            <w:tcW w:w="7632" w:type="dxa"/>
            <w:noWrap w:val="0"/>
            <w:vAlign w:val="center"/>
          </w:tcPr>
          <w:p>
            <w:pPr>
              <w:pStyle w:val="28"/>
              <w:keepNext w:val="0"/>
              <w:keepLines w:val="0"/>
              <w:widowControl w:val="0"/>
              <w:pBdr>
                <w:bottom w:val="none" w:color="auto" w:sz="0" w:space="0"/>
                <w:right w:val="none" w:color="auto" w:sz="0" w:space="0"/>
              </w:pBdr>
              <w:kinsoku/>
              <w:overflowPunct/>
              <w:topLinePunct w:val="0"/>
              <w:bidi w:val="0"/>
              <w:spacing w:before="0" w:beforeAutospacing="0" w:after="0" w:afterAutospacing="0" w:line="312" w:lineRule="auto"/>
              <w:textAlignment w:val="auto"/>
              <w:rPr>
                <w:rFonts w:hint="eastAsia" w:ascii="仿宋" w:hAnsi="仿宋" w:eastAsia="仿宋" w:cs="仿宋"/>
                <w:bCs/>
                <w:color w:val="auto"/>
                <w:kern w:val="2"/>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1728" w:type="dxa"/>
            <w:noWrap w:val="0"/>
            <w:vAlign w:val="center"/>
          </w:tcPr>
          <w:p>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w:t>
            </w:r>
          </w:p>
        </w:tc>
        <w:tc>
          <w:tcPr>
            <w:tcW w:w="7632" w:type="dxa"/>
            <w:noWrap w:val="0"/>
            <w:vAlign w:val="center"/>
          </w:tcPr>
          <w:p>
            <w:pPr>
              <w:keepNext w:val="0"/>
              <w:keepLines w:val="0"/>
              <w:kinsoku/>
              <w:overflowPunct/>
              <w:topLinePunct w:val="0"/>
              <w:bidi w:val="0"/>
              <w:spacing w:line="312"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（大写）人民币</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w:t>
            </w:r>
          </w:p>
        </w:tc>
      </w:tr>
    </w:tbl>
    <w:p>
      <w:pPr>
        <w:pStyle w:val="2"/>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p>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须按要求完整填写所有信息，不得随意更改本表格式，否则作</w:t>
      </w:r>
      <w:r>
        <w:rPr>
          <w:rFonts w:hint="eastAsia" w:ascii="仿宋" w:hAnsi="仿宋" w:eastAsia="仿宋" w:cs="仿宋"/>
          <w:color w:val="auto"/>
          <w:sz w:val="24"/>
          <w:szCs w:val="24"/>
          <w:highlight w:val="none"/>
          <w:lang w:eastAsia="zh-CN"/>
        </w:rPr>
        <w:t>无效</w:t>
      </w:r>
      <w:r>
        <w:rPr>
          <w:rFonts w:hint="eastAsia" w:ascii="仿宋" w:hAnsi="仿宋" w:eastAsia="仿宋" w:cs="仿宋"/>
          <w:color w:val="auto"/>
          <w:sz w:val="24"/>
          <w:szCs w:val="24"/>
          <w:highlight w:val="none"/>
        </w:rPr>
        <w:t>处理。</w:t>
      </w:r>
    </w:p>
    <w:p>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报价保留两位小数。中文大写金额用汉字，如壹、贰、叁、肆、伍、陆、柒、捌、玖、拾、佰、仟、万、亿、元、角、分、零、整（正）等。小写：1234567.89元，大写：壹佰贰拾叁万肆仟伍佰陆拾柒元捌角玖分。</w:t>
      </w:r>
    </w:p>
    <w:p>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3.此表是</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文件的必要文件，是</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文件的组成部分。</w:t>
      </w:r>
    </w:p>
    <w:p>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4.除</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文件另有规定外，</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文件内不得含有任何对本报价进行价格折扣的说明或资料，否则为无效</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w:t>
      </w:r>
    </w:p>
    <w:p>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5.合同履行期限详见</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要求，合同履行期限超过</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规定的期限为无效</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w:t>
      </w:r>
    </w:p>
    <w:p>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报价要求详见</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要求，本项目不接受有选</w:t>
      </w:r>
      <w:r>
        <w:rPr>
          <w:rFonts w:hint="eastAsia" w:ascii="仿宋" w:hAnsi="仿宋" w:eastAsia="仿宋" w:cs="仿宋"/>
          <w:color w:val="auto"/>
          <w:sz w:val="24"/>
          <w:szCs w:val="24"/>
          <w:highlight w:val="none"/>
          <w:lang w:eastAsia="zh-CN"/>
        </w:rPr>
        <w:t>择性地响应</w:t>
      </w:r>
      <w:r>
        <w:rPr>
          <w:rFonts w:hint="eastAsia" w:ascii="仿宋" w:hAnsi="仿宋" w:eastAsia="仿宋" w:cs="仿宋"/>
          <w:color w:val="auto"/>
          <w:sz w:val="24"/>
          <w:szCs w:val="24"/>
          <w:highlight w:val="none"/>
        </w:rPr>
        <w:t>报价。</w:t>
      </w:r>
    </w:p>
    <w:p>
      <w:pPr>
        <w:keepNext w:val="0"/>
        <w:keepLines w:val="0"/>
        <w:kinsoku/>
        <w:overflowPunct/>
        <w:topLinePunct w:val="0"/>
        <w:bidi w:val="0"/>
        <w:adjustRightInd w:val="0"/>
        <w:snapToGrid w:val="0"/>
        <w:spacing w:line="312" w:lineRule="auto"/>
        <w:textAlignment w:val="auto"/>
        <w:rPr>
          <w:rFonts w:hint="eastAsia" w:ascii="仿宋" w:hAnsi="仿宋" w:eastAsia="仿宋" w:cs="仿宋"/>
          <w:color w:val="auto"/>
          <w:sz w:val="24"/>
          <w:szCs w:val="24"/>
          <w:highlight w:val="none"/>
        </w:rPr>
      </w:pPr>
    </w:p>
    <w:p>
      <w:pPr>
        <w:keepNext w:val="0"/>
        <w:keepLines w:val="0"/>
        <w:kinsoku/>
        <w:overflowPunct/>
        <w:topLinePunct w:val="0"/>
        <w:bidi w:val="0"/>
        <w:adjustRightInd w:val="0"/>
        <w:snapToGrid w:val="0"/>
        <w:spacing w:line="312" w:lineRule="auto"/>
        <w:ind w:firstLine="486"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p>
    <w:p>
      <w:pPr>
        <w:keepNext w:val="0"/>
        <w:keepLines w:val="0"/>
        <w:kinsoku/>
        <w:overflowPunct/>
        <w:topLinePunct w:val="0"/>
        <w:bidi w:val="0"/>
        <w:adjustRightInd w:val="0"/>
        <w:snapToGrid w:val="0"/>
        <w:spacing w:line="312" w:lineRule="auto"/>
        <w:ind w:firstLine="486"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名称（盖章）：</w:t>
      </w:r>
      <w:r>
        <w:rPr>
          <w:rFonts w:hint="eastAsia" w:ascii="仿宋" w:hAnsi="仿宋" w:eastAsia="仿宋" w:cs="仿宋"/>
          <w:color w:val="auto"/>
          <w:sz w:val="24"/>
          <w:szCs w:val="24"/>
          <w:highlight w:val="none"/>
          <w:u w:val="single"/>
        </w:rPr>
        <w:t xml:space="preserve">                      </w:t>
      </w:r>
    </w:p>
    <w:p>
      <w:pPr>
        <w:keepNext w:val="0"/>
        <w:keepLines w:val="0"/>
        <w:kinsoku/>
        <w:overflowPunct/>
        <w:topLinePunct w:val="0"/>
        <w:autoSpaceDE w:val="0"/>
        <w:autoSpaceDN w:val="0"/>
        <w:bidi w:val="0"/>
        <w:adjustRightInd w:val="0"/>
        <w:snapToGrid w:val="0"/>
        <w:spacing w:line="312" w:lineRule="auto"/>
        <w:ind w:firstLine="486" w:firstLineChars="200"/>
        <w:textAlignment w:val="auto"/>
        <w:rPr>
          <w:color w:val="auto"/>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rPr>
          <w:color w:val="auto"/>
        </w:rPr>
      </w:pPr>
    </w:p>
    <w:p>
      <w:pPr>
        <w:rPr>
          <w:color w:val="auto"/>
        </w:rPr>
      </w:pPr>
    </w:p>
    <w:p>
      <w:pPr>
        <w:rPr>
          <w:color w:val="auto"/>
        </w:rPr>
      </w:pPr>
    </w:p>
    <w:p>
      <w:pPr>
        <w:rPr>
          <w:rFonts w:hint="eastAsia" w:ascii="仿宋" w:hAnsi="仿宋" w:eastAsia="仿宋" w:cs="仿宋"/>
          <w:b/>
          <w:bCs/>
          <w:color w:val="auto"/>
          <w:kern w:val="2"/>
          <w:sz w:val="28"/>
          <w:szCs w:val="28"/>
          <w:highlight w:val="yellow"/>
          <w:lang w:val="en-US" w:eastAsia="zh-CN" w:bidi="ar-SA"/>
        </w:rPr>
      </w:pPr>
    </w:p>
    <w:p>
      <w:pPr>
        <w:rPr>
          <w:rFonts w:hint="eastAsia" w:ascii="仿宋" w:hAnsi="仿宋" w:eastAsia="仿宋" w:cs="仿宋"/>
          <w:b/>
          <w:bCs/>
          <w:color w:val="auto"/>
          <w:kern w:val="2"/>
          <w:sz w:val="28"/>
          <w:szCs w:val="28"/>
          <w:highlight w:val="yellow"/>
          <w:lang w:val="en-US" w:eastAsia="zh-CN" w:bidi="ar-SA"/>
        </w:rPr>
      </w:pPr>
      <w:r>
        <w:rPr>
          <w:rFonts w:hint="eastAsia" w:ascii="仿宋" w:hAnsi="仿宋" w:eastAsia="仿宋" w:cs="仿宋"/>
          <w:b/>
          <w:bCs/>
          <w:color w:val="auto"/>
          <w:kern w:val="2"/>
          <w:sz w:val="28"/>
          <w:szCs w:val="28"/>
          <w:highlight w:val="yellow"/>
          <w:lang w:val="en-US" w:eastAsia="zh-CN" w:bidi="ar-SA"/>
        </w:rPr>
        <w:t>7.定标部分</w:t>
      </w:r>
    </w:p>
    <w:p>
      <w:pPr>
        <w:pStyle w:val="4"/>
        <w:numPr>
          <w:ilvl w:val="2"/>
          <w:numId w:val="0"/>
        </w:numPr>
        <w:spacing w:line="360" w:lineRule="auto"/>
        <w:ind w:leftChars="0"/>
        <w:jc w:val="center"/>
        <w:outlineLvl w:val="1"/>
        <w:rPr>
          <w:rFonts w:hint="eastAsia" w:ascii="仿宋" w:hAnsi="仿宋" w:eastAsia="仿宋" w:cs="仿宋"/>
          <w:color w:val="auto"/>
          <w:spacing w:val="0"/>
          <w:sz w:val="24"/>
          <w:szCs w:val="24"/>
          <w:highlight w:val="yellow"/>
        </w:rPr>
      </w:pPr>
      <w:r>
        <w:rPr>
          <w:rFonts w:hint="eastAsia" w:ascii="仿宋" w:hAnsi="仿宋" w:eastAsia="仿宋" w:cs="仿宋"/>
          <w:color w:val="auto"/>
          <w:spacing w:val="0"/>
          <w:sz w:val="24"/>
          <w:szCs w:val="24"/>
          <w:highlight w:val="yellow"/>
        </w:rPr>
        <w:t>定标因素表</w:t>
      </w:r>
    </w:p>
    <w:p>
      <w:pPr>
        <w:pStyle w:val="4"/>
        <w:numPr>
          <w:ilvl w:val="2"/>
          <w:numId w:val="0"/>
        </w:numPr>
        <w:spacing w:line="360" w:lineRule="auto"/>
        <w:ind w:leftChars="0"/>
        <w:jc w:val="center"/>
        <w:outlineLvl w:val="1"/>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定标因素表</w:t>
      </w:r>
    </w:p>
    <w:tbl>
      <w:tblPr>
        <w:tblStyle w:val="17"/>
        <w:tblW w:w="9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611"/>
        <w:gridCol w:w="1778"/>
        <w:gridCol w:w="2269"/>
        <w:gridCol w:w="1836"/>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pPr>
              <w:adjustRightInd w:val="0"/>
              <w:snapToGrid w:val="0"/>
              <w:spacing w:line="360" w:lineRule="auto"/>
              <w:jc w:val="center"/>
              <w:rPr>
                <w:rFonts w:hint="eastAsia" w:ascii="宋体" w:hAnsi="宋体" w:eastAsia="宋体" w:cs="宋体"/>
                <w:b/>
                <w:bCs/>
                <w:color w:val="auto"/>
                <w:spacing w:val="0"/>
                <w:sz w:val="20"/>
                <w:szCs w:val="20"/>
                <w:highlight w:val="none"/>
              </w:rPr>
            </w:pPr>
            <w:r>
              <w:rPr>
                <w:rFonts w:hint="eastAsia" w:ascii="宋体" w:hAnsi="宋体" w:eastAsia="宋体" w:cs="宋体"/>
                <w:b/>
                <w:bCs/>
                <w:color w:val="auto"/>
                <w:spacing w:val="0"/>
                <w:sz w:val="20"/>
                <w:szCs w:val="20"/>
                <w:highlight w:val="none"/>
              </w:rPr>
              <w:t>序号</w:t>
            </w:r>
          </w:p>
        </w:tc>
        <w:tc>
          <w:tcPr>
            <w:tcW w:w="3389" w:type="dxa"/>
            <w:gridSpan w:val="2"/>
            <w:noWrap w:val="0"/>
            <w:vAlign w:val="center"/>
          </w:tcPr>
          <w:p>
            <w:pPr>
              <w:adjustRightInd w:val="0"/>
              <w:snapToGrid w:val="0"/>
              <w:spacing w:line="360" w:lineRule="auto"/>
              <w:jc w:val="center"/>
              <w:rPr>
                <w:rFonts w:hint="eastAsia" w:ascii="宋体" w:hAnsi="宋体" w:eastAsia="宋体" w:cs="宋体"/>
                <w:b/>
                <w:bCs/>
                <w:color w:val="auto"/>
                <w:spacing w:val="0"/>
                <w:sz w:val="20"/>
                <w:szCs w:val="20"/>
                <w:highlight w:val="none"/>
              </w:rPr>
            </w:pPr>
            <w:r>
              <w:rPr>
                <w:rFonts w:hint="eastAsia" w:ascii="宋体" w:hAnsi="宋体" w:eastAsia="宋体" w:cs="宋体"/>
                <w:b/>
                <w:bCs/>
                <w:color w:val="auto"/>
                <w:spacing w:val="0"/>
                <w:sz w:val="20"/>
                <w:szCs w:val="20"/>
                <w:highlight w:val="none"/>
              </w:rPr>
              <w:t>定标因素</w:t>
            </w:r>
          </w:p>
        </w:tc>
        <w:tc>
          <w:tcPr>
            <w:tcW w:w="2269" w:type="dxa"/>
            <w:noWrap w:val="0"/>
            <w:vAlign w:val="center"/>
          </w:tcPr>
          <w:p>
            <w:pPr>
              <w:adjustRightInd w:val="0"/>
              <w:snapToGrid w:val="0"/>
              <w:spacing w:line="360" w:lineRule="auto"/>
              <w:jc w:val="center"/>
              <w:rPr>
                <w:rFonts w:hint="eastAsia" w:ascii="宋体" w:hAnsi="宋体" w:eastAsia="宋体" w:cs="宋体"/>
                <w:b/>
                <w:bCs/>
                <w:color w:val="auto"/>
                <w:spacing w:val="0"/>
                <w:sz w:val="20"/>
                <w:szCs w:val="20"/>
                <w:highlight w:val="none"/>
              </w:rPr>
            </w:pPr>
            <w:r>
              <w:rPr>
                <w:rFonts w:hint="eastAsia" w:ascii="宋体" w:hAnsi="宋体" w:eastAsia="宋体" w:cs="宋体"/>
                <w:b/>
                <w:bCs/>
                <w:color w:val="auto"/>
                <w:spacing w:val="0"/>
                <w:sz w:val="20"/>
                <w:szCs w:val="20"/>
                <w:highlight w:val="none"/>
              </w:rPr>
              <w:t>投标人</w:t>
            </w:r>
            <w:r>
              <w:rPr>
                <w:rFonts w:hint="eastAsia" w:ascii="宋体" w:hAnsi="宋体" w:eastAsia="宋体" w:cs="宋体"/>
                <w:b/>
                <w:bCs/>
                <w:color w:val="auto"/>
                <w:spacing w:val="0"/>
                <w:sz w:val="20"/>
                <w:szCs w:val="20"/>
                <w:highlight w:val="none"/>
                <w:lang w:val="en-US" w:eastAsia="zh-CN"/>
              </w:rPr>
              <w:t>响应</w:t>
            </w:r>
            <w:r>
              <w:rPr>
                <w:rFonts w:hint="eastAsia" w:ascii="宋体" w:hAnsi="宋体" w:eastAsia="宋体" w:cs="宋体"/>
                <w:b/>
                <w:bCs/>
                <w:color w:val="auto"/>
                <w:spacing w:val="0"/>
                <w:sz w:val="20"/>
                <w:szCs w:val="20"/>
                <w:highlight w:val="none"/>
              </w:rPr>
              <w:t>情况</w:t>
            </w:r>
          </w:p>
        </w:tc>
        <w:tc>
          <w:tcPr>
            <w:tcW w:w="1836" w:type="dxa"/>
            <w:noWrap w:val="0"/>
            <w:vAlign w:val="center"/>
          </w:tcPr>
          <w:p>
            <w:pPr>
              <w:adjustRightInd w:val="0"/>
              <w:snapToGrid w:val="0"/>
              <w:spacing w:line="360" w:lineRule="auto"/>
              <w:jc w:val="center"/>
              <w:rPr>
                <w:rFonts w:hint="eastAsia" w:ascii="宋体" w:hAnsi="宋体" w:eastAsia="宋体" w:cs="宋体"/>
                <w:b/>
                <w:bCs/>
                <w:color w:val="auto"/>
                <w:spacing w:val="0"/>
                <w:sz w:val="20"/>
                <w:szCs w:val="20"/>
                <w:highlight w:val="none"/>
              </w:rPr>
            </w:pPr>
            <w:r>
              <w:rPr>
                <w:rFonts w:hint="eastAsia" w:ascii="宋体" w:hAnsi="宋体" w:eastAsia="宋体" w:cs="宋体"/>
                <w:b/>
                <w:bCs/>
                <w:color w:val="auto"/>
                <w:spacing w:val="0"/>
                <w:sz w:val="20"/>
                <w:szCs w:val="20"/>
                <w:highlight w:val="none"/>
              </w:rPr>
              <w:t>证明材料所在页码</w:t>
            </w:r>
          </w:p>
        </w:tc>
        <w:tc>
          <w:tcPr>
            <w:tcW w:w="1050" w:type="dxa"/>
            <w:noWrap w:val="0"/>
            <w:vAlign w:val="center"/>
          </w:tcPr>
          <w:p>
            <w:pPr>
              <w:adjustRightInd w:val="0"/>
              <w:snapToGrid w:val="0"/>
              <w:spacing w:line="360" w:lineRule="auto"/>
              <w:jc w:val="center"/>
              <w:rPr>
                <w:rFonts w:hint="eastAsia" w:ascii="宋体" w:hAnsi="宋体" w:eastAsia="宋体" w:cs="宋体"/>
                <w:b/>
                <w:bCs/>
                <w:color w:val="auto"/>
                <w:spacing w:val="0"/>
                <w:sz w:val="20"/>
                <w:szCs w:val="20"/>
                <w:highlight w:val="none"/>
              </w:rPr>
            </w:pPr>
            <w:r>
              <w:rPr>
                <w:rFonts w:hint="eastAsia" w:ascii="宋体" w:hAnsi="宋体" w:eastAsia="宋体" w:cs="宋体"/>
                <w:b/>
                <w:bCs/>
                <w:color w:val="auto"/>
                <w:spacing w:val="0"/>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noWrap w:val="0"/>
            <w:vAlign w:val="center"/>
          </w:tcPr>
          <w:p>
            <w:pPr>
              <w:adjustRightInd w:val="0"/>
              <w:snapToGrid w:val="0"/>
              <w:spacing w:line="360" w:lineRule="auto"/>
              <w:jc w:val="center"/>
              <w:rPr>
                <w:rFonts w:hint="eastAsia" w:ascii="宋体" w:hAnsi="宋体" w:eastAsia="宋体" w:cs="宋体"/>
                <w:color w:val="auto"/>
                <w:spacing w:val="0"/>
                <w:sz w:val="20"/>
                <w:szCs w:val="20"/>
                <w:highlight w:val="none"/>
                <w:lang w:val="en-US" w:eastAsia="zh-CN"/>
              </w:rPr>
            </w:pPr>
            <w:r>
              <w:rPr>
                <w:rFonts w:hint="eastAsia" w:ascii="宋体" w:hAnsi="宋体" w:cs="宋体"/>
                <w:color w:val="auto"/>
                <w:spacing w:val="0"/>
                <w:sz w:val="20"/>
                <w:szCs w:val="20"/>
                <w:highlight w:val="none"/>
                <w:lang w:val="en-US" w:eastAsia="zh-CN"/>
              </w:rPr>
              <w:t>1</w:t>
            </w:r>
          </w:p>
        </w:tc>
        <w:tc>
          <w:tcPr>
            <w:tcW w:w="1611" w:type="dxa"/>
            <w:noWrap w:val="0"/>
            <w:vAlign w:val="center"/>
          </w:tcPr>
          <w:p>
            <w:pPr>
              <w:adjustRightInd w:val="0"/>
              <w:snapToGrid w:val="0"/>
              <w:spacing w:line="360" w:lineRule="auto"/>
              <w:jc w:val="center"/>
              <w:rPr>
                <w:rFonts w:hint="eastAsia" w:ascii="宋体" w:hAnsi="宋体" w:eastAsia="宋体" w:cs="宋体"/>
                <w:color w:val="auto"/>
                <w:spacing w:val="0"/>
                <w:kern w:val="2"/>
                <w:sz w:val="20"/>
                <w:szCs w:val="20"/>
                <w:highlight w:val="none"/>
                <w:lang w:val="en-US" w:eastAsia="zh-CN" w:bidi="ar-SA"/>
              </w:rPr>
            </w:pPr>
            <w:r>
              <w:rPr>
                <w:rFonts w:hint="eastAsia"/>
                <w:color w:val="auto"/>
                <w:highlight w:val="none"/>
                <w:lang w:val="en-US" w:eastAsia="zh-CN"/>
              </w:rPr>
              <w:t>企业实力</w:t>
            </w:r>
          </w:p>
        </w:tc>
        <w:tc>
          <w:tcPr>
            <w:tcW w:w="1778" w:type="dxa"/>
            <w:noWrap w:val="0"/>
            <w:vAlign w:val="center"/>
          </w:tcPr>
          <w:p>
            <w:pPr>
              <w:adjustRightInd w:val="0"/>
              <w:snapToGrid w:val="0"/>
              <w:spacing w:line="360" w:lineRule="auto"/>
              <w:jc w:val="center"/>
              <w:rPr>
                <w:rFonts w:hint="eastAsia"/>
                <w:color w:val="auto"/>
                <w:highlight w:val="none"/>
                <w:lang w:val="en-US" w:eastAsia="zh-CN"/>
              </w:rPr>
            </w:pPr>
            <w:r>
              <w:rPr>
                <w:rFonts w:hint="eastAsia"/>
                <w:color w:val="auto"/>
                <w:highlight w:val="none"/>
                <w:lang w:val="en-US" w:eastAsia="zh-CN"/>
              </w:rPr>
              <w:t>自行提交材料</w:t>
            </w:r>
          </w:p>
        </w:tc>
        <w:tc>
          <w:tcPr>
            <w:tcW w:w="2269" w:type="dxa"/>
            <w:noWrap w:val="0"/>
            <w:vAlign w:val="center"/>
          </w:tcPr>
          <w:p>
            <w:pPr>
              <w:adjustRightInd w:val="0"/>
              <w:snapToGrid w:val="0"/>
              <w:spacing w:line="360" w:lineRule="auto"/>
              <w:jc w:val="left"/>
              <w:rPr>
                <w:rFonts w:hint="eastAsia" w:ascii="宋体" w:hAnsi="宋体" w:eastAsia="宋体" w:cs="宋体"/>
                <w:color w:val="auto"/>
                <w:spacing w:val="0"/>
                <w:sz w:val="20"/>
                <w:szCs w:val="20"/>
                <w:highlight w:val="none"/>
              </w:rPr>
            </w:pPr>
          </w:p>
        </w:tc>
        <w:tc>
          <w:tcPr>
            <w:tcW w:w="1836" w:type="dxa"/>
            <w:noWrap w:val="0"/>
            <w:vAlign w:val="top"/>
          </w:tcPr>
          <w:p>
            <w:pPr>
              <w:adjustRightInd w:val="0"/>
              <w:snapToGrid w:val="0"/>
              <w:spacing w:line="360" w:lineRule="auto"/>
              <w:jc w:val="center"/>
              <w:rPr>
                <w:rFonts w:hint="eastAsia" w:ascii="宋体" w:hAnsi="宋体" w:eastAsia="宋体" w:cs="宋体"/>
                <w:color w:val="auto"/>
                <w:spacing w:val="0"/>
                <w:sz w:val="20"/>
                <w:szCs w:val="20"/>
                <w:highlight w:val="none"/>
              </w:rPr>
            </w:pPr>
          </w:p>
        </w:tc>
        <w:tc>
          <w:tcPr>
            <w:tcW w:w="1050" w:type="dxa"/>
            <w:noWrap w:val="0"/>
            <w:vAlign w:val="center"/>
          </w:tcPr>
          <w:p>
            <w:pPr>
              <w:adjustRightInd w:val="0"/>
              <w:snapToGrid w:val="0"/>
              <w:spacing w:line="360" w:lineRule="auto"/>
              <w:jc w:val="center"/>
              <w:rPr>
                <w:rFonts w:hint="eastAsia" w:ascii="宋体" w:hAnsi="宋体" w:eastAsia="宋体" w:cs="宋体"/>
                <w:color w:val="auto"/>
                <w:spacing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pPr>
              <w:adjustRightInd w:val="0"/>
              <w:snapToGrid w:val="0"/>
              <w:spacing w:line="360" w:lineRule="auto"/>
              <w:jc w:val="center"/>
              <w:rPr>
                <w:rFonts w:hint="eastAsia" w:ascii="宋体" w:hAnsi="宋体" w:eastAsia="宋体" w:cs="宋体"/>
                <w:color w:val="auto"/>
                <w:spacing w:val="0"/>
                <w:sz w:val="20"/>
                <w:szCs w:val="20"/>
                <w:highlight w:val="none"/>
                <w:lang w:eastAsia="zh-CN"/>
              </w:rPr>
            </w:pPr>
            <w:r>
              <w:rPr>
                <w:rFonts w:hint="eastAsia" w:ascii="宋体" w:hAnsi="宋体" w:cs="宋体"/>
                <w:color w:val="auto"/>
                <w:spacing w:val="0"/>
                <w:sz w:val="20"/>
                <w:szCs w:val="20"/>
                <w:highlight w:val="none"/>
                <w:lang w:val="en-US" w:eastAsia="zh-CN"/>
              </w:rPr>
              <w:t>2</w:t>
            </w:r>
          </w:p>
        </w:tc>
        <w:tc>
          <w:tcPr>
            <w:tcW w:w="1611" w:type="dxa"/>
            <w:noWrap w:val="0"/>
            <w:vAlign w:val="center"/>
          </w:tcPr>
          <w:p>
            <w:pPr>
              <w:adjustRightInd w:val="0"/>
              <w:snapToGrid w:val="0"/>
              <w:spacing w:line="360" w:lineRule="auto"/>
              <w:jc w:val="center"/>
              <w:rPr>
                <w:rFonts w:hint="eastAsia" w:ascii="宋体" w:hAnsi="宋体" w:eastAsia="宋体" w:cs="宋体"/>
                <w:color w:val="auto"/>
                <w:spacing w:val="0"/>
                <w:sz w:val="20"/>
                <w:szCs w:val="20"/>
                <w:highlight w:val="none"/>
              </w:rPr>
            </w:pPr>
            <w:r>
              <w:rPr>
                <w:rFonts w:hint="eastAsia"/>
                <w:color w:val="auto"/>
                <w:highlight w:val="none"/>
                <w:lang w:val="en-US" w:eastAsia="zh-CN"/>
              </w:rPr>
              <w:t>企业信誉</w:t>
            </w:r>
          </w:p>
        </w:tc>
        <w:tc>
          <w:tcPr>
            <w:tcW w:w="1778" w:type="dxa"/>
            <w:noWrap w:val="0"/>
            <w:vAlign w:val="center"/>
          </w:tcPr>
          <w:p>
            <w:pPr>
              <w:adjustRightInd w:val="0"/>
              <w:snapToGrid w:val="0"/>
              <w:spacing w:line="360" w:lineRule="auto"/>
              <w:jc w:val="center"/>
              <w:rPr>
                <w:rFonts w:hint="eastAsia"/>
                <w:color w:val="auto"/>
                <w:highlight w:val="none"/>
                <w:lang w:val="en-US" w:eastAsia="zh-CN"/>
              </w:rPr>
            </w:pPr>
            <w:r>
              <w:rPr>
                <w:rFonts w:hint="eastAsia"/>
                <w:color w:val="auto"/>
                <w:highlight w:val="none"/>
                <w:lang w:val="en-US" w:eastAsia="zh-CN"/>
              </w:rPr>
              <w:t>自行提交材料</w:t>
            </w:r>
          </w:p>
        </w:tc>
        <w:tc>
          <w:tcPr>
            <w:tcW w:w="2269" w:type="dxa"/>
            <w:noWrap w:val="0"/>
            <w:vAlign w:val="center"/>
          </w:tcPr>
          <w:p>
            <w:pPr>
              <w:adjustRightInd w:val="0"/>
              <w:snapToGrid w:val="0"/>
              <w:spacing w:line="360" w:lineRule="auto"/>
              <w:jc w:val="left"/>
              <w:rPr>
                <w:rFonts w:hint="eastAsia" w:ascii="宋体" w:hAnsi="宋体" w:eastAsia="宋体" w:cs="宋体"/>
                <w:color w:val="auto"/>
                <w:spacing w:val="0"/>
                <w:sz w:val="20"/>
                <w:szCs w:val="20"/>
                <w:highlight w:val="none"/>
              </w:rPr>
            </w:pPr>
          </w:p>
        </w:tc>
        <w:tc>
          <w:tcPr>
            <w:tcW w:w="1836" w:type="dxa"/>
            <w:noWrap w:val="0"/>
            <w:vAlign w:val="top"/>
          </w:tcPr>
          <w:p>
            <w:pPr>
              <w:adjustRightInd w:val="0"/>
              <w:snapToGrid w:val="0"/>
              <w:spacing w:line="360" w:lineRule="auto"/>
              <w:jc w:val="center"/>
              <w:rPr>
                <w:rFonts w:hint="eastAsia" w:ascii="宋体" w:hAnsi="宋体" w:eastAsia="宋体" w:cs="宋体"/>
                <w:color w:val="auto"/>
                <w:spacing w:val="0"/>
                <w:sz w:val="20"/>
                <w:szCs w:val="20"/>
                <w:highlight w:val="none"/>
              </w:rPr>
            </w:pPr>
          </w:p>
        </w:tc>
        <w:tc>
          <w:tcPr>
            <w:tcW w:w="1050" w:type="dxa"/>
            <w:noWrap w:val="0"/>
            <w:vAlign w:val="center"/>
          </w:tcPr>
          <w:p>
            <w:pPr>
              <w:adjustRightInd w:val="0"/>
              <w:snapToGrid w:val="0"/>
              <w:spacing w:line="360" w:lineRule="auto"/>
              <w:jc w:val="center"/>
              <w:rPr>
                <w:rFonts w:hint="eastAsia" w:ascii="宋体" w:hAnsi="宋体" w:eastAsia="宋体" w:cs="宋体"/>
                <w:color w:val="auto"/>
                <w:spacing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pPr>
              <w:adjustRightInd w:val="0"/>
              <w:snapToGrid w:val="0"/>
              <w:spacing w:line="360" w:lineRule="auto"/>
              <w:jc w:val="center"/>
              <w:rPr>
                <w:rFonts w:hint="eastAsia" w:ascii="宋体" w:hAnsi="宋体" w:eastAsia="宋体" w:cs="宋体"/>
                <w:color w:val="auto"/>
                <w:spacing w:val="0"/>
                <w:sz w:val="20"/>
                <w:szCs w:val="20"/>
                <w:highlight w:val="none"/>
                <w:lang w:val="en-US" w:eastAsia="zh-CN"/>
              </w:rPr>
            </w:pPr>
            <w:r>
              <w:rPr>
                <w:rFonts w:hint="eastAsia" w:ascii="宋体" w:hAnsi="宋体" w:cs="宋体"/>
                <w:color w:val="auto"/>
                <w:spacing w:val="0"/>
                <w:sz w:val="20"/>
                <w:szCs w:val="20"/>
                <w:highlight w:val="none"/>
                <w:lang w:val="en-US" w:eastAsia="zh-CN"/>
              </w:rPr>
              <w:t>3</w:t>
            </w:r>
          </w:p>
        </w:tc>
        <w:tc>
          <w:tcPr>
            <w:tcW w:w="1611" w:type="dxa"/>
            <w:noWrap w:val="0"/>
            <w:vAlign w:val="center"/>
          </w:tcPr>
          <w:p>
            <w:pPr>
              <w:adjustRightInd w:val="0"/>
              <w:snapToGrid w:val="0"/>
              <w:spacing w:line="360" w:lineRule="auto"/>
              <w:jc w:val="center"/>
              <w:rPr>
                <w:rFonts w:hint="eastAsia" w:ascii="宋体" w:hAnsi="宋体" w:eastAsia="宋体" w:cs="宋体"/>
                <w:color w:val="auto"/>
                <w:spacing w:val="0"/>
                <w:sz w:val="20"/>
                <w:szCs w:val="20"/>
                <w:highlight w:val="none"/>
              </w:rPr>
            </w:pPr>
            <w:r>
              <w:rPr>
                <w:rFonts w:hint="eastAsia"/>
                <w:color w:val="auto"/>
                <w:highlight w:val="none"/>
                <w:lang w:val="en-US" w:eastAsia="zh-CN"/>
              </w:rPr>
              <w:t>投标文件响应情况</w:t>
            </w:r>
          </w:p>
        </w:tc>
        <w:tc>
          <w:tcPr>
            <w:tcW w:w="1778" w:type="dxa"/>
            <w:noWrap w:val="0"/>
            <w:vAlign w:val="center"/>
          </w:tcPr>
          <w:p>
            <w:pPr>
              <w:adjustRightInd w:val="0"/>
              <w:snapToGrid w:val="0"/>
              <w:spacing w:line="36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按投标文件响应内容提供，提交汇总表</w:t>
            </w:r>
          </w:p>
        </w:tc>
        <w:tc>
          <w:tcPr>
            <w:tcW w:w="2269" w:type="dxa"/>
            <w:noWrap w:val="0"/>
            <w:vAlign w:val="center"/>
          </w:tcPr>
          <w:p>
            <w:pPr>
              <w:adjustRightInd w:val="0"/>
              <w:snapToGrid w:val="0"/>
              <w:spacing w:line="360" w:lineRule="auto"/>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招标文件需求内容负偏离:</w:t>
            </w:r>
            <w:r>
              <w:rPr>
                <w:rFonts w:hint="eastAsia" w:ascii="宋体" w:hAnsi="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rPr>
              <w:t>条</w:t>
            </w:r>
          </w:p>
        </w:tc>
        <w:tc>
          <w:tcPr>
            <w:tcW w:w="1836" w:type="dxa"/>
            <w:noWrap w:val="0"/>
            <w:vAlign w:val="top"/>
          </w:tcPr>
          <w:p>
            <w:pPr>
              <w:adjustRightInd w:val="0"/>
              <w:snapToGrid w:val="0"/>
              <w:spacing w:line="360" w:lineRule="auto"/>
              <w:jc w:val="center"/>
              <w:rPr>
                <w:rFonts w:hint="eastAsia" w:ascii="宋体" w:hAnsi="宋体" w:eastAsia="宋体" w:cs="宋体"/>
                <w:color w:val="auto"/>
                <w:spacing w:val="0"/>
                <w:sz w:val="20"/>
                <w:szCs w:val="20"/>
                <w:highlight w:val="none"/>
              </w:rPr>
            </w:pPr>
          </w:p>
        </w:tc>
        <w:tc>
          <w:tcPr>
            <w:tcW w:w="1050" w:type="dxa"/>
            <w:noWrap w:val="0"/>
            <w:vAlign w:val="center"/>
          </w:tcPr>
          <w:p>
            <w:pPr>
              <w:adjustRightInd w:val="0"/>
              <w:snapToGrid w:val="0"/>
              <w:spacing w:line="360" w:lineRule="auto"/>
              <w:jc w:val="center"/>
              <w:rPr>
                <w:rFonts w:hint="eastAsia" w:ascii="宋体" w:hAnsi="宋体" w:eastAsia="宋体" w:cs="宋体"/>
                <w:color w:val="auto"/>
                <w:spacing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pPr>
              <w:adjustRightInd w:val="0"/>
              <w:snapToGrid w:val="0"/>
              <w:spacing w:line="360" w:lineRule="auto"/>
              <w:jc w:val="center"/>
              <w:rPr>
                <w:rFonts w:hint="eastAsia" w:ascii="宋体" w:hAnsi="宋体" w:eastAsia="宋体" w:cs="宋体"/>
                <w:color w:val="auto"/>
                <w:spacing w:val="0"/>
                <w:sz w:val="20"/>
                <w:szCs w:val="20"/>
                <w:highlight w:val="none"/>
                <w:lang w:eastAsia="zh-CN"/>
              </w:rPr>
            </w:pPr>
            <w:r>
              <w:rPr>
                <w:rFonts w:hint="eastAsia" w:ascii="宋体" w:hAnsi="宋体" w:cs="宋体"/>
                <w:color w:val="auto"/>
                <w:spacing w:val="0"/>
                <w:sz w:val="20"/>
                <w:szCs w:val="20"/>
                <w:highlight w:val="none"/>
                <w:lang w:val="en-US" w:eastAsia="zh-CN"/>
              </w:rPr>
              <w:t>4</w:t>
            </w:r>
          </w:p>
        </w:tc>
        <w:tc>
          <w:tcPr>
            <w:tcW w:w="1611" w:type="dxa"/>
            <w:noWrap w:val="0"/>
            <w:vAlign w:val="center"/>
          </w:tcPr>
          <w:p>
            <w:pPr>
              <w:adjustRightInd w:val="0"/>
              <w:snapToGrid w:val="0"/>
              <w:spacing w:line="360" w:lineRule="auto"/>
              <w:jc w:val="center"/>
              <w:rPr>
                <w:rFonts w:hint="eastAsia" w:ascii="宋体" w:hAnsi="宋体" w:eastAsia="宋体" w:cs="宋体"/>
                <w:color w:val="auto"/>
                <w:spacing w:val="0"/>
                <w:sz w:val="20"/>
                <w:szCs w:val="20"/>
                <w:highlight w:val="none"/>
              </w:rPr>
            </w:pPr>
            <w:r>
              <w:rPr>
                <w:rFonts w:hint="eastAsia"/>
                <w:color w:val="auto"/>
                <w:highlight w:val="none"/>
                <w:lang w:val="en-US" w:eastAsia="zh-CN"/>
              </w:rPr>
              <w:t>投标报价</w:t>
            </w:r>
          </w:p>
        </w:tc>
        <w:tc>
          <w:tcPr>
            <w:tcW w:w="1778" w:type="dxa"/>
            <w:noWrap w:val="0"/>
            <w:vAlign w:val="center"/>
          </w:tcPr>
          <w:p>
            <w:pPr>
              <w:adjustRightInd w:val="0"/>
              <w:snapToGrid w:val="0"/>
              <w:spacing w:line="360" w:lineRule="auto"/>
              <w:jc w:val="center"/>
              <w:rPr>
                <w:rFonts w:hint="eastAsia"/>
                <w:color w:val="auto"/>
                <w:highlight w:val="none"/>
                <w:lang w:val="en-US" w:eastAsia="zh-CN"/>
              </w:rPr>
            </w:pPr>
            <w:r>
              <w:rPr>
                <w:rFonts w:hint="eastAsia"/>
                <w:color w:val="auto"/>
                <w:highlight w:val="none"/>
                <w:lang w:val="en-US" w:eastAsia="zh-CN"/>
              </w:rPr>
              <w:t>按投标文件内容提供</w:t>
            </w:r>
          </w:p>
        </w:tc>
        <w:tc>
          <w:tcPr>
            <w:tcW w:w="2269" w:type="dxa"/>
            <w:noWrap w:val="0"/>
            <w:vAlign w:val="center"/>
          </w:tcPr>
          <w:p>
            <w:pPr>
              <w:adjustRightInd w:val="0"/>
              <w:snapToGrid w:val="0"/>
              <w:spacing w:line="360" w:lineRule="auto"/>
              <w:jc w:val="left"/>
              <w:rPr>
                <w:rFonts w:hint="eastAsia" w:ascii="宋体" w:hAnsi="宋体" w:eastAsia="宋体" w:cs="宋体"/>
                <w:color w:val="auto"/>
                <w:spacing w:val="0"/>
                <w:sz w:val="20"/>
                <w:szCs w:val="20"/>
                <w:highlight w:val="none"/>
              </w:rPr>
            </w:pPr>
          </w:p>
        </w:tc>
        <w:tc>
          <w:tcPr>
            <w:tcW w:w="1836" w:type="dxa"/>
            <w:noWrap w:val="0"/>
            <w:vAlign w:val="top"/>
          </w:tcPr>
          <w:p>
            <w:pPr>
              <w:adjustRightInd w:val="0"/>
              <w:snapToGrid w:val="0"/>
              <w:spacing w:line="360" w:lineRule="auto"/>
              <w:jc w:val="center"/>
              <w:rPr>
                <w:rFonts w:hint="eastAsia" w:ascii="宋体" w:hAnsi="宋体" w:eastAsia="宋体" w:cs="宋体"/>
                <w:color w:val="auto"/>
                <w:spacing w:val="0"/>
                <w:sz w:val="20"/>
                <w:szCs w:val="20"/>
                <w:highlight w:val="none"/>
              </w:rPr>
            </w:pPr>
          </w:p>
        </w:tc>
        <w:tc>
          <w:tcPr>
            <w:tcW w:w="1050" w:type="dxa"/>
            <w:noWrap w:val="0"/>
            <w:vAlign w:val="center"/>
          </w:tcPr>
          <w:p>
            <w:pPr>
              <w:adjustRightInd w:val="0"/>
              <w:snapToGrid w:val="0"/>
              <w:spacing w:line="360" w:lineRule="auto"/>
              <w:jc w:val="center"/>
              <w:rPr>
                <w:rFonts w:hint="eastAsia" w:ascii="宋体" w:hAnsi="宋体" w:eastAsia="宋体" w:cs="宋体"/>
                <w:color w:val="auto"/>
                <w:spacing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pPr>
              <w:adjustRightInd w:val="0"/>
              <w:snapToGrid w:val="0"/>
              <w:spacing w:line="360" w:lineRule="auto"/>
              <w:jc w:val="center"/>
              <w:rPr>
                <w:rFonts w:hint="eastAsia" w:ascii="宋体" w:hAnsi="宋体" w:eastAsia="宋体" w:cs="宋体"/>
                <w:color w:val="auto"/>
                <w:spacing w:val="0"/>
                <w:sz w:val="20"/>
                <w:szCs w:val="20"/>
                <w:highlight w:val="none"/>
                <w:lang w:eastAsia="zh-CN"/>
              </w:rPr>
            </w:pPr>
            <w:r>
              <w:rPr>
                <w:rFonts w:hint="eastAsia" w:ascii="宋体" w:hAnsi="宋体" w:cs="宋体"/>
                <w:color w:val="auto"/>
                <w:spacing w:val="0"/>
                <w:sz w:val="20"/>
                <w:szCs w:val="20"/>
                <w:highlight w:val="none"/>
                <w:lang w:val="en-US" w:eastAsia="zh-CN"/>
              </w:rPr>
              <w:t>5</w:t>
            </w:r>
          </w:p>
        </w:tc>
        <w:tc>
          <w:tcPr>
            <w:tcW w:w="1611" w:type="dxa"/>
            <w:noWrap w:val="0"/>
            <w:vAlign w:val="center"/>
          </w:tcPr>
          <w:p>
            <w:pPr>
              <w:adjustRightInd w:val="0"/>
              <w:snapToGrid w:val="0"/>
              <w:spacing w:line="360" w:lineRule="auto"/>
              <w:jc w:val="center"/>
              <w:rPr>
                <w:rFonts w:hint="eastAsia" w:ascii="宋体" w:hAnsi="宋体" w:eastAsia="宋体" w:cs="宋体"/>
                <w:color w:val="auto"/>
                <w:spacing w:val="0"/>
                <w:sz w:val="20"/>
                <w:szCs w:val="20"/>
                <w:highlight w:val="none"/>
              </w:rPr>
            </w:pPr>
            <w:r>
              <w:rPr>
                <w:rFonts w:hint="eastAsia"/>
                <w:color w:val="auto"/>
                <w:highlight w:val="none"/>
                <w:lang w:val="en-US" w:eastAsia="zh-CN"/>
              </w:rPr>
              <w:t>拟派团队管理能力与水平</w:t>
            </w:r>
          </w:p>
        </w:tc>
        <w:tc>
          <w:tcPr>
            <w:tcW w:w="1778" w:type="dxa"/>
            <w:noWrap w:val="0"/>
            <w:vAlign w:val="center"/>
          </w:tcPr>
          <w:p>
            <w:pPr>
              <w:adjustRightInd w:val="0"/>
              <w:snapToGrid w:val="0"/>
              <w:spacing w:line="360" w:lineRule="auto"/>
              <w:jc w:val="center"/>
              <w:rPr>
                <w:rFonts w:hint="eastAsia"/>
                <w:color w:val="auto"/>
                <w:highlight w:val="none"/>
                <w:lang w:val="en-US" w:eastAsia="zh-CN"/>
              </w:rPr>
            </w:pPr>
            <w:r>
              <w:rPr>
                <w:rFonts w:hint="eastAsia"/>
                <w:color w:val="auto"/>
                <w:highlight w:val="none"/>
                <w:lang w:val="en-US" w:eastAsia="zh-CN"/>
              </w:rPr>
              <w:t>按投标文件内容提供</w:t>
            </w:r>
          </w:p>
        </w:tc>
        <w:tc>
          <w:tcPr>
            <w:tcW w:w="2269" w:type="dxa"/>
            <w:noWrap w:val="0"/>
            <w:vAlign w:val="center"/>
          </w:tcPr>
          <w:p>
            <w:pPr>
              <w:adjustRightInd w:val="0"/>
              <w:snapToGrid w:val="0"/>
              <w:spacing w:line="360" w:lineRule="auto"/>
              <w:jc w:val="left"/>
              <w:rPr>
                <w:rFonts w:hint="eastAsia" w:ascii="宋体" w:hAnsi="宋体" w:eastAsia="宋体" w:cs="宋体"/>
                <w:color w:val="auto"/>
                <w:spacing w:val="0"/>
                <w:sz w:val="20"/>
                <w:szCs w:val="20"/>
                <w:highlight w:val="none"/>
              </w:rPr>
            </w:pPr>
          </w:p>
        </w:tc>
        <w:tc>
          <w:tcPr>
            <w:tcW w:w="1836" w:type="dxa"/>
            <w:noWrap w:val="0"/>
            <w:vAlign w:val="top"/>
          </w:tcPr>
          <w:p>
            <w:pPr>
              <w:adjustRightInd w:val="0"/>
              <w:snapToGrid w:val="0"/>
              <w:spacing w:line="360" w:lineRule="auto"/>
              <w:jc w:val="center"/>
              <w:rPr>
                <w:rFonts w:hint="eastAsia" w:ascii="宋体" w:hAnsi="宋体" w:eastAsia="宋体" w:cs="宋体"/>
                <w:color w:val="auto"/>
                <w:spacing w:val="0"/>
                <w:sz w:val="20"/>
                <w:szCs w:val="20"/>
                <w:highlight w:val="none"/>
              </w:rPr>
            </w:pPr>
          </w:p>
        </w:tc>
        <w:tc>
          <w:tcPr>
            <w:tcW w:w="1050" w:type="dxa"/>
            <w:noWrap w:val="0"/>
            <w:vAlign w:val="center"/>
          </w:tcPr>
          <w:p>
            <w:pPr>
              <w:adjustRightInd w:val="0"/>
              <w:snapToGrid w:val="0"/>
              <w:spacing w:line="360" w:lineRule="auto"/>
              <w:jc w:val="center"/>
              <w:rPr>
                <w:rFonts w:hint="eastAsia" w:ascii="宋体" w:hAnsi="宋体" w:eastAsia="宋体" w:cs="宋体"/>
                <w:color w:val="auto"/>
                <w:spacing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pPr>
              <w:adjustRightInd w:val="0"/>
              <w:snapToGrid w:val="0"/>
              <w:spacing w:line="360" w:lineRule="auto"/>
              <w:jc w:val="center"/>
              <w:rPr>
                <w:rFonts w:hint="eastAsia" w:ascii="宋体" w:hAnsi="宋体" w:eastAsia="宋体" w:cs="宋体"/>
                <w:color w:val="auto"/>
                <w:spacing w:val="0"/>
                <w:sz w:val="20"/>
                <w:szCs w:val="20"/>
                <w:highlight w:val="none"/>
              </w:rPr>
            </w:pPr>
            <w:r>
              <w:rPr>
                <w:rFonts w:hint="eastAsia" w:ascii="宋体" w:hAnsi="宋体" w:eastAsia="宋体" w:cs="宋体"/>
                <w:color w:val="auto"/>
                <w:spacing w:val="0"/>
                <w:sz w:val="20"/>
                <w:szCs w:val="20"/>
                <w:highlight w:val="none"/>
              </w:rPr>
              <w:t>……</w:t>
            </w:r>
          </w:p>
        </w:tc>
        <w:tc>
          <w:tcPr>
            <w:tcW w:w="1611" w:type="dxa"/>
            <w:noWrap w:val="0"/>
            <w:vAlign w:val="center"/>
          </w:tcPr>
          <w:p>
            <w:pPr>
              <w:adjustRightInd w:val="0"/>
              <w:snapToGrid w:val="0"/>
              <w:spacing w:line="360" w:lineRule="auto"/>
              <w:jc w:val="center"/>
              <w:rPr>
                <w:rFonts w:hint="eastAsia" w:ascii="宋体" w:hAnsi="宋体" w:eastAsia="宋体" w:cs="宋体"/>
                <w:color w:val="auto"/>
                <w:spacing w:val="0"/>
                <w:sz w:val="20"/>
                <w:szCs w:val="20"/>
                <w:highlight w:val="none"/>
              </w:rPr>
            </w:pPr>
          </w:p>
        </w:tc>
        <w:tc>
          <w:tcPr>
            <w:tcW w:w="1778" w:type="dxa"/>
            <w:noWrap w:val="0"/>
            <w:vAlign w:val="center"/>
          </w:tcPr>
          <w:p>
            <w:pPr>
              <w:adjustRightInd w:val="0"/>
              <w:snapToGrid w:val="0"/>
              <w:spacing w:line="360" w:lineRule="auto"/>
              <w:jc w:val="center"/>
              <w:rPr>
                <w:rFonts w:hint="eastAsia" w:ascii="宋体" w:hAnsi="宋体" w:eastAsia="宋体" w:cs="宋体"/>
                <w:color w:val="auto"/>
                <w:spacing w:val="0"/>
                <w:sz w:val="20"/>
                <w:szCs w:val="20"/>
                <w:highlight w:val="none"/>
              </w:rPr>
            </w:pPr>
          </w:p>
        </w:tc>
        <w:tc>
          <w:tcPr>
            <w:tcW w:w="2269" w:type="dxa"/>
            <w:noWrap w:val="0"/>
            <w:vAlign w:val="center"/>
          </w:tcPr>
          <w:p>
            <w:pPr>
              <w:adjustRightInd w:val="0"/>
              <w:snapToGrid w:val="0"/>
              <w:spacing w:line="360" w:lineRule="auto"/>
              <w:jc w:val="left"/>
              <w:rPr>
                <w:rFonts w:hint="eastAsia" w:ascii="宋体" w:hAnsi="宋体" w:eastAsia="宋体" w:cs="宋体"/>
                <w:color w:val="auto"/>
                <w:spacing w:val="0"/>
                <w:sz w:val="20"/>
                <w:szCs w:val="20"/>
                <w:highlight w:val="none"/>
              </w:rPr>
            </w:pPr>
          </w:p>
        </w:tc>
        <w:tc>
          <w:tcPr>
            <w:tcW w:w="1836" w:type="dxa"/>
            <w:noWrap w:val="0"/>
            <w:vAlign w:val="top"/>
          </w:tcPr>
          <w:p>
            <w:pPr>
              <w:adjustRightInd w:val="0"/>
              <w:snapToGrid w:val="0"/>
              <w:spacing w:line="360" w:lineRule="auto"/>
              <w:jc w:val="center"/>
              <w:rPr>
                <w:rFonts w:hint="eastAsia" w:ascii="宋体" w:hAnsi="宋体" w:eastAsia="宋体" w:cs="宋体"/>
                <w:color w:val="auto"/>
                <w:spacing w:val="0"/>
                <w:sz w:val="20"/>
                <w:szCs w:val="20"/>
                <w:highlight w:val="none"/>
              </w:rPr>
            </w:pPr>
          </w:p>
        </w:tc>
        <w:tc>
          <w:tcPr>
            <w:tcW w:w="1050" w:type="dxa"/>
            <w:noWrap w:val="0"/>
            <w:vAlign w:val="center"/>
          </w:tcPr>
          <w:p>
            <w:pPr>
              <w:adjustRightInd w:val="0"/>
              <w:snapToGrid w:val="0"/>
              <w:spacing w:line="360" w:lineRule="auto"/>
              <w:jc w:val="center"/>
              <w:rPr>
                <w:rFonts w:hint="eastAsia" w:ascii="宋体" w:hAnsi="宋体" w:eastAsia="宋体" w:cs="宋体"/>
                <w:color w:val="auto"/>
                <w:spacing w:val="0"/>
                <w:sz w:val="20"/>
                <w:szCs w:val="20"/>
                <w:highlight w:val="none"/>
              </w:rPr>
            </w:pPr>
          </w:p>
        </w:tc>
      </w:tr>
    </w:tbl>
    <w:p>
      <w:pPr>
        <w:rPr>
          <w:color w:val="auto"/>
        </w:rPr>
      </w:pPr>
    </w:p>
    <w:sectPr>
      <w:headerReference r:id="rId5" w:type="default"/>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38A14D"/>
    <w:multiLevelType w:val="singleLevel"/>
    <w:tmpl w:val="A738A14D"/>
    <w:lvl w:ilvl="0" w:tentative="0">
      <w:start w:val="3"/>
      <w:numFmt w:val="decimal"/>
      <w:lvlText w:val="%1."/>
      <w:lvlJc w:val="left"/>
      <w:pPr>
        <w:tabs>
          <w:tab w:val="left" w:pos="312"/>
        </w:tabs>
      </w:pPr>
    </w:lvl>
  </w:abstractNum>
  <w:abstractNum w:abstractNumId="1">
    <w:nsid w:val="569C8C25"/>
    <w:multiLevelType w:val="singleLevel"/>
    <w:tmpl w:val="569C8C25"/>
    <w:lvl w:ilvl="0" w:tentative="0">
      <w:start w:val="1"/>
      <w:numFmt w:val="chineseCounting"/>
      <w:suff w:val="nothing"/>
      <w:lvlText w:val="%1、"/>
      <w:lvlJc w:val="left"/>
    </w:lvl>
  </w:abstractNum>
  <w:abstractNum w:abstractNumId="2">
    <w:nsid w:val="723B01DB"/>
    <w:multiLevelType w:val="singleLevel"/>
    <w:tmpl w:val="723B01DB"/>
    <w:lvl w:ilvl="0" w:tentative="0">
      <w:start w:val="1"/>
      <w:numFmt w:val="japaneseCounting"/>
      <w:lvlText w:val="第%1条"/>
      <w:lvlJc w:val="left"/>
      <w:pPr>
        <w:tabs>
          <w:tab w:val="left" w:pos="1080"/>
        </w:tabs>
        <w:ind w:left="1080" w:hanging="108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FE7A38"/>
    <w:rsid w:val="18155A97"/>
    <w:rsid w:val="2CE44D15"/>
    <w:rsid w:val="42901FC2"/>
    <w:rsid w:val="44C516F4"/>
    <w:rsid w:val="45961CFC"/>
    <w:rsid w:val="46C87FF5"/>
    <w:rsid w:val="480D37FF"/>
    <w:rsid w:val="498E3D53"/>
    <w:rsid w:val="5BA96207"/>
    <w:rsid w:val="66E97003"/>
    <w:rsid w:val="6916453B"/>
    <w:rsid w:val="75E67943"/>
    <w:rsid w:val="79892D64"/>
    <w:rsid w:val="7B384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5"/>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unhideWhenUsed/>
    <w:qFormat/>
    <w:uiPriority w:val="0"/>
    <w:pPr>
      <w:ind w:left="840"/>
      <w:jc w:val="left"/>
    </w:pPr>
    <w:rPr>
      <w:sz w:val="18"/>
      <w:szCs w:val="18"/>
    </w:rPr>
  </w:style>
  <w:style w:type="paragraph" w:styleId="5">
    <w:name w:val="List Paragraph"/>
    <w:basedOn w:val="1"/>
    <w:qFormat/>
    <w:uiPriority w:val="34"/>
    <w:pPr>
      <w:ind w:firstLine="420"/>
    </w:pPr>
  </w:style>
  <w:style w:type="paragraph" w:styleId="7">
    <w:name w:val="caption"/>
    <w:basedOn w:val="1"/>
    <w:next w:val="1"/>
    <w:qFormat/>
    <w:uiPriority w:val="0"/>
    <w:rPr>
      <w:rFonts w:ascii="Cambria" w:hAnsi="Cambria" w:eastAsia="黑体" w:cs="Times New Roman"/>
      <w:sz w:val="20"/>
      <w:szCs w:val="20"/>
    </w:rPr>
  </w:style>
  <w:style w:type="paragraph" w:styleId="8">
    <w:name w:val="annotation text"/>
    <w:basedOn w:val="1"/>
    <w:qFormat/>
    <w:uiPriority w:val="0"/>
    <w:pPr>
      <w:jc w:val="left"/>
    </w:pPr>
  </w:style>
  <w:style w:type="paragraph" w:styleId="9">
    <w:name w:val="Body Text 3"/>
    <w:basedOn w:val="1"/>
    <w:qFormat/>
    <w:uiPriority w:val="0"/>
    <w:pPr>
      <w:spacing w:after="120"/>
    </w:pPr>
    <w:rPr>
      <w:sz w:val="16"/>
      <w:szCs w:val="16"/>
    </w:rPr>
  </w:style>
  <w:style w:type="paragraph" w:styleId="10">
    <w:name w:val="Body Text Indent"/>
    <w:basedOn w:val="1"/>
    <w:next w:val="11"/>
    <w:qFormat/>
    <w:uiPriority w:val="0"/>
    <w:pPr>
      <w:ind w:firstLine="830" w:firstLineChars="352"/>
    </w:pPr>
    <w:rPr>
      <w:rFonts w:ascii="仿宋_GB2312" w:eastAsia="仿宋_GB2312"/>
      <w:sz w:val="32"/>
      <w:szCs w:val="20"/>
    </w:rPr>
  </w:style>
  <w:style w:type="paragraph" w:styleId="11">
    <w:name w:val="envelope return"/>
    <w:basedOn w:val="1"/>
    <w:qFormat/>
    <w:uiPriority w:val="0"/>
    <w:pPr>
      <w:snapToGrid w:val="0"/>
    </w:pPr>
    <w:rPr>
      <w:rFonts w:ascii="Arial" w:hAnsi="Arial"/>
    </w:rPr>
  </w:style>
  <w:style w:type="paragraph" w:styleId="12">
    <w:name w:val="List 2"/>
    <w:basedOn w:val="1"/>
    <w:qFormat/>
    <w:uiPriority w:val="0"/>
    <w:pPr>
      <w:ind w:left="100" w:leftChars="200" w:hanging="200" w:hangingChars="200"/>
    </w:pPr>
  </w:style>
  <w:style w:type="paragraph" w:styleId="13">
    <w:name w:val="Plain Text"/>
    <w:basedOn w:val="1"/>
    <w:qFormat/>
    <w:uiPriority w:val="0"/>
    <w:rPr>
      <w:rFonts w:ascii="宋体" w:hAnsi="Courier New" w:cs="Courier New"/>
      <w:szCs w:val="21"/>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列表段落"/>
    <w:basedOn w:val="1"/>
    <w:qFormat/>
    <w:uiPriority w:val="34"/>
    <w:pPr>
      <w:ind w:firstLine="420"/>
    </w:pPr>
  </w:style>
  <w:style w:type="paragraph" w:customStyle="1" w:styleId="21">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paragraph" w:customStyle="1" w:styleId="22">
    <w:name w:val="表格文字"/>
    <w:basedOn w:val="10"/>
    <w:next w:val="1"/>
    <w:qFormat/>
    <w:uiPriority w:val="0"/>
    <w:pPr>
      <w:spacing w:before="25" w:after="25"/>
      <w:jc w:val="left"/>
    </w:pPr>
    <w:rPr>
      <w:bCs/>
      <w:spacing w:val="10"/>
      <w:kern w:val="0"/>
    </w:rPr>
  </w:style>
  <w:style w:type="paragraph" w:customStyle="1" w:styleId="23">
    <w:name w:val="正文_0"/>
    <w:qFormat/>
    <w:uiPriority w:val="0"/>
    <w:pPr>
      <w:widowControl w:val="0"/>
      <w:jc w:val="both"/>
    </w:pPr>
    <w:rPr>
      <w:rFonts w:ascii="Arial Unicode MS" w:hAnsi="Arial Unicode MS" w:eastAsia="Arial Unicode MS" w:cs="Arial Unicode MS"/>
      <w:color w:val="000000"/>
      <w:kern w:val="2"/>
      <w:sz w:val="21"/>
      <w:szCs w:val="21"/>
      <w:lang w:val="en-US" w:eastAsia="zh-CN" w:bidi="ar-SA"/>
    </w:rPr>
  </w:style>
  <w:style w:type="paragraph" w:customStyle="1" w:styleId="24">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25">
    <w:name w:val="null3"/>
    <w:qFormat/>
    <w:uiPriority w:val="0"/>
    <w:rPr>
      <w:rFonts w:hint="eastAsia" w:ascii="Calibri" w:hAnsi="Calibri" w:eastAsia="宋体" w:cs="Times New Roman"/>
      <w:lang w:val="en-US" w:eastAsia="zh-Hans"/>
    </w:rPr>
  </w:style>
  <w:style w:type="paragraph" w:customStyle="1" w:styleId="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
    <w:name w:val="题注4"/>
    <w:basedOn w:val="1"/>
    <w:next w:val="7"/>
    <w:qFormat/>
    <w:uiPriority w:val="0"/>
    <w:pPr>
      <w:ind w:left="-132" w:leftChars="-64" w:right="-105" w:rightChars="-50" w:hanging="2"/>
      <w:jc w:val="center"/>
    </w:pPr>
    <w:rPr>
      <w:b/>
      <w:color w:val="FF0000"/>
      <w:szCs w:val="21"/>
      <w:lang w:val="en-GB"/>
    </w:rPr>
  </w:style>
  <w:style w:type="paragraph" w:customStyle="1" w:styleId="28">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2427</Words>
  <Characters>2651</Characters>
  <Lines>0</Lines>
  <Paragraphs>0</Paragraphs>
  <TotalTime>16</TotalTime>
  <ScaleCrop>false</ScaleCrop>
  <LinksUpToDate>false</LinksUpToDate>
  <CharactersWithSpaces>2750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2025-04-28T06:40:00Z</dcterms:created>
  <dc:creator>Administrator</dc:creator>
  <cp:lastModifiedBy>何(Hjh)</cp:lastModifiedBy>
  <dcterms:modified xsi:type="dcterms:W3CDTF">2025-05-21T09:34:00Z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KSOTemplateDocerSaveRecord">
    <vt:lpwstr>eyJoZGlkIjoiZGIwZjQzNDZhODQwMTUzM2MzNjVmNTk4NzMwMmY1YTciLCJ1c2VySWQiOiI2ODkyMjEwNDEifQ==</vt:lpwstr>
  </property>
  <property fmtid="{D5CDD505-2E9C-101B-9397-08002B2CF9AE}" pid="4" name="ICV">
    <vt:lpwstr>E19C97EA3DC64DFFA6CB3F40F23742E8_12</vt:lpwstr>
  </property>
</Properties>
</file>