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cs="Times New Roman"/>
          <w:b/>
          <w:bCs/>
          <w:sz w:val="32"/>
          <w:szCs w:val="32"/>
          <w:highlight w:val="none"/>
          <w:lang w:val="en-US" w:eastAsia="zh-CN"/>
        </w:rPr>
        <w:t>附件一2022年第六批医疗设备（注射泵）</w:t>
      </w:r>
      <w:r>
        <w:rPr>
          <w:rStyle w:val="8"/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需求书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单价最高限价：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0.85万元/套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数量：10套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一、技术要求：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▲1.注射速度设定范围大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: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可使用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5ml`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使用50ml注射器时，最大可以设定到2000ml/h。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▲2KVO速度：0.1~5.0ml/h。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▲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内置电池：锂电池11.1V 1500mAh，连续使用时间：不小于6小时。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▲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注射精度：机械精度：±1%，包括注射器的精度：±2%。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二、单台产品配置要求：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1.主机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2.托盘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3.交流电源线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  <w:lang w:eastAsia="zh-CN"/>
        </w:rPr>
        <w:t>三、质保期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:三年</w:t>
      </w:r>
    </w:p>
    <w:p>
      <w:pPr>
        <w:numPr>
          <w:ilvl w:val="0"/>
          <w:numId w:val="0"/>
        </w:numPr>
        <w:spacing w:line="360" w:lineRule="auto"/>
        <w:rPr>
          <w:rFonts w:hint="eastAsia"/>
          <w:b w:val="0"/>
          <w:bCs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NGY5NDNlOWE0NGQ3NDUxMGU2Yjc5YTg1ODAwZDAifQ=="/>
  </w:docVars>
  <w:rsids>
    <w:rsidRoot w:val="02D50B7C"/>
    <w:rsid w:val="02D50B7C"/>
    <w:rsid w:val="08AE7EA7"/>
    <w:rsid w:val="148A26A1"/>
    <w:rsid w:val="1941362D"/>
    <w:rsid w:val="19B579D5"/>
    <w:rsid w:val="22C85FA3"/>
    <w:rsid w:val="3DA9365C"/>
    <w:rsid w:val="56840A94"/>
    <w:rsid w:val="59F8267E"/>
    <w:rsid w:val="695C5AE3"/>
    <w:rsid w:val="782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211</Characters>
  <Lines>0</Lines>
  <Paragraphs>0</Paragraphs>
  <TotalTime>7</TotalTime>
  <ScaleCrop>false</ScaleCrop>
  <LinksUpToDate>false</LinksUpToDate>
  <CharactersWithSpaces>212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2022-12-30T04:12:00Z</dcterms:created>
  <dc:creator>**燕</dc:creator>
  <cp:lastModifiedBy>**燕</cp:lastModifiedBy>
  <dcterms:modified xsi:type="dcterms:W3CDTF">2023-01-05T04:04:08Z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9D47BEDB05D14BCBA16C9640837C2D11</vt:lpwstr>
  </property>
</Properties>
</file>