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bookmarkStart w:id="1" w:name="OLE_LINK3"/>
      <w:r>
        <w:rPr>
          <w:rFonts w:hint="eastAsia" w:ascii="仿宋" w:hAnsi="仿宋" w:eastAsia="仿宋" w:cs="仿宋"/>
          <w:b/>
          <w:color w:val="auto"/>
          <w:sz w:val="28"/>
          <w:szCs w:val="28"/>
          <w:highlight w:val="none"/>
          <w:lang w:val="en-US" w:eastAsia="zh-CN"/>
        </w:rPr>
        <w:t>ZCB-YN-2025005</w:t>
      </w:r>
      <w:bookmarkEnd w:id="1"/>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中医四诊仪采购项目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惠州市第一妇幼保健院中医四诊仪采购项目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ZCB-YN-2025005</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惠州市第一妇幼保健院中医四诊仪采购项目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惠州市第一妇幼保健院中医四诊仪采购项目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套</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75600.00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6"/>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pacing w:line="40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根据惠州市卫生健康局下发的《惠州市“数字中医”项目试点实施方案》的通知，为更好地做好惠州市“数字中医”项目试点工作，需要采购一台中医四诊仪。</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pStyle w:val="2"/>
        <w:ind w:firstLine="241" w:firstLineChars="100"/>
        <w:rPr>
          <w:rFonts w:hint="eastAsia"/>
          <w:color w:val="auto"/>
          <w:lang w:val="zh-CN"/>
        </w:rPr>
      </w:pPr>
      <w:r>
        <w:rPr>
          <w:rFonts w:hint="eastAsia" w:ascii="仿宋" w:hAnsi="仿宋" w:eastAsia="仿宋" w:cs="仿宋"/>
          <w:b/>
          <w:bCs/>
          <w:color w:val="auto"/>
          <w:sz w:val="24"/>
          <w:highlight w:val="none"/>
          <w:lang w:val="zh-CN"/>
        </w:rPr>
        <w:t>（一）设备清单</w:t>
      </w:r>
    </w:p>
    <w:tbl>
      <w:tblPr>
        <w:tblStyle w:val="13"/>
        <w:tblpPr w:leftFromText="180" w:rightFromText="180" w:vertAnchor="text" w:horzAnchor="page" w:tblpX="1707" w:tblpY="378"/>
        <w:tblOverlap w:val="never"/>
        <w:tblW w:w="8433" w:type="dxa"/>
        <w:jc w:val="center"/>
        <w:tblLayout w:type="fixed"/>
        <w:tblCellMar>
          <w:top w:w="0" w:type="dxa"/>
          <w:left w:w="0" w:type="dxa"/>
          <w:bottom w:w="0" w:type="dxa"/>
          <w:right w:w="0" w:type="dxa"/>
        </w:tblCellMar>
      </w:tblPr>
      <w:tblGrid>
        <w:gridCol w:w="635"/>
        <w:gridCol w:w="1560"/>
        <w:gridCol w:w="765"/>
        <w:gridCol w:w="1657"/>
        <w:gridCol w:w="1644"/>
        <w:gridCol w:w="1008"/>
        <w:gridCol w:w="1164"/>
      </w:tblGrid>
      <w:tr>
        <w:tblPrEx>
          <w:tblCellMar>
            <w:top w:w="0" w:type="dxa"/>
            <w:left w:w="0" w:type="dxa"/>
            <w:bottom w:w="0" w:type="dxa"/>
            <w:right w:w="0"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数量（套）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单价最高限价</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总价最高限</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价（万元）</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整机质保（年）</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是否允许进口</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中医四诊仪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7.56</w:t>
            </w:r>
          </w:p>
        </w:tc>
        <w:tc>
          <w:tcPr>
            <w:tcW w:w="1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7.56</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bl>
    <w:p>
      <w:pPr>
        <w:numPr>
          <w:ilvl w:val="0"/>
          <w:numId w:val="3"/>
        </w:numPr>
        <w:spacing w:line="380" w:lineRule="exact"/>
        <w:ind w:left="421" w:leftChars="0" w:firstLine="0" w:firstLineChars="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其他要求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auto"/>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rPr>
        <w:t>所投产品纳入医疗器械管理的，提供以下材料（如国家另有规定，则适用其规定）：第二类或第三类医疗器械产品，须提供产品合法有效的《中华人民共和国医疗器械注册证》扫描件，且所投产品型号必须与医疗器械注册证显示型号一致（注册证过期的，须提供网上可以查询的延期公告，如因其他特殊原因查询不到，须提供监督管理局受理的医疗器械注册延期通知书；涉及型号变更的须提供监督管理部门审核通过的变更文件）。 第一类医疗器械产品，须提供产品《第一类医疗器械备案凭证》。所提供配置必须至少包括注册证结构与组成列明部分，且应符合注册证注册的产品技术要求</w:t>
      </w:r>
      <w:r>
        <w:rPr>
          <w:rFonts w:hint="eastAsia" w:ascii="仿宋" w:hAnsi="仿宋" w:eastAsia="仿宋" w:cs="仿宋"/>
          <w:color w:val="auto"/>
          <w:lang w:eastAsia="zh-CN"/>
        </w:rPr>
        <w:t>。</w:t>
      </w:r>
    </w:p>
    <w:p>
      <w:pPr>
        <w:numPr>
          <w:ilvl w:val="0"/>
          <w:numId w:val="3"/>
        </w:numPr>
        <w:spacing w:line="380" w:lineRule="exact"/>
        <w:ind w:left="421" w:leftChars="0" w:firstLine="0" w:firstLineChars="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技术参数及配置清单</w:t>
      </w:r>
    </w:p>
    <w:tbl>
      <w:tblPr>
        <w:tblStyle w:val="13"/>
        <w:tblW w:w="5199" w:type="pct"/>
        <w:jc w:val="center"/>
        <w:tblLayout w:type="autofit"/>
        <w:tblCellMar>
          <w:top w:w="0" w:type="dxa"/>
          <w:left w:w="0" w:type="dxa"/>
          <w:bottom w:w="0" w:type="dxa"/>
          <w:right w:w="0" w:type="dxa"/>
        </w:tblCellMar>
      </w:tblPr>
      <w:tblGrid>
        <w:gridCol w:w="801"/>
        <w:gridCol w:w="1996"/>
        <w:gridCol w:w="5067"/>
        <w:gridCol w:w="804"/>
      </w:tblGrid>
      <w:tr>
        <w:tblPrEx>
          <w:tblCellMar>
            <w:top w:w="0" w:type="dxa"/>
            <w:left w:w="0" w:type="dxa"/>
            <w:bottom w:w="0" w:type="dxa"/>
            <w:right w:w="0" w:type="dxa"/>
          </w:tblCellMar>
        </w:tblPrEx>
        <w:trPr>
          <w:trHeight w:val="438"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序号</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技术参数名称</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技术参数要求描述</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备注</w:t>
            </w:r>
          </w:p>
        </w:tc>
      </w:tr>
      <w:tr>
        <w:tblPrEx>
          <w:tblCellMar>
            <w:top w:w="0" w:type="dxa"/>
            <w:left w:w="0" w:type="dxa"/>
            <w:bottom w:w="0" w:type="dxa"/>
            <w:right w:w="0" w:type="dxa"/>
          </w:tblCellMar>
        </w:tblPrEx>
        <w:trPr>
          <w:trHeight w:val="452"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★1</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功能要求</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采集并分析舌象、面象、脉象以及辅助体质辨识，供中医辨证参考用。</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bidi="ar"/>
              </w:rPr>
            </w:pPr>
            <w:bookmarkStart w:id="2" w:name="OLE_LINK1"/>
            <w:r>
              <w:rPr>
                <w:rFonts w:hint="eastAsia" w:ascii="仿宋" w:hAnsi="仿宋" w:eastAsia="仿宋" w:cs="仿宋"/>
                <w:b/>
                <w:bCs/>
                <w:color w:val="auto"/>
                <w:kern w:val="0"/>
                <w:sz w:val="24"/>
                <w:lang w:bidi="ar"/>
              </w:rPr>
              <w:t>★</w:t>
            </w:r>
            <w:bookmarkEnd w:id="2"/>
            <w:r>
              <w:rPr>
                <w:rFonts w:hint="eastAsia" w:ascii="仿宋" w:hAnsi="仿宋" w:eastAsia="仿宋" w:cs="仿宋"/>
                <w:b/>
                <w:bCs/>
                <w:color w:val="auto"/>
                <w:kern w:val="0"/>
                <w:sz w:val="24"/>
                <w:lang w:bidi="ar"/>
              </w:rPr>
              <w:t>2</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监测参数</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至少包括：舌象、面象、脉象以及体质信息采集等。</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屏幕界面</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触摸屏设计</w:t>
            </w:r>
            <w:r>
              <w:rPr>
                <w:rFonts w:hint="eastAsia" w:ascii="仿宋" w:hAnsi="仿宋" w:eastAsia="仿宋" w:cs="仿宋"/>
                <w:color w:val="auto"/>
                <w:kern w:val="0"/>
                <w:sz w:val="24"/>
                <w:lang w:eastAsia="zh-CN" w:bidi="ar"/>
              </w:rPr>
              <w:t>。</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光学色温</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色温范围涵盖4500K～6500K。</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光学显色指数</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≥90%。（提供检测机构出具的性能检测报告复印件）</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舌象及面象摄像头</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分辨率≥2000万像素。</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舌象采集功能</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无需手动操作，支持软件控制摄像头自动拍照，进行舌象图像的采集。</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▲8</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舌象模块</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舌</w:t>
            </w:r>
            <w:r>
              <w:rPr>
                <w:rFonts w:hint="eastAsia" w:ascii="仿宋" w:hAnsi="仿宋" w:eastAsia="仿宋" w:cs="仿宋"/>
                <w:color w:val="auto"/>
                <w:kern w:val="0"/>
                <w:sz w:val="24"/>
                <w:highlight w:val="none"/>
                <w:lang w:bidi="ar"/>
              </w:rPr>
              <w:t>象报告</w:t>
            </w:r>
            <w:r>
              <w:rPr>
                <w:rFonts w:hint="eastAsia" w:ascii="仿宋" w:hAnsi="仿宋" w:eastAsia="仿宋" w:cs="仿宋"/>
                <w:color w:val="auto"/>
                <w:kern w:val="0"/>
                <w:sz w:val="24"/>
                <w:lang w:bidi="ar"/>
              </w:rPr>
              <w:t>功能：支持显示舌色、苔色、苔质、干湿度等至少十大类舌</w:t>
            </w:r>
            <w:r>
              <w:rPr>
                <w:rFonts w:hint="eastAsia" w:ascii="仿宋" w:hAnsi="仿宋" w:eastAsia="仿宋" w:cs="仿宋"/>
                <w:color w:val="auto"/>
                <w:kern w:val="0"/>
                <w:sz w:val="24"/>
                <w:highlight w:val="none"/>
                <w:lang w:bidi="ar"/>
              </w:rPr>
              <w:t>象素</w:t>
            </w:r>
            <w:r>
              <w:rPr>
                <w:rFonts w:hint="eastAsia" w:ascii="仿宋" w:hAnsi="仿宋" w:eastAsia="仿宋" w:cs="仿宋"/>
                <w:color w:val="auto"/>
                <w:kern w:val="0"/>
                <w:sz w:val="24"/>
                <w:lang w:bidi="ar"/>
              </w:rPr>
              <w:t>的定性结果和指标的量化值。</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9</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面象图像采集功能</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无需手动操作，支持软件控制摄像头自动拍照，进行面象图像的采集。</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▲10</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面象模块</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支持显示整体面色、整体光泽、眼眶色、口唇色、口唇干燥度等至少五大类面象要素。</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11</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脉率准确性</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脉率显示范围涵盖40次/分～200次/分，分辨率为1次/分，显示值的最大允许误差为±3次/分。</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12</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脉压准确性</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脉压采集范围涵盖5～180mmHg，显示值的最大允许误差为±10%。</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13</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脉象采集</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软件控制传感器设备，支持采集脉图数据，实时显示脉图采集波形。</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脉象报告</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支持报告显示脉图，脉图参数及脉位，脉势，节律，脉率等脉象要素。</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▲15</w:t>
            </w:r>
          </w:p>
        </w:tc>
        <w:tc>
          <w:tcPr>
            <w:tcW w:w="115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问诊采集分析及体质辨识单元</w:t>
            </w:r>
          </w:p>
        </w:tc>
        <w:tc>
          <w:tcPr>
            <w:tcW w:w="292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可以对中医九大体质做辨识判定，支持中医体质问卷，收集用户体质问答结果，依据中华中医药学会《中医体质分类与判定》，计算体质生成报告，报告中说明体质、状态和易患疾病。</w:t>
            </w:r>
          </w:p>
        </w:tc>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消毒功能</w:t>
            </w:r>
          </w:p>
        </w:tc>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设备内置紫外线消毒功能。</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数据管理</w:t>
            </w:r>
          </w:p>
        </w:tc>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信息录入功能：可创建病例，录入患者基本信息、主诉和现病史等；</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检索功能：支持查找历史病例，查看既往病例报告；</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档案管理功能：具备病例档案管理系统功能，能为每一位患者建立可追溯的个人病例档案，保存患者不同时期诊断结果。</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375"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★18</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数据连接</w:t>
            </w:r>
          </w:p>
        </w:tc>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eastAsia="zh-CN" w:bidi="ar"/>
              </w:rPr>
              <w:t>需开放端口与医院的</w:t>
            </w:r>
            <w:r>
              <w:rPr>
                <w:rFonts w:hint="eastAsia" w:ascii="仿宋" w:hAnsi="仿宋" w:eastAsia="仿宋" w:cs="仿宋"/>
                <w:b/>
                <w:bCs/>
                <w:color w:val="auto"/>
                <w:kern w:val="0"/>
                <w:sz w:val="24"/>
                <w:lang w:val="en-US" w:eastAsia="zh-CN" w:bidi="ar"/>
              </w:rPr>
              <w:t>his系统及电子病历系统对接</w:t>
            </w:r>
            <w:r>
              <w:rPr>
                <w:rFonts w:hint="eastAsia" w:ascii="仿宋" w:hAnsi="仿宋" w:eastAsia="仿宋" w:cs="仿宋"/>
                <w:b/>
                <w:bCs/>
                <w:color w:val="auto"/>
                <w:kern w:val="0"/>
                <w:sz w:val="24"/>
                <w:lang w:bidi="ar"/>
              </w:rPr>
              <w:t>，不收取费用。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455"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★19</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软件系统升级</w:t>
            </w:r>
          </w:p>
        </w:tc>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0"/>
                <w:sz w:val="24"/>
                <w:lang w:eastAsia="zh-CN" w:bidi="ar"/>
              </w:rPr>
            </w:pPr>
            <w:r>
              <w:rPr>
                <w:rFonts w:hint="eastAsia" w:ascii="仿宋" w:hAnsi="仿宋" w:eastAsia="仿宋" w:cs="仿宋"/>
                <w:b/>
                <w:bCs/>
                <w:color w:val="auto"/>
                <w:sz w:val="24"/>
                <w:highlight w:val="none"/>
                <w:lang w:val="en-US" w:eastAsia="zh-CN"/>
              </w:rPr>
              <w:t>为确保结果准确，生产商应负责终身升级。</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
                <w:color w:val="auto"/>
                <w:kern w:val="0"/>
                <w:sz w:val="24"/>
                <w:lang w:bidi="ar"/>
              </w:rPr>
            </w:pPr>
          </w:p>
        </w:tc>
      </w:tr>
      <w:tr>
        <w:tblPrEx>
          <w:tblCellMar>
            <w:top w:w="0" w:type="dxa"/>
            <w:left w:w="0" w:type="dxa"/>
            <w:bottom w:w="0" w:type="dxa"/>
            <w:right w:w="0" w:type="dxa"/>
          </w:tblCellMar>
        </w:tblPrEx>
        <w:trPr>
          <w:trHeight w:val="855"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20</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配置清单（单套）</w:t>
            </w:r>
          </w:p>
        </w:tc>
        <w:tc>
          <w:tcPr>
            <w:tcW w:w="2922" w:type="pct"/>
            <w:tcBorders>
              <w:top w:val="single" w:color="auto" w:sz="4" w:space="0"/>
              <w:left w:val="single" w:color="auto" w:sz="4" w:space="0"/>
              <w:bottom w:val="single" w:color="auto" w:sz="4" w:space="0"/>
              <w:right w:val="single" w:color="auto" w:sz="4" w:space="0"/>
            </w:tcBorders>
            <w:noWrap w:val="0"/>
            <w:vAlign w:val="center"/>
          </w:tcPr>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310"/>
              <w:gridCol w:w="99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序号</w:t>
                  </w:r>
                </w:p>
              </w:tc>
              <w:tc>
                <w:tcPr>
                  <w:tcW w:w="231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b w:val="0"/>
                      <w:bCs w:val="0"/>
                      <w:color w:val="auto"/>
                      <w:sz w:val="24"/>
                    </w:rPr>
                    <w:t>项目名称</w:t>
                  </w:r>
                </w:p>
              </w:tc>
              <w:tc>
                <w:tcPr>
                  <w:tcW w:w="990" w:type="dxa"/>
                  <w:vAlign w:val="top"/>
                </w:tcPr>
                <w:p>
                  <w:pPr>
                    <w:widowControl/>
                    <w:jc w:val="left"/>
                    <w:textAlignment w:val="center"/>
                    <w:rPr>
                      <w:rFonts w:hint="eastAsia"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lang w:eastAsia="zh-CN" w:bidi="ar"/>
                    </w:rPr>
                    <w:t>数量</w:t>
                  </w:r>
                </w:p>
              </w:tc>
              <w:tc>
                <w:tcPr>
                  <w:tcW w:w="1007" w:type="dxa"/>
                  <w:vAlign w:val="top"/>
                </w:tcPr>
                <w:p>
                  <w:pPr>
                    <w:widowControl/>
                    <w:jc w:val="left"/>
                    <w:textAlignment w:val="center"/>
                    <w:rPr>
                      <w:rFonts w:hint="eastAsia"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lang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1</w:t>
                  </w:r>
                </w:p>
              </w:tc>
              <w:tc>
                <w:tcPr>
                  <w:tcW w:w="231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主机</w:t>
                  </w:r>
                </w:p>
              </w:tc>
              <w:tc>
                <w:tcPr>
                  <w:tcW w:w="990" w:type="dxa"/>
                  <w:vAlign w:val="top"/>
                </w:tcPr>
                <w:p>
                  <w:pPr>
                    <w:widowControl/>
                    <w:jc w:val="left"/>
                    <w:textAlignment w:val="center"/>
                    <w:rPr>
                      <w:rFonts w:hint="eastAsia"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lang w:eastAsia="zh-CN" w:bidi="ar"/>
                    </w:rPr>
                    <w:t>1</w:t>
                  </w:r>
                </w:p>
              </w:tc>
              <w:tc>
                <w:tcPr>
                  <w:tcW w:w="1007" w:type="dxa"/>
                  <w:vAlign w:val="top"/>
                </w:tcPr>
                <w:p>
                  <w:pPr>
                    <w:widowControl/>
                    <w:jc w:val="left"/>
                    <w:textAlignment w:val="center"/>
                    <w:rPr>
                      <w:rFonts w:hint="eastAsia"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2</w:t>
                  </w:r>
                </w:p>
              </w:tc>
              <w:tc>
                <w:tcPr>
                  <w:tcW w:w="231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彩色图像输出设备</w:t>
                  </w:r>
                </w:p>
              </w:tc>
              <w:tc>
                <w:tcPr>
                  <w:tcW w:w="99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1</w:t>
                  </w:r>
                </w:p>
              </w:tc>
              <w:tc>
                <w:tcPr>
                  <w:tcW w:w="1007"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3</w:t>
                  </w:r>
                </w:p>
              </w:tc>
              <w:tc>
                <w:tcPr>
                  <w:tcW w:w="231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台车</w:t>
                  </w:r>
                </w:p>
              </w:tc>
              <w:tc>
                <w:tcPr>
                  <w:tcW w:w="990"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1</w:t>
                  </w:r>
                </w:p>
              </w:tc>
              <w:tc>
                <w:tcPr>
                  <w:tcW w:w="1007" w:type="dxa"/>
                </w:tcPr>
                <w:p>
                  <w:pPr>
                    <w:widowControl/>
                    <w:jc w:val="left"/>
                    <w:textAlignment w:val="center"/>
                    <w:rPr>
                      <w:rFonts w:hint="eastAsia" w:ascii="仿宋" w:hAnsi="仿宋" w:eastAsia="仿宋" w:cs="仿宋"/>
                      <w:color w:val="auto"/>
                      <w:kern w:val="0"/>
                      <w:sz w:val="24"/>
                      <w:vertAlign w:val="baseline"/>
                      <w:lang w:eastAsia="zh-CN" w:bidi="ar"/>
                    </w:rPr>
                  </w:pPr>
                  <w:r>
                    <w:rPr>
                      <w:rFonts w:hint="eastAsia" w:ascii="仿宋" w:hAnsi="仿宋" w:eastAsia="仿宋" w:cs="仿宋"/>
                      <w:color w:val="auto"/>
                      <w:kern w:val="0"/>
                      <w:sz w:val="24"/>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4</w:t>
                  </w:r>
                </w:p>
              </w:tc>
              <w:tc>
                <w:tcPr>
                  <w:tcW w:w="2310" w:type="dxa"/>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椅子</w:t>
                  </w:r>
                </w:p>
              </w:tc>
              <w:tc>
                <w:tcPr>
                  <w:tcW w:w="990" w:type="dxa"/>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1</w:t>
                  </w:r>
                </w:p>
              </w:tc>
              <w:tc>
                <w:tcPr>
                  <w:tcW w:w="1007" w:type="dxa"/>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套</w:t>
                  </w:r>
                </w:p>
              </w:tc>
            </w:tr>
          </w:tbl>
          <w:p>
            <w:pPr>
              <w:widowControl/>
              <w:jc w:val="left"/>
              <w:textAlignment w:val="center"/>
              <w:rPr>
                <w:rFonts w:hint="eastAsia" w:ascii="仿宋" w:hAnsi="仿宋" w:eastAsia="仿宋" w:cs="仿宋"/>
                <w:color w:val="auto"/>
                <w:kern w:val="0"/>
                <w:sz w:val="24"/>
                <w:lang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
                <w:color w:val="auto"/>
                <w:kern w:val="0"/>
                <w:sz w:val="24"/>
                <w:lang w:bidi="ar"/>
              </w:rPr>
            </w:pPr>
          </w:p>
        </w:tc>
      </w:tr>
    </w:tbl>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：合同签订之日起30天内完成供货、安装与调试，并完成对使用单位相关人员的操作与使用培训。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地点：采购人指定地点。</w:t>
      </w:r>
    </w:p>
    <w:p>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报价要求</w:t>
      </w:r>
    </w:p>
    <w:p>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报价要求：响应供应商应按采购文件中所列每个单项逐项报价，并按配置响应表进行明细报价；价格包含包装费、仓储费、运输费、保险费、装卸费、随机零配件、标配工具、安装调试费、培训费、保修服务费、商检费、首次检测/计量检定费、税费、设备与医院相关信息系统（如HIS）的接口费用以及项目实施过程中的应预见或不可预见费用。</w:t>
      </w:r>
    </w:p>
    <w:p>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2.报价应为已经包括了运送到采购人指定地点并完成调试安装交付正常使用的所有费用。设备报价不得高于预算价，报价高于预算价按响应无效处理。</w:t>
      </w:r>
    </w:p>
    <w:p>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3.响应供应商须提供本设备所有易损件产品的包装规格和单价报价，以作为日后采购的价格参考，该报价不包括在本项目响应总价中。并承诺在维保期内的易损件产品供应单价不高于本次报价。</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1.合同签订生效后2周内，采购人向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支付合同总额的30%预付款；</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2.设备验收合格当天计算15天内，采购人向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支付合同总额的70%；</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应向采购人出具合法有效完整的完税发票及凭证进行支付结算。</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货物为原制造商制造的全新产品，且设备生产日期不超过半年，整机无污染，无侵权行为、表面无划损、无任何缺陷隐患，在中国境内可依常规安全合法使用。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3.货物为原厂商未启封全新包装，具出厂合格证，序列号、包装箱号与出厂批号一致，并可追溯查阅。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szCs w:val="24"/>
        </w:rPr>
        <w:t>货物须为原厂原装的、生产或出厂时间在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截止时间前6个月内的设备，原厂商未启封全新包装，序列号、包装箱号与出厂批号一致，并可追索查阅。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5.成交供应商</w:t>
      </w:r>
      <w:r>
        <w:rPr>
          <w:rFonts w:hint="eastAsia" w:ascii="仿宋" w:hAnsi="仿宋" w:eastAsia="仿宋" w:cs="仿宋"/>
          <w:color w:val="auto"/>
          <w:sz w:val="24"/>
          <w:szCs w:val="24"/>
        </w:rPr>
        <w:t>应交付产品合格证（或质量证明）、使用说明（纸质版及电子版）</w:t>
      </w:r>
      <w:r>
        <w:rPr>
          <w:rFonts w:hint="eastAsia" w:ascii="仿宋" w:hAnsi="仿宋" w:eastAsia="仿宋" w:cs="仿宋"/>
          <w:color w:val="auto"/>
          <w:sz w:val="24"/>
          <w:szCs w:val="24"/>
          <w:lang w:eastAsia="zh-CN"/>
        </w:rPr>
        <w:t>、</w:t>
      </w:r>
      <w:r>
        <w:rPr>
          <w:rFonts w:hint="eastAsia" w:ascii="仿宋" w:hAnsi="仿宋" w:eastAsia="仿宋" w:cs="仿宋"/>
          <w:color w:val="auto"/>
          <w:sz w:val="24"/>
          <w:highlight w:val="none"/>
          <w:lang w:val="en-US" w:eastAsia="zh-CN"/>
        </w:rPr>
        <w:t>保修手册、有关单据资料及配备件、随机工具等交付给采购人，使用操作及安全须知等重要资料应附有中文说明。</w:t>
      </w:r>
    </w:p>
    <w:p>
      <w:pPr>
        <w:spacing w:line="360" w:lineRule="auto"/>
        <w:ind w:firstLine="506" w:firstLineChars="210"/>
        <w:rPr>
          <w:rFonts w:hint="eastAsia" w:ascii="仿宋" w:hAnsi="仿宋" w:eastAsia="仿宋" w:cs="仿宋"/>
          <w:color w:val="auto"/>
          <w:sz w:val="24"/>
          <w:highlight w:val="none"/>
          <w:lang w:val="en-US" w:eastAsia="zh-CN"/>
        </w:rPr>
      </w:pPr>
      <w:r>
        <w:rPr>
          <w:rFonts w:hint="eastAsia" w:ascii="仿宋" w:hAnsi="仿宋" w:eastAsia="仿宋" w:cs="仿宋"/>
          <w:b/>
          <w:bCs/>
          <w:color w:val="auto"/>
          <w:kern w:val="0"/>
          <w:sz w:val="24"/>
          <w:lang w:bidi="ar"/>
        </w:rPr>
        <w:t>★</w:t>
      </w:r>
      <w:r>
        <w:rPr>
          <w:rFonts w:hint="eastAsia" w:ascii="仿宋" w:hAnsi="仿宋" w:eastAsia="仿宋" w:cs="仿宋"/>
          <w:b/>
          <w:bCs/>
          <w:color w:val="auto"/>
          <w:sz w:val="24"/>
          <w:highlight w:val="none"/>
          <w:lang w:val="en-US" w:eastAsia="zh-CN"/>
        </w:rPr>
        <w:t>6.成交供应商验收时须一并提供由生产商负责质保期内全部售后服务的承诺函并加盖生产商公章，未能提供则验收不通过。采购人有权追溯成交供应商的响应文件，视为提供虚假材料。</w:t>
      </w:r>
    </w:p>
    <w:p>
      <w:pPr>
        <w:spacing w:line="360" w:lineRule="auto"/>
        <w:ind w:firstLine="504" w:firstLineChars="210"/>
        <w:rPr>
          <w:rFonts w:hint="eastAsia"/>
          <w:color w:val="auto"/>
          <w:highlight w:val="none"/>
          <w:lang w:val="en-US" w:eastAsia="zh-CN"/>
        </w:rPr>
      </w:pPr>
      <w:r>
        <w:rPr>
          <w:rFonts w:hint="eastAsia" w:ascii="仿宋" w:hAnsi="仿宋" w:eastAsia="仿宋" w:cs="仿宋"/>
          <w:color w:val="auto"/>
          <w:sz w:val="24"/>
          <w:highlight w:val="none"/>
          <w:lang w:val="en-US" w:eastAsia="zh-CN"/>
        </w:rPr>
        <w:t>7.验收时间：成交供应商按采购人要求，将设备在指定地点安装、调试、培训至正常使用后，由成交供应商提出验收，甲方接到验收通知后</w:t>
      </w:r>
      <w:r>
        <w:rPr>
          <w:rFonts w:hint="eastAsia" w:ascii="仿宋" w:hAnsi="仿宋" w:eastAsia="仿宋" w:cs="仿宋"/>
          <w:color w:val="auto"/>
          <w:sz w:val="24"/>
          <w:highlight w:val="none"/>
          <w:u w:val="single"/>
          <w:lang w:val="en-US" w:eastAsia="zh-CN"/>
        </w:rPr>
        <w:t xml:space="preserve"> 壹 </w:t>
      </w:r>
      <w:r>
        <w:rPr>
          <w:rFonts w:hint="eastAsia" w:ascii="仿宋" w:hAnsi="仿宋" w:eastAsia="仿宋" w:cs="仿宋"/>
          <w:color w:val="auto"/>
          <w:sz w:val="24"/>
          <w:highlight w:val="none"/>
          <w:lang w:val="en-US" w:eastAsia="zh-CN"/>
        </w:rPr>
        <w:t>个月内组织验收。</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1.质保期：质保期≥5年。</w:t>
      </w:r>
      <w:r>
        <w:rPr>
          <w:rFonts w:hint="eastAsia" w:ascii="仿宋" w:hAnsi="仿宋" w:eastAsia="仿宋" w:cs="仿宋"/>
          <w:color w:val="auto"/>
          <w:kern w:val="0"/>
          <w:sz w:val="24"/>
          <w:szCs w:val="24"/>
          <w:lang w:val="en-US" w:eastAsia="zh-CN" w:bidi="ar-SA"/>
        </w:rPr>
        <w:t>质保期内每年提供不少于2次的维护保养服务，并提供相应报告。</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质保期内非采购人的人为原因而出现产品质量及安装问题，由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负责包修、包换包退、包维护保养，并承担因此而产生的一切费用。终身维修，质保期过后维修时不收取维修费，只收取零件成本费用。（不得高于同期市场价格）</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质保期内，如设备或零部件因非人为因素出现故障而造成短期停用时，则质保期和维修期相应顺延。如接采购人故障通知后停用时间累计超过60天则质保期重新计算。</w:t>
      </w:r>
    </w:p>
    <w:p>
      <w:pPr>
        <w:spacing w:line="360" w:lineRule="auto"/>
        <w:ind w:firstLine="504" w:firstLineChars="210"/>
        <w:rPr>
          <w:rFonts w:hint="eastAsia"/>
          <w:color w:val="auto"/>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对采购人的服务通知，</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接报后2小时内做出回应,并在48小时内派人员到达用户现场实施维修并排除故障。若在48小时内仍未能有效解决，</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须提供同</w:t>
      </w:r>
      <w:r>
        <w:rPr>
          <w:rFonts w:hint="eastAsia" w:ascii="仿宋" w:hAnsi="仿宋" w:eastAsia="仿宋" w:cs="仿宋"/>
          <w:color w:val="auto"/>
          <w:sz w:val="24"/>
          <w:highlight w:val="none"/>
          <w:lang w:eastAsia="zh-CN"/>
        </w:rPr>
        <w:t>类型</w:t>
      </w:r>
      <w:r>
        <w:rPr>
          <w:rFonts w:hint="eastAsia" w:ascii="仿宋" w:hAnsi="仿宋" w:eastAsia="仿宋" w:cs="仿宋"/>
          <w:color w:val="auto"/>
          <w:sz w:val="24"/>
          <w:highlight w:val="none"/>
        </w:rPr>
        <w:t>的设备予采购人临时使用。</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3" w:name="_Toc14923_WPSOffice_Level1"/>
      <w:r>
        <w:rPr>
          <w:rFonts w:hint="eastAsia" w:ascii="仿宋" w:hAnsi="仿宋" w:eastAsia="仿宋" w:cs="仿宋"/>
          <w:b w:val="0"/>
          <w:bCs/>
          <w:color w:val="auto"/>
          <w:sz w:val="24"/>
          <w:szCs w:val="24"/>
          <w:highlight w:val="none"/>
        </w:rPr>
        <w:t>同小型、微型</w:t>
      </w:r>
      <w:bookmarkEnd w:id="3"/>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对用户服务需求</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所投产品参数全部满足用户需求书中带▲的重要技术参数的，得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分；一项不满足得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分；两项不满足得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分；如此类推，每不满足一项带▲的重要技术参数的得分减少3分，当达到</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t>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（如厂家的产品使用说明书为英文版，请同时提供中文版）</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完全满足</w:t>
            </w: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文件未要求提供证明材料的技术参数，以</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根据</w:t>
            </w:r>
            <w:r>
              <w:rPr>
                <w:rFonts w:hint="eastAsia" w:ascii="仿宋" w:hAnsi="仿宋" w:eastAsia="仿宋" w:cs="仿宋"/>
                <w:color w:val="auto"/>
                <w:kern w:val="0"/>
                <w:sz w:val="24"/>
                <w:szCs w:val="24"/>
                <w:highlight w:val="none"/>
                <w:lang w:val="en-GB"/>
              </w:rPr>
              <w:t>各</w:t>
            </w:r>
            <w:r>
              <w:rPr>
                <w:rFonts w:hint="eastAsia" w:ascii="仿宋" w:hAnsi="仿宋" w:eastAsia="仿宋" w:cs="仿宋"/>
                <w:color w:val="auto"/>
                <w:kern w:val="0"/>
                <w:sz w:val="24"/>
                <w:szCs w:val="24"/>
                <w:highlight w:val="none"/>
                <w:lang w:val="en-GB"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1.响应供应商为本项目投入的项目团队、人员构成合理且分工明确，能够安全、快捷地将货物运送至采购人指定地点的，得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2.项目团队、人员构成及分工较为合理且有一定分工，能够按规定将货物运送至采购人指定地点的，得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3.项目团队、人员构成及分工有缺陷且有分工不明确，不能保证货物按时运送至采购人指定地点的，得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GB" w:eastAsia="zh-CN"/>
              </w:rPr>
              <w:t xml:space="preserve">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GB"/>
              </w:rPr>
              <w:t>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根据各</w:t>
            </w: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需提供1名项目负责人，负责项目全流程。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val="en-US" w:eastAsia="zh-CN"/>
              </w:rPr>
              <w:t>。</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7"/>
        <w:numPr>
          <w:ilvl w:val="0"/>
          <w:numId w:val="4"/>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3"/>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7"/>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w:t>
      </w:r>
      <w:r>
        <w:rPr>
          <w:rFonts w:hint="eastAsia" w:ascii="宋体" w:hAnsi="宋体"/>
          <w:color w:val="auto"/>
          <w:sz w:val="24"/>
          <w:highlight w:val="none"/>
        </w:rPr>
        <w:t>包装费、仓储费、运输费、保险费、装卸费、随机零配件、标配工具、安装调试费、培训费、保修服务费、商检费、首次检测/计量检定费、税费、设备与医院相关信息系统（如HIS）的接口费用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30天内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1.合同签订生效后2周内，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bookmarkStart w:id="4" w:name="OLE_LINK2"/>
      <w:r>
        <w:rPr>
          <w:rFonts w:hint="eastAsia" w:ascii="宋体" w:hAnsi="宋体"/>
          <w:color w:val="auto"/>
          <w:sz w:val="24"/>
          <w:highlight w:val="none"/>
          <w:lang w:val="en-US" w:eastAsia="zh-CN"/>
        </w:rPr>
        <w:t>乙方</w:t>
      </w:r>
      <w:bookmarkEnd w:id="4"/>
      <w:r>
        <w:rPr>
          <w:rFonts w:hint="eastAsia" w:ascii="宋体" w:hAnsi="宋体"/>
          <w:color w:val="auto"/>
          <w:sz w:val="24"/>
          <w:highlight w:val="none"/>
          <w:lang w:val="en-US"/>
        </w:rPr>
        <w:t>支付合同总额的30%预付款；</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2.设备验收合格当天计算15天内，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支付合同总额的70%；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通过银行转账的方式支付给</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，且</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应向</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出具合法有效完整的完税发票及凭证进行支付结算。</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甲方验收完成后，当年的《计量检定证》由乙方负责办理，以后每年由甲方负责办理。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5"/>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5" w:name="_Toc202819877"/>
      <w:bookmarkStart w:id="6" w:name="_Toc202816995"/>
      <w:bookmarkStart w:id="7" w:name="_Toc202820350"/>
      <w:bookmarkStart w:id="8" w:name="_Toc202251699"/>
      <w:bookmarkStart w:id="9" w:name="_Toc202251074"/>
      <w:bookmarkStart w:id="10" w:name="_Toc202254104"/>
      <w:bookmarkStart w:id="11" w:name="_Toc202252033"/>
      <w:r>
        <w:rPr>
          <w:color w:val="auto"/>
          <w:highlight w:val="none"/>
        </w:rPr>
        <w:br w:type="page"/>
      </w:r>
      <w:r>
        <w:rPr>
          <w:rFonts w:hint="eastAsia" w:ascii="仿宋" w:hAnsi="仿宋" w:eastAsia="仿宋" w:cs="仿宋"/>
          <w:b/>
          <w:bCs/>
          <w:color w:val="auto"/>
          <w:sz w:val="28"/>
          <w:highlight w:val="none"/>
        </w:rPr>
        <w:t xml:space="preserve">1 </w:t>
      </w:r>
      <w:bookmarkEnd w:id="5"/>
      <w:bookmarkEnd w:id="6"/>
      <w:bookmarkEnd w:id="7"/>
      <w:bookmarkEnd w:id="8"/>
      <w:bookmarkEnd w:id="9"/>
      <w:bookmarkEnd w:id="10"/>
      <w:bookmarkEnd w:id="11"/>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11.企业资质</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12.落实政府采购政策需满足的资格要求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13.报名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对用户服务需求</w:t>
            </w:r>
            <w:r>
              <w:rPr>
                <w:rFonts w:hint="eastAsia" w:ascii="仿宋" w:hAnsi="仿宋" w:eastAsia="仿宋" w:cs="仿宋"/>
                <w:color w:val="auto"/>
                <w:kern w:val="0"/>
                <w:sz w:val="21"/>
                <w:szCs w:val="21"/>
                <w:highlight w:val="none"/>
                <w:lang w:eastAsia="zh-CN"/>
              </w:rPr>
              <w:t>中</w:t>
            </w:r>
            <w:r>
              <w:rPr>
                <w:rFonts w:hint="eastAsia" w:ascii="仿宋" w:hAnsi="仿宋" w:eastAsia="仿宋" w:cs="仿宋"/>
                <w:color w:val="auto"/>
                <w:kern w:val="0"/>
                <w:sz w:val="21"/>
                <w:szCs w:val="21"/>
                <w:highlight w:val="none"/>
              </w:rPr>
              <w:t>带▲号的响应程度</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投产品参数全部满足用户需求书中带▲的重要技术参数的，得21分；一项不满足得18分；两项不满足得15分；如此类推，每不满足一项带▲的重要技术参数的得分减少3分，当达到7项或以上时，视为严重偏离本项不得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所有供应商应提供响应产品技术证明文件如响应产品彩页或相应技术参数的厂家使用说明书或技术白皮书或厂家公开发布的印刷资料或第三方机构出具的检验报告等作为技术证明文件，否则评审小组有权视相应技术参数响应不符合采购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根据各响应供应商所提供的服务是否满足用户需求书响应程度进行评分：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完全满足不带▲号的一般技术参数，得18分；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有一项不带▲号条款负偏离，得16分；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有二项不带▲号条款负偏离，得14分；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有三项不带▲号条款负偏离，得12分；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有四项不带▲号条款负偏离，得10分；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有五项不带▲号条款负偏离，得8分；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以此类推，当不带▲号条款负偏离达到9项（含）以上时，视为严重偏离此评分项不得分。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注：采购文件未要求提供证明材料的技术参数，以响应文件格式技术和服务要求响应表为准。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根据</w:t>
            </w:r>
            <w:r>
              <w:rPr>
                <w:rFonts w:hint="eastAsia" w:ascii="仿宋" w:hAnsi="仿宋" w:eastAsia="仿宋" w:cs="仿宋"/>
                <w:color w:val="auto"/>
                <w:kern w:val="0"/>
                <w:sz w:val="21"/>
                <w:szCs w:val="21"/>
                <w:highlight w:val="none"/>
                <w:lang w:val="en-GB"/>
              </w:rPr>
              <w:t>各</w:t>
            </w:r>
            <w:r>
              <w:rPr>
                <w:rFonts w:hint="eastAsia" w:ascii="仿宋" w:hAnsi="仿宋" w:eastAsia="仿宋" w:cs="仿宋"/>
                <w:color w:val="auto"/>
                <w:kern w:val="0"/>
                <w:sz w:val="21"/>
                <w:szCs w:val="21"/>
                <w:highlight w:val="none"/>
                <w:lang w:val="en-GB" w:eastAsia="zh-CN"/>
              </w:rPr>
              <w:t xml:space="preserve">响应供应商为本项目投入的项目团队、人员构成、分工及送货时效等（包含但不限于团队分组、人员名单、履约进度表等内容）进行综合评比：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1.响应供应商为本项目投入的项目团队、人员构成合理且分工明确，能够安全、快捷地将货物运送至采购人指定地点的，得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val="en-GB" w:eastAsia="zh-CN"/>
              </w:rPr>
              <w:t>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2.项目团队、人员构成及分工较为合理且有一定分工，能够按规定将货物运送至采购人指定地点的，得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GB" w:eastAsia="zh-CN"/>
              </w:rPr>
              <w:t>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3.项目团队、人员构成及分工有缺陷且有分工不明确，不能保证货物按时运送至采购人指定地点的，得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en-GB" w:eastAsia="zh-CN"/>
              </w:rPr>
              <w:t xml:space="preserve">分。 </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GB"/>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对各响应供应商提供的售后服务内容（包括质保期、维护保养方案、应急维修时间、维修的及时性、安排的合理性等）是否完善具体，各阶段服务计划是否详尽进行评分：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1.售后服务方案（包括质保期、维护保养方案、应急维修时间、维修的及时性、安排的合理性等）详细、具体，完全满足且优于比选文件要求，各阶段服务计划周全详尽，得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2.售后服务方案（包括质保期、维护保养方案、应急维修时间、维修的及时性、安排的合理性等）基本详细、具体，满足比选文件要求，各阶段服务计划满足，得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3.售后服务方案（包括质保期、维护保养方案、应急维修时间、维修的及时性、安排的合理性等）不详细、具体，基本满足比选文件要求，各阶段服务计划不完全齐全，得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2" w:name="_Toc202816996"/>
      <w:bookmarkStart w:id="13" w:name="_Toc202251700"/>
      <w:bookmarkStart w:id="14" w:name="_Toc202252034"/>
      <w:bookmarkStart w:id="15" w:name="_Toc202251075"/>
      <w:bookmarkStart w:id="16" w:name="_Toc202820351"/>
      <w:bookmarkStart w:id="17" w:name="_Toc202254105"/>
      <w:bookmarkStart w:id="18" w:name="_Toc202819878"/>
      <w:r>
        <w:rPr>
          <w:rFonts w:hint="eastAsia" w:ascii="仿宋" w:hAnsi="仿宋" w:eastAsia="仿宋" w:cs="仿宋"/>
          <w:b/>
          <w:bCs/>
          <w:color w:val="auto"/>
          <w:sz w:val="28"/>
          <w:szCs w:val="28"/>
          <w:highlight w:val="none"/>
        </w:rPr>
        <w:t>3 资格性文件</w:t>
      </w:r>
      <w:bookmarkEnd w:id="12"/>
      <w:bookmarkEnd w:id="13"/>
      <w:bookmarkEnd w:id="14"/>
      <w:bookmarkEnd w:id="15"/>
      <w:bookmarkEnd w:id="16"/>
      <w:bookmarkEnd w:id="17"/>
      <w:bookmarkEnd w:id="18"/>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2"/>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2"/>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2"/>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bookmarkStart w:id="35" w:name="_GoBack"/>
      <w:bookmarkEnd w:id="35"/>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w:t>
      </w:r>
      <w:r>
        <w:rPr>
          <w:rFonts w:hint="eastAsia" w:ascii="仿宋" w:hAnsi="仿宋" w:eastAsia="仿宋" w:cs="仿宋"/>
          <w:color w:val="auto"/>
          <w:sz w:val="24"/>
          <w:highlight w:val="none"/>
          <w:lang w:val="en-US" w:eastAsia="zh-CN"/>
        </w:rPr>
        <w:t>医院办公室</w:t>
      </w:r>
      <w:r>
        <w:rPr>
          <w:rFonts w:hint="eastAsia" w:ascii="仿宋" w:hAnsi="仿宋" w:eastAsia="仿宋" w:cs="仿宋"/>
          <w:color w:val="auto"/>
          <w:sz w:val="24"/>
          <w:highlight w:val="none"/>
          <w:lang w:val="en-US" w:eastAsia="zh-CN"/>
        </w:rPr>
        <w:t>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9" w:name="_Toc202251701"/>
      <w:bookmarkStart w:id="20" w:name="_Toc202251076"/>
      <w:bookmarkStart w:id="21" w:name="_Toc202252035"/>
      <w:bookmarkStart w:id="22" w:name="_Toc202820352"/>
      <w:bookmarkStart w:id="23" w:name="_Toc202816997"/>
      <w:bookmarkStart w:id="24" w:name="_Toc202254106"/>
      <w:bookmarkStart w:id="25" w:name="_Toc202819879"/>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9"/>
      <w:bookmarkEnd w:id="20"/>
      <w:bookmarkEnd w:id="21"/>
      <w:bookmarkEnd w:id="22"/>
      <w:bookmarkEnd w:id="23"/>
      <w:bookmarkEnd w:id="24"/>
      <w:bookmarkEnd w:id="25"/>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6" w:name="_Toc202254107"/>
      <w:bookmarkStart w:id="27" w:name="_Toc202819880"/>
      <w:bookmarkStart w:id="28" w:name="_Toc202252036"/>
      <w:bookmarkStart w:id="29" w:name="_Toc202820353"/>
      <w:bookmarkStart w:id="30" w:name="_Toc202816998"/>
      <w:bookmarkStart w:id="31" w:name="_Toc202251077"/>
      <w:bookmarkStart w:id="32" w:name="_Toc202251702"/>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3"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1"/>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6"/>
      <w:bookmarkEnd w:id="27"/>
      <w:bookmarkEnd w:id="28"/>
      <w:bookmarkEnd w:id="29"/>
      <w:bookmarkEnd w:id="30"/>
      <w:bookmarkEnd w:id="31"/>
      <w:bookmarkEnd w:id="32"/>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4"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4"/>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52</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15F3935"/>
    <w:multiLevelType w:val="singleLevel"/>
    <w:tmpl w:val="015F3935"/>
    <w:lvl w:ilvl="0" w:tentative="0">
      <w:start w:val="2"/>
      <w:numFmt w:val="chineseCounting"/>
      <w:suff w:val="nothing"/>
      <w:lvlText w:val="（%1）"/>
      <w:lvlJc w:val="left"/>
      <w:pPr>
        <w:ind w:left="421" w:leftChars="0" w:firstLine="0" w:firstLineChars="0"/>
      </w:pPr>
      <w:rPr>
        <w:rFonts w:hint="eastAsia"/>
      </w:rPr>
    </w:lvl>
  </w:abstractNum>
  <w:abstractNum w:abstractNumId="2">
    <w:nsid w:val="06016A29"/>
    <w:multiLevelType w:val="singleLevel"/>
    <w:tmpl w:val="06016A29"/>
    <w:lvl w:ilvl="0" w:tentative="0">
      <w:start w:val="4"/>
      <w:numFmt w:val="chineseCounting"/>
      <w:suff w:val="nothing"/>
      <w:lvlText w:val="%1、"/>
      <w:lvlJc w:val="left"/>
      <w:rPr>
        <w:rFonts w:hint="eastAsia"/>
      </w:rPr>
    </w:lvl>
  </w:abstractNum>
  <w:abstractNum w:abstractNumId="3">
    <w:nsid w:val="08A9BB30"/>
    <w:multiLevelType w:val="singleLevel"/>
    <w:tmpl w:val="08A9BB30"/>
    <w:lvl w:ilvl="0" w:tentative="0">
      <w:start w:val="12"/>
      <w:numFmt w:val="chineseCounting"/>
      <w:suff w:val="nothing"/>
      <w:lvlText w:val="%1、"/>
      <w:lvlJc w:val="left"/>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37a4d591-5f83-4c5e-a5cf-559acce3fad1"/>
  </w:docVars>
  <w:rsids>
    <w:rsidRoot w:val="00000000"/>
    <w:rsid w:val="00966F68"/>
    <w:rsid w:val="01536D34"/>
    <w:rsid w:val="0232690D"/>
    <w:rsid w:val="034F4D49"/>
    <w:rsid w:val="03B1713F"/>
    <w:rsid w:val="04176877"/>
    <w:rsid w:val="055304D8"/>
    <w:rsid w:val="055D492E"/>
    <w:rsid w:val="06130FCD"/>
    <w:rsid w:val="0945562F"/>
    <w:rsid w:val="0AAE2160"/>
    <w:rsid w:val="0C1E7D8F"/>
    <w:rsid w:val="0CF27BF6"/>
    <w:rsid w:val="0DDF2B55"/>
    <w:rsid w:val="10280062"/>
    <w:rsid w:val="114D0589"/>
    <w:rsid w:val="13E34638"/>
    <w:rsid w:val="145848CE"/>
    <w:rsid w:val="1533571F"/>
    <w:rsid w:val="15976B26"/>
    <w:rsid w:val="16401628"/>
    <w:rsid w:val="176830C2"/>
    <w:rsid w:val="19465BB5"/>
    <w:rsid w:val="1B83438D"/>
    <w:rsid w:val="1B974FAD"/>
    <w:rsid w:val="1BA74497"/>
    <w:rsid w:val="208714FC"/>
    <w:rsid w:val="22042368"/>
    <w:rsid w:val="22955191"/>
    <w:rsid w:val="23045F89"/>
    <w:rsid w:val="26CB6BE6"/>
    <w:rsid w:val="286D3245"/>
    <w:rsid w:val="2CBA67B5"/>
    <w:rsid w:val="2E285B72"/>
    <w:rsid w:val="327344AF"/>
    <w:rsid w:val="333C2A3E"/>
    <w:rsid w:val="336E0567"/>
    <w:rsid w:val="3445500F"/>
    <w:rsid w:val="347735E8"/>
    <w:rsid w:val="37057CC5"/>
    <w:rsid w:val="380C4DE1"/>
    <w:rsid w:val="399A6E53"/>
    <w:rsid w:val="39EC30ED"/>
    <w:rsid w:val="3BD40273"/>
    <w:rsid w:val="3D234240"/>
    <w:rsid w:val="422522C9"/>
    <w:rsid w:val="424F61F4"/>
    <w:rsid w:val="432A2CDE"/>
    <w:rsid w:val="44921249"/>
    <w:rsid w:val="46C24FEB"/>
    <w:rsid w:val="4716137B"/>
    <w:rsid w:val="47BB65FE"/>
    <w:rsid w:val="4AFE297E"/>
    <w:rsid w:val="4D051DBB"/>
    <w:rsid w:val="4D171EA6"/>
    <w:rsid w:val="50D01A50"/>
    <w:rsid w:val="51B722BD"/>
    <w:rsid w:val="527177AF"/>
    <w:rsid w:val="536F660B"/>
    <w:rsid w:val="573226CB"/>
    <w:rsid w:val="5A833D5E"/>
    <w:rsid w:val="5C79399A"/>
    <w:rsid w:val="5DBA07AB"/>
    <w:rsid w:val="5EA02456"/>
    <w:rsid w:val="5F53380D"/>
    <w:rsid w:val="62135E55"/>
    <w:rsid w:val="62DE42A4"/>
    <w:rsid w:val="63CE724B"/>
    <w:rsid w:val="663213AA"/>
    <w:rsid w:val="66974E96"/>
    <w:rsid w:val="672C5EE8"/>
    <w:rsid w:val="67C66A76"/>
    <w:rsid w:val="6A4C7071"/>
    <w:rsid w:val="6C220219"/>
    <w:rsid w:val="6F2E1581"/>
    <w:rsid w:val="703E7071"/>
    <w:rsid w:val="76D04887"/>
    <w:rsid w:val="7B112942"/>
    <w:rsid w:val="7C5D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7">
    <w:name w:val="列出段落1"/>
    <w:basedOn w:val="1"/>
    <w:qFormat/>
    <w:uiPriority w:val="0"/>
    <w:pPr>
      <w:ind w:firstLine="420" w:firstLineChars="200"/>
    </w:pPr>
    <w:rPr>
      <w:rFonts w:ascii="Calibri" w:hAnsi="Calibri" w:eastAsia="宋体" w:cs="Times New Roman"/>
    </w:rPr>
  </w:style>
  <w:style w:type="paragraph" w:customStyle="1" w:styleId="1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题注4"/>
    <w:basedOn w:val="1"/>
    <w:next w:val="5"/>
    <w:qFormat/>
    <w:uiPriority w:val="0"/>
    <w:pPr>
      <w:ind w:left="-132" w:leftChars="-64" w:right="-105" w:rightChars="-50" w:hanging="2"/>
      <w:jc w:val="center"/>
    </w:pPr>
    <w:rPr>
      <w:b/>
      <w:color w:val="FF0000"/>
      <w:szCs w:val="21"/>
      <w:lang w:val="en-GB"/>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19504</Words>
  <Characters>21013</Characters>
  <Lines>0</Lines>
  <Paragraphs>0</Paragraphs>
  <TotalTime>9</TotalTime>
  <ScaleCrop>false</ScaleCrop>
  <LinksUpToDate>false</LinksUpToDate>
  <CharactersWithSpaces>21146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2024-10-21T01:52:00Z</dcterms:created>
  <dc:creator>Administrator.FY-202308300715</dc:creator>
  <cp:lastModifiedBy>Mao</cp:lastModifiedBy>
  <dcterms:modified xsi:type="dcterms:W3CDTF">2025-03-10T03:05:25Z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D01D0243418243FAA9A6652BECAD0342_13</vt:lpwstr>
  </property>
  <property fmtid="{D5CDD505-2E9C-101B-9397-08002B2CF9AE}" pid="4" name="KSOTemplateDocerSaveRecord">
    <vt:lpwstr>eyJoZGlkIjoiMjA4YjIzOTA4ODMwYWMxN2Y4YjFjMjVlNTg3M2YyZTAiLCJ1c2VySWQiOiI1OTAwMjE5OTEifQ==</vt:lpwstr>
  </property>
</Properties>
</file>