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AD61A">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487426F3">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3DF9893F">
      <w:pPr>
        <w:spacing w:line="500" w:lineRule="exact"/>
        <w:jc w:val="center"/>
        <w:rPr>
          <w:rFonts w:hint="eastAsia" w:ascii="仿宋" w:hAnsi="仿宋" w:eastAsia="仿宋" w:cs="仿宋"/>
          <w:bCs/>
          <w:color w:val="auto"/>
          <w:sz w:val="28"/>
          <w:szCs w:val="28"/>
          <w:highlight w:val="none"/>
        </w:rPr>
      </w:pPr>
    </w:p>
    <w:p w14:paraId="45890924">
      <w:pPr>
        <w:spacing w:line="500" w:lineRule="exact"/>
        <w:jc w:val="center"/>
        <w:rPr>
          <w:rFonts w:hint="eastAsia" w:ascii="仿宋" w:hAnsi="仿宋" w:eastAsia="仿宋" w:cs="仿宋"/>
          <w:bCs/>
          <w:color w:val="auto"/>
          <w:sz w:val="28"/>
          <w:szCs w:val="28"/>
          <w:highlight w:val="none"/>
        </w:rPr>
      </w:pPr>
    </w:p>
    <w:p w14:paraId="311CAB3C">
      <w:pPr>
        <w:spacing w:line="500" w:lineRule="exact"/>
        <w:jc w:val="cente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ZCB-YN-2024015</w:t>
      </w:r>
    </w:p>
    <w:p w14:paraId="75D63D56">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305F6552">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eastAsia="zh-CN"/>
        </w:rPr>
        <w:t>惠州市第一妇幼保健院</w:t>
      </w:r>
    </w:p>
    <w:p w14:paraId="65A9C934">
      <w:pPr>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28"/>
          <w:szCs w:val="28"/>
          <w:highlight w:val="none"/>
          <w:lang w:val="en-US" w:eastAsia="zh-CN"/>
        </w:rPr>
        <w:t>2024年医学影像信息系统维保服务(含新增工作站）采购项目（三次）</w:t>
      </w:r>
    </w:p>
    <w:p w14:paraId="4CA56C04">
      <w:pPr>
        <w:jc w:val="both"/>
        <w:rPr>
          <w:rFonts w:hint="eastAsia" w:ascii="仿宋" w:hAnsi="仿宋" w:eastAsia="仿宋" w:cs="仿宋"/>
          <w:b/>
          <w:color w:val="auto"/>
          <w:sz w:val="32"/>
          <w:szCs w:val="32"/>
          <w:highlight w:val="none"/>
        </w:rPr>
      </w:pPr>
    </w:p>
    <w:p w14:paraId="4FB1E3BF">
      <w:pPr>
        <w:jc w:val="center"/>
        <w:rPr>
          <w:rFonts w:hint="eastAsia" w:ascii="仿宋" w:hAnsi="仿宋" w:eastAsia="仿宋" w:cs="仿宋"/>
          <w:b/>
          <w:color w:val="auto"/>
          <w:sz w:val="32"/>
          <w:szCs w:val="32"/>
          <w:highlight w:val="none"/>
        </w:rPr>
      </w:pPr>
    </w:p>
    <w:p w14:paraId="5F4D6B9B">
      <w:pPr>
        <w:jc w:val="center"/>
        <w:rPr>
          <w:rFonts w:hint="eastAsia" w:ascii="仿宋" w:hAnsi="仿宋" w:eastAsia="仿宋" w:cs="仿宋"/>
          <w:b/>
          <w:color w:val="auto"/>
          <w:sz w:val="32"/>
          <w:szCs w:val="32"/>
          <w:highlight w:val="none"/>
        </w:rPr>
      </w:pPr>
    </w:p>
    <w:p w14:paraId="21B41FF0">
      <w:pPr>
        <w:pStyle w:val="3"/>
        <w:numPr>
          <w:ilvl w:val="0"/>
          <w:numId w:val="0"/>
        </w:numPr>
        <w:ind w:firstLine="0"/>
        <w:rPr>
          <w:rFonts w:hint="eastAsia" w:ascii="仿宋" w:hAnsi="仿宋" w:eastAsia="仿宋" w:cs="仿宋"/>
          <w:b/>
          <w:color w:val="auto"/>
          <w:sz w:val="32"/>
          <w:szCs w:val="32"/>
          <w:highlight w:val="none"/>
        </w:rPr>
      </w:pPr>
    </w:p>
    <w:p w14:paraId="7FEC3C7C">
      <w:pPr>
        <w:rPr>
          <w:rFonts w:hint="eastAsia" w:ascii="仿宋" w:hAnsi="仿宋" w:eastAsia="仿宋" w:cs="仿宋"/>
          <w:b/>
          <w:color w:val="auto"/>
          <w:sz w:val="32"/>
          <w:szCs w:val="32"/>
          <w:highlight w:val="none"/>
        </w:rPr>
      </w:pPr>
    </w:p>
    <w:p w14:paraId="43FB1DF0">
      <w:pPr>
        <w:spacing w:line="360" w:lineRule="auto"/>
        <w:ind w:firstLine="1968" w:firstLineChars="700"/>
        <w:rPr>
          <w:rFonts w:hint="eastAsia" w:ascii="仿宋" w:hAnsi="仿宋" w:eastAsia="仿宋" w:cs="仿宋"/>
          <w:b/>
          <w:color w:val="auto"/>
          <w:sz w:val="28"/>
          <w:szCs w:val="28"/>
          <w:highlight w:val="none"/>
        </w:rPr>
      </w:pPr>
      <w:r>
        <w:rPr>
          <w:rFonts w:hint="eastAsia" w:ascii="仿宋" w:hAnsi="仿宋" w:eastAsia="仿宋" w:cs="仿宋"/>
          <w:b/>
          <w:bCs/>
          <w:color w:val="auto"/>
          <w:kern w:val="13"/>
          <w:sz w:val="28"/>
          <w:szCs w:val="28"/>
          <w:highlight w:val="none"/>
        </w:rPr>
        <w:t>采购人：</w:t>
      </w:r>
      <w:r>
        <w:rPr>
          <w:rFonts w:hint="eastAsia" w:ascii="仿宋" w:hAnsi="仿宋" w:eastAsia="仿宋" w:cs="仿宋"/>
          <w:b/>
          <w:color w:val="auto"/>
          <w:sz w:val="28"/>
          <w:szCs w:val="28"/>
          <w:highlight w:val="none"/>
        </w:rPr>
        <w:t>惠州市第一妇幼保健院</w:t>
      </w:r>
    </w:p>
    <w:p w14:paraId="40B5436B">
      <w:pPr>
        <w:jc w:val="center"/>
        <w:rPr>
          <w:rFonts w:hint="eastAsia" w:ascii="仿宋" w:hAnsi="仿宋" w:eastAsia="仿宋" w:cs="仿宋"/>
          <w:b/>
          <w:bCs/>
          <w:color w:val="auto"/>
          <w:sz w:val="52"/>
          <w:szCs w:val="52"/>
          <w:highlight w:val="none"/>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 w:hAnsi="仿宋" w:eastAsia="仿宋" w:cs="仿宋"/>
          <w:b/>
          <w:snapToGrid w:val="0"/>
          <w:color w:val="auto"/>
          <w:kern w:val="0"/>
          <w:sz w:val="28"/>
          <w:szCs w:val="28"/>
          <w:highlight w:val="none"/>
        </w:rPr>
        <w:t>二○二</w:t>
      </w:r>
      <w:r>
        <w:rPr>
          <w:rFonts w:hint="eastAsia" w:ascii="仿宋" w:hAnsi="仿宋" w:eastAsia="仿宋" w:cs="仿宋"/>
          <w:b/>
          <w:snapToGrid w:val="0"/>
          <w:color w:val="auto"/>
          <w:kern w:val="0"/>
          <w:sz w:val="28"/>
          <w:szCs w:val="28"/>
          <w:highlight w:val="none"/>
          <w:lang w:eastAsia="zh-CN"/>
        </w:rPr>
        <w:t>四</w:t>
      </w:r>
      <w:r>
        <w:rPr>
          <w:rFonts w:hint="eastAsia" w:ascii="仿宋" w:hAnsi="仿宋" w:eastAsia="仿宋" w:cs="仿宋"/>
          <w:b/>
          <w:snapToGrid w:val="0"/>
          <w:color w:val="auto"/>
          <w:kern w:val="0"/>
          <w:sz w:val="28"/>
          <w:szCs w:val="28"/>
          <w:highlight w:val="none"/>
        </w:rPr>
        <w:t>年</w:t>
      </w:r>
      <w:r>
        <w:rPr>
          <w:rFonts w:hint="eastAsia" w:ascii="仿宋" w:hAnsi="仿宋" w:eastAsia="仿宋" w:cs="仿宋"/>
          <w:b/>
          <w:snapToGrid w:val="0"/>
          <w:color w:val="auto"/>
          <w:kern w:val="0"/>
          <w:sz w:val="28"/>
          <w:szCs w:val="28"/>
          <w:highlight w:val="none"/>
          <w:lang w:val="en-US" w:eastAsia="zh-CN"/>
        </w:rPr>
        <w:t>十一</w:t>
      </w:r>
      <w:r>
        <w:rPr>
          <w:rFonts w:hint="eastAsia" w:ascii="仿宋" w:hAnsi="仿宋" w:eastAsia="仿宋" w:cs="仿宋"/>
          <w:b/>
          <w:snapToGrid w:val="0"/>
          <w:color w:val="auto"/>
          <w:kern w:val="0"/>
          <w:sz w:val="28"/>
          <w:szCs w:val="28"/>
          <w:highlight w:val="none"/>
        </w:rPr>
        <w:t>月</w:t>
      </w:r>
    </w:p>
    <w:p w14:paraId="2BB2DF0E">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68C49D72">
      <w:pPr>
        <w:pStyle w:val="10"/>
        <w:tabs>
          <w:tab w:val="left" w:pos="839"/>
        </w:tabs>
        <w:rPr>
          <w:rFonts w:hint="eastAsia"/>
          <w:highlight w:val="none"/>
          <w:lang w:eastAsia="zh-CN"/>
        </w:rPr>
      </w:pPr>
    </w:p>
    <w:p w14:paraId="2228DDB7">
      <w:pPr>
        <w:pStyle w:val="15"/>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31E281EC">
      <w:pPr>
        <w:rPr>
          <w:rFonts w:hint="eastAsia" w:ascii="仿宋" w:hAnsi="仿宋" w:eastAsia="仿宋" w:cs="仿宋"/>
          <w:b/>
          <w:bCs/>
          <w:color w:val="auto"/>
          <w:sz w:val="36"/>
          <w:szCs w:val="36"/>
          <w:highlight w:val="none"/>
        </w:rPr>
      </w:pPr>
    </w:p>
    <w:p w14:paraId="307E384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4ECA69FD">
      <w:pPr>
        <w:rPr>
          <w:rFonts w:hint="eastAsia" w:ascii="仿宋" w:hAnsi="仿宋" w:eastAsia="仿宋" w:cs="仿宋"/>
          <w:b/>
          <w:bCs/>
          <w:color w:val="auto"/>
          <w:sz w:val="36"/>
          <w:szCs w:val="36"/>
          <w:highlight w:val="none"/>
        </w:rPr>
      </w:pPr>
    </w:p>
    <w:p w14:paraId="0F2D7C71">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29E5A80A">
      <w:pPr>
        <w:rPr>
          <w:rFonts w:hint="eastAsia" w:ascii="仿宋" w:hAnsi="仿宋" w:eastAsia="仿宋" w:cs="仿宋"/>
          <w:b/>
          <w:bCs/>
          <w:color w:val="auto"/>
          <w:sz w:val="36"/>
          <w:szCs w:val="36"/>
          <w:highlight w:val="none"/>
        </w:rPr>
      </w:pPr>
    </w:p>
    <w:p w14:paraId="548E2902">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514595F2">
      <w:pPr>
        <w:rPr>
          <w:rFonts w:hint="eastAsia" w:ascii="仿宋" w:hAnsi="仿宋" w:eastAsia="仿宋" w:cs="仿宋"/>
          <w:b/>
          <w:bCs/>
          <w:color w:val="auto"/>
          <w:sz w:val="36"/>
          <w:szCs w:val="36"/>
          <w:highlight w:val="none"/>
        </w:rPr>
      </w:pPr>
    </w:p>
    <w:p w14:paraId="63F67EF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16BCA853">
      <w:pPr>
        <w:spacing w:line="360" w:lineRule="auto"/>
        <w:rPr>
          <w:rFonts w:hint="eastAsia" w:ascii="仿宋" w:hAnsi="仿宋" w:eastAsia="仿宋" w:cs="仿宋"/>
          <w:b/>
          <w:color w:val="auto"/>
          <w:kern w:val="0"/>
          <w:sz w:val="28"/>
          <w:szCs w:val="28"/>
          <w:highlight w:val="none"/>
        </w:rPr>
        <w:sectPr>
          <w:footerReference r:id="rId5" w:type="default"/>
          <w:pgSz w:w="11906" w:h="16838"/>
          <w:pgMar w:top="1440" w:right="1800" w:bottom="1440" w:left="1800" w:header="851" w:footer="992" w:gutter="0"/>
          <w:pgNumType w:fmt="decimal"/>
          <w:cols w:space="720" w:num="1"/>
          <w:docGrid w:type="lines" w:linePitch="312" w:charSpace="0"/>
        </w:sectPr>
      </w:pPr>
    </w:p>
    <w:p w14:paraId="6ED272CF">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3F56B512">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5F772F05">
      <w:pPr>
        <w:spacing w:line="4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惠州市第一妇幼保健院2024年医学影像信息系统维保服务(含新增工作站）采购项目（三次）</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64E91AB7">
      <w:pPr>
        <w:autoSpaceDE w:val="0"/>
        <w:autoSpaceDN w:val="0"/>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ZCB-YN-2024015</w:t>
      </w:r>
    </w:p>
    <w:p w14:paraId="47C0BEC7">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惠州市第一妇幼保健院2024年医学影像信息系统维保服务(含新增工作站）采购项目（三次）</w:t>
      </w:r>
    </w:p>
    <w:p w14:paraId="32A24F04">
      <w:pPr>
        <w:autoSpaceDE w:val="0"/>
        <w:autoSpaceDN w:val="0"/>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w:t>
      </w:r>
      <w:r>
        <w:rPr>
          <w:rFonts w:hint="eastAsia" w:ascii="仿宋" w:hAnsi="仿宋" w:eastAsia="仿宋" w:cs="仿宋"/>
          <w:color w:val="auto"/>
          <w:sz w:val="24"/>
          <w:highlight w:val="none"/>
          <w:lang w:val="en-US" w:eastAsia="zh-CN"/>
        </w:rPr>
        <w:t>建设</w:t>
      </w:r>
      <w:r>
        <w:rPr>
          <w:rFonts w:hint="eastAsia" w:ascii="仿宋" w:hAnsi="仿宋" w:eastAsia="仿宋" w:cs="仿宋"/>
          <w:color w:val="auto"/>
          <w:sz w:val="24"/>
          <w:highlight w:val="none"/>
          <w:lang w:val="zh-CN"/>
        </w:rPr>
        <w:t>内容：</w:t>
      </w:r>
    </w:p>
    <w:tbl>
      <w:tblPr>
        <w:tblStyle w:val="17"/>
        <w:tblW w:w="95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73"/>
        <w:gridCol w:w="2059"/>
        <w:gridCol w:w="1487"/>
        <w:gridCol w:w="1819"/>
      </w:tblGrid>
      <w:tr w14:paraId="27DD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900" w:type="dxa"/>
            <w:noWrap/>
            <w:vAlign w:val="center"/>
          </w:tcPr>
          <w:p w14:paraId="036C53EF">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3273" w:type="dxa"/>
            <w:noWrap/>
            <w:vAlign w:val="center"/>
          </w:tcPr>
          <w:p w14:paraId="3FC316EB">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项目名称</w:t>
            </w:r>
          </w:p>
        </w:tc>
        <w:tc>
          <w:tcPr>
            <w:tcW w:w="2059" w:type="dxa"/>
            <w:noWrap/>
            <w:vAlign w:val="center"/>
          </w:tcPr>
          <w:p w14:paraId="4922363C">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服务内容</w:t>
            </w:r>
          </w:p>
        </w:tc>
        <w:tc>
          <w:tcPr>
            <w:tcW w:w="1487" w:type="dxa"/>
            <w:noWrap/>
            <w:vAlign w:val="center"/>
          </w:tcPr>
          <w:p w14:paraId="76F02F21">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数量（项）</w:t>
            </w:r>
          </w:p>
        </w:tc>
        <w:tc>
          <w:tcPr>
            <w:tcW w:w="1819" w:type="dxa"/>
            <w:noWrap/>
            <w:vAlign w:val="center"/>
          </w:tcPr>
          <w:p w14:paraId="5E76D7E9">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sz w:val="24"/>
                <w:highlight w:val="none"/>
                <w:lang w:val="en-US" w:eastAsia="zh-CN"/>
              </w:rPr>
              <w:t>最高限价</w:t>
            </w:r>
            <w:r>
              <w:rPr>
                <w:rFonts w:hint="eastAsia" w:ascii="仿宋" w:hAnsi="仿宋" w:eastAsia="仿宋" w:cs="仿宋"/>
                <w:color w:val="auto"/>
                <w:kern w:val="2"/>
                <w:sz w:val="24"/>
                <w:szCs w:val="24"/>
                <w:highlight w:val="none"/>
                <w:lang w:val="en-US" w:eastAsia="zh-CN" w:bidi="ar-SA"/>
              </w:rPr>
              <w:t>（元）</w:t>
            </w:r>
          </w:p>
        </w:tc>
      </w:tr>
      <w:tr w14:paraId="7DE0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0" w:type="dxa"/>
            <w:noWrap w:val="0"/>
            <w:vAlign w:val="center"/>
          </w:tcPr>
          <w:p w14:paraId="7F285F2B">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3273" w:type="dxa"/>
            <w:vMerge w:val="restart"/>
            <w:noWrap w:val="0"/>
            <w:vAlign w:val="center"/>
          </w:tcPr>
          <w:p w14:paraId="71ED9B61">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2024年医学影像信息系统维保服务(含新增工作站）</w:t>
            </w:r>
          </w:p>
        </w:tc>
        <w:tc>
          <w:tcPr>
            <w:tcW w:w="2059" w:type="dxa"/>
            <w:noWrap/>
            <w:vAlign w:val="center"/>
          </w:tcPr>
          <w:p w14:paraId="5966FBBF">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系统维护</w:t>
            </w:r>
          </w:p>
        </w:tc>
        <w:tc>
          <w:tcPr>
            <w:tcW w:w="1487" w:type="dxa"/>
            <w:noWrap/>
            <w:vAlign w:val="center"/>
          </w:tcPr>
          <w:p w14:paraId="7D45A05F">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819" w:type="dxa"/>
            <w:noWrap/>
            <w:vAlign w:val="center"/>
          </w:tcPr>
          <w:p w14:paraId="741D31FF">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37000.00</w:t>
            </w:r>
          </w:p>
        </w:tc>
      </w:tr>
      <w:tr w14:paraId="662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00" w:type="dxa"/>
            <w:noWrap w:val="0"/>
            <w:vAlign w:val="center"/>
          </w:tcPr>
          <w:p w14:paraId="3CE545C4">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3273" w:type="dxa"/>
            <w:vMerge w:val="continue"/>
            <w:noWrap w:val="0"/>
            <w:vAlign w:val="center"/>
          </w:tcPr>
          <w:p w14:paraId="57271D0C">
            <w:pPr>
              <w:autoSpaceDE w:val="0"/>
              <w:autoSpaceDN w:val="0"/>
              <w:spacing w:line="420" w:lineRule="exact"/>
              <w:jc w:val="center"/>
              <w:rPr>
                <w:rFonts w:hint="eastAsia" w:ascii="仿宋" w:hAnsi="仿宋" w:eastAsia="仿宋" w:cs="仿宋"/>
                <w:color w:val="auto"/>
                <w:sz w:val="24"/>
                <w:highlight w:val="none"/>
                <w:lang w:eastAsia="zh-CN"/>
              </w:rPr>
            </w:pPr>
          </w:p>
        </w:tc>
        <w:tc>
          <w:tcPr>
            <w:tcW w:w="2059" w:type="dxa"/>
            <w:noWrap/>
            <w:vAlign w:val="center"/>
          </w:tcPr>
          <w:p w14:paraId="2174806F">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新增工作站</w:t>
            </w:r>
          </w:p>
        </w:tc>
        <w:tc>
          <w:tcPr>
            <w:tcW w:w="1487" w:type="dxa"/>
            <w:noWrap/>
            <w:vAlign w:val="center"/>
          </w:tcPr>
          <w:p w14:paraId="6FE81597">
            <w:pPr>
              <w:autoSpaceDE w:val="0"/>
              <w:autoSpaceDN w:val="0"/>
              <w:spacing w:line="42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1819" w:type="dxa"/>
            <w:noWrap/>
            <w:vAlign w:val="center"/>
          </w:tcPr>
          <w:p w14:paraId="31E58570">
            <w:pPr>
              <w:autoSpaceDE w:val="0"/>
              <w:autoSpaceDN w:val="0"/>
              <w:spacing w:line="42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21000.00</w:t>
            </w:r>
          </w:p>
        </w:tc>
      </w:tr>
    </w:tbl>
    <w:p w14:paraId="47B19A8F">
      <w:pPr>
        <w:numPr>
          <w:ilvl w:val="0"/>
          <w:numId w:val="0"/>
        </w:numPr>
        <w:spacing w:line="420" w:lineRule="exact"/>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¥58000.00</w:t>
      </w:r>
      <w:r>
        <w:rPr>
          <w:rFonts w:hint="eastAsia" w:ascii="仿宋" w:hAnsi="仿宋" w:eastAsia="仿宋" w:cs="仿宋"/>
          <w:b w:val="0"/>
          <w:bCs w:val="0"/>
          <w:color w:val="auto"/>
          <w:sz w:val="24"/>
          <w:highlight w:val="none"/>
          <w:u w:val="none" w:color="auto"/>
          <w:lang w:val="zh-CN" w:eastAsia="zh-CN"/>
        </w:rPr>
        <w:t>元</w:t>
      </w:r>
    </w:p>
    <w:p w14:paraId="1A5865AD">
      <w:pPr>
        <w:spacing w:line="420" w:lineRule="exact"/>
        <w:ind w:firstLine="504"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响应的供应商应当在2024年11月14日起至2024年11月20日（上午08:00-12:00，下午14:30-17:30，法定节假日除外）</w:t>
      </w:r>
      <w:r>
        <w:rPr>
          <w:rFonts w:hint="eastAsia" w:ascii="仿宋" w:hAnsi="仿宋" w:eastAsia="仿宋" w:cs="仿宋"/>
          <w:color w:val="auto"/>
          <w:kern w:val="0"/>
          <w:sz w:val="24"/>
          <w:highlight w:val="none"/>
        </w:rPr>
        <w:t>通过惠州市第一妇幼保健院招标采购办邮箱报名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。招标采购办邮箱：dyfyzcb@huizhou.gov.cn</w:t>
      </w:r>
    </w:p>
    <w:p w14:paraId="566FEA5D">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五、响应文件递交截止时间：2024年11月21日15时（北京时间）</w:t>
      </w:r>
    </w:p>
    <w:p w14:paraId="0D1ACABB">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2B88EBDB">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w:t>
      </w:r>
      <w:r>
        <w:rPr>
          <w:rFonts w:hint="eastAsia" w:ascii="仿宋" w:hAnsi="仿宋" w:eastAsia="仿宋" w:cs="仿宋"/>
          <w:color w:val="auto"/>
          <w:sz w:val="24"/>
          <w:highlight w:val="none"/>
          <w:lang w:val="en-US" w:eastAsia="zh-CN"/>
        </w:rPr>
        <w:t>：2024年11月21日15时15分</w:t>
      </w:r>
      <w:r>
        <w:rPr>
          <w:rFonts w:hint="eastAsia" w:ascii="仿宋" w:hAnsi="仿宋" w:eastAsia="仿宋" w:cs="仿宋"/>
          <w:color w:val="auto"/>
          <w:sz w:val="24"/>
          <w:highlight w:val="none"/>
        </w:rPr>
        <w:t>（北京时间）</w:t>
      </w:r>
    </w:p>
    <w:p w14:paraId="0F3FACAB">
      <w:pPr>
        <w:spacing w:line="420" w:lineRule="exact"/>
        <w:ind w:firstLine="504"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3537EAA3">
      <w:pPr>
        <w:spacing w:line="420" w:lineRule="exact"/>
        <w:rPr>
          <w:rFonts w:hint="eastAsia" w:ascii="仿宋" w:hAnsi="仿宋" w:eastAsia="仿宋" w:cs="仿宋"/>
          <w:color w:val="auto"/>
          <w:sz w:val="24"/>
          <w:highlight w:val="none"/>
        </w:rPr>
      </w:pPr>
    </w:p>
    <w:p w14:paraId="27DF0A77">
      <w:pPr>
        <w:spacing w:line="42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58AB8FFA">
      <w:pPr>
        <w:spacing w:line="42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4BBE1F71">
      <w:pPr>
        <w:spacing w:line="42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32E3DC93">
      <w:pPr>
        <w:spacing w:line="420" w:lineRule="exact"/>
        <w:ind w:firstLine="3720" w:firstLineChars="155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DB3C180">
      <w:pPr>
        <w:spacing w:line="420" w:lineRule="exact"/>
        <w:ind w:firstLine="3720"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23BB1A9">
      <w:pPr>
        <w:spacing w:line="420" w:lineRule="exact"/>
        <w:ind w:firstLine="3720"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06800D54">
      <w:pPr>
        <w:spacing w:line="420" w:lineRule="exact"/>
        <w:ind w:firstLine="480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w:t>
      </w:r>
    </w:p>
    <w:p w14:paraId="13DE4C99">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412E38B7">
      <w:pPr>
        <w:numPr>
          <w:ilvl w:val="0"/>
          <w:numId w:val="3"/>
        </w:num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2A079D64">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4D21F9DE">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5F696A4F">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投标人内部的财务报表复印件（新成立公司提供成立至今的月或季度财务报表复印件）；或③截至投标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highlight w:val="none"/>
          <w:lang w:val="en-US" w:eastAsia="zh-CN"/>
        </w:rPr>
        <w:t>12个月</w:t>
      </w:r>
      <w:r>
        <w:rPr>
          <w:rFonts w:hint="eastAsia" w:ascii="仿宋" w:hAnsi="仿宋" w:eastAsia="仿宋" w:cs="仿宋"/>
          <w:color w:val="auto"/>
          <w:sz w:val="24"/>
          <w:highlight w:val="none"/>
        </w:rPr>
        <w:t>内银行出具的资信证明（复印件）；</w:t>
      </w:r>
    </w:p>
    <w:p w14:paraId="76561C13">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08EF2266">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01BC1D31">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14:paraId="47E1D51B">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29E89349">
      <w:pPr>
        <w:tabs>
          <w:tab w:val="left" w:pos="0"/>
        </w:tabs>
        <w:wordWrap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3AFDDEC1">
      <w:pPr>
        <w:tabs>
          <w:tab w:val="left" w:pos="0"/>
        </w:tabs>
        <w:wordWrap w:val="0"/>
        <w:spacing w:line="360" w:lineRule="auto"/>
        <w:ind w:firstLine="480" w:firstLineChars="200"/>
        <w:jc w:val="left"/>
        <w:rPr>
          <w:rFonts w:hint="eastAsia" w:ascii="仿宋" w:hAnsi="仿宋" w:eastAsia="仿宋" w:cs="仿宋"/>
          <w:b/>
          <w:bCs/>
          <w:color w:val="auto"/>
          <w:sz w:val="24"/>
          <w:highlight w:val="none"/>
          <w:lang w:val="zh-CN"/>
        </w:rPr>
      </w:pPr>
      <w:r>
        <w:rPr>
          <w:rFonts w:hint="eastAsia" w:ascii="仿宋" w:hAnsi="仿宋" w:eastAsia="仿宋" w:cs="仿宋"/>
          <w:color w:val="auto"/>
          <w:sz w:val="24"/>
          <w:highlight w:val="none"/>
          <w:lang w:val="zh-CN"/>
        </w:rPr>
        <w:t>3.单位负责人为同一人或者存在直接控股、管理关系的不同供应商，不得参加同一包号</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lang w:val="zh-CN"/>
        </w:rPr>
        <w:t>或者未划分包号的同一采购项目。</w:t>
      </w:r>
      <w:r>
        <w:rPr>
          <w:rFonts w:hint="eastAsia" w:ascii="仿宋" w:hAnsi="仿宋" w:eastAsia="仿宋" w:cs="仿宋"/>
          <w:b/>
          <w:bCs/>
          <w:color w:val="auto"/>
          <w:sz w:val="24"/>
          <w:highlight w:val="none"/>
          <w:lang w:val="zh-CN"/>
        </w:rPr>
        <w:t>(供应商出具声明函)</w:t>
      </w:r>
    </w:p>
    <w:p w14:paraId="33A2A3B8">
      <w:pPr>
        <w:tabs>
          <w:tab w:val="left" w:pos="0"/>
        </w:tabs>
        <w:wordWrap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4.为采购项目提供整体设计、规范编制或者项目管理、监理、检测等服务的供应商，不得再参加该采购项目的其他采购活动。</w:t>
      </w:r>
      <w:r>
        <w:rPr>
          <w:rFonts w:hint="eastAsia" w:ascii="仿宋" w:hAnsi="仿宋" w:eastAsia="仿宋" w:cs="仿宋"/>
          <w:b/>
          <w:bCs/>
          <w:color w:val="auto"/>
          <w:sz w:val="24"/>
          <w:highlight w:val="none"/>
          <w:lang w:val="zh-CN"/>
        </w:rPr>
        <w:t>(供应商出具声明函)</w:t>
      </w:r>
    </w:p>
    <w:p w14:paraId="2824B82F">
      <w:pPr>
        <w:tabs>
          <w:tab w:val="left" w:pos="0"/>
        </w:tabs>
        <w:wordWrap w:val="0"/>
        <w:spacing w:line="360" w:lineRule="auto"/>
        <w:ind w:firstLine="480" w:firstLineChars="200"/>
        <w:jc w:val="left"/>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rPr>
        <w:t>5.</w:t>
      </w:r>
      <w:r>
        <w:rPr>
          <w:rFonts w:hint="eastAsia" w:ascii="仿宋" w:hAnsi="仿宋" w:eastAsia="仿宋" w:cs="仿宋"/>
          <w:color w:val="auto"/>
          <w:sz w:val="24"/>
          <w:highlight w:val="none"/>
        </w:rPr>
        <w:t>本项目不接受联合体参加比选，不允许响应供应商对各比选项目进行分包或转包</w:t>
      </w:r>
      <w:r>
        <w:rPr>
          <w:rFonts w:hint="eastAsia" w:ascii="仿宋" w:hAnsi="仿宋" w:eastAsia="仿宋" w:cs="仿宋"/>
          <w:b/>
          <w:bCs/>
          <w:color w:val="auto"/>
          <w:sz w:val="24"/>
          <w:highlight w:val="none"/>
        </w:rPr>
        <w:t>(供应商出具声明函)</w:t>
      </w:r>
      <w:r>
        <w:rPr>
          <w:rFonts w:hint="eastAsia" w:ascii="仿宋" w:hAnsi="仿宋" w:eastAsia="仿宋" w:cs="仿宋"/>
          <w:color w:val="auto"/>
          <w:sz w:val="24"/>
          <w:highlight w:val="none"/>
          <w:lang w:eastAsia="zh-CN"/>
        </w:rPr>
        <w:t>。</w:t>
      </w:r>
    </w:p>
    <w:p w14:paraId="1D38B3C0">
      <w:pPr>
        <w:tabs>
          <w:tab w:val="left" w:pos="0"/>
        </w:tabs>
        <w:wordWrap w:val="0"/>
        <w:spacing w:line="360" w:lineRule="auto"/>
        <w:ind w:firstLine="480" w:firstLineChars="200"/>
        <w:jc w:val="left"/>
        <w:rPr>
          <w:rFonts w:hint="default" w:eastAsia="宋体"/>
          <w:strike/>
          <w:dstrike w:val="0"/>
          <w:color w:val="auto"/>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选文件P60中小企业声明函（工程、服务），未按要求提供声明函的将导致响应无效）。本项目中小企业划分标准所属行业为</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软件和信息技术服务业。</w:t>
      </w:r>
    </w:p>
    <w:p w14:paraId="149BDF98">
      <w:pPr>
        <w:tabs>
          <w:tab w:val="left" w:pos="0"/>
        </w:tabs>
        <w:wordWrap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已在</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报名。</w:t>
      </w:r>
    </w:p>
    <w:p w14:paraId="46438DE7">
      <w:pPr>
        <w:autoSpaceDE w:val="0"/>
        <w:autoSpaceDN w:val="0"/>
        <w:spacing w:line="360" w:lineRule="auto"/>
        <w:ind w:firstLine="482" w:firstLineChars="200"/>
        <w:rPr>
          <w:rFonts w:hint="eastAsia" w:ascii="仿宋" w:hAnsi="仿宋" w:eastAsia="仿宋" w:cs="仿宋"/>
          <w:b/>
          <w:bCs/>
          <w:color w:val="auto"/>
          <w:sz w:val="24"/>
          <w:highlight w:val="none"/>
          <w:lang w:val="zh-CN"/>
        </w:rPr>
      </w:pPr>
      <w:r>
        <w:rPr>
          <w:rFonts w:hint="eastAsia" w:ascii="仿宋" w:hAnsi="仿宋" w:eastAsia="仿宋" w:cs="仿宋"/>
          <w:b/>
          <w:bCs/>
          <w:color w:val="auto"/>
          <w:sz w:val="24"/>
          <w:highlight w:val="none"/>
          <w:lang w:val="zh-CN"/>
        </w:rPr>
        <w:t>响应供应商必须满足以上资格要求，如出现对任意一条不满足的，评审小组有权决定是否响应有效。</w:t>
      </w:r>
    </w:p>
    <w:p w14:paraId="397A1FB1">
      <w:pPr>
        <w:autoSpaceDE w:val="0"/>
        <w:autoSpaceDN w:val="0"/>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46A2EC5B">
      <w:pPr>
        <w:numPr>
          <w:ilvl w:val="0"/>
          <w:numId w:val="0"/>
        </w:numPr>
        <w:spacing w:line="360" w:lineRule="auto"/>
        <w:ind w:firstLine="482"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3BAC63AF">
      <w:pPr>
        <w:spacing w:line="360" w:lineRule="auto"/>
        <w:ind w:firstLine="482" w:firstLineChars="200"/>
        <w:rPr>
          <w:rFonts w:hint="eastAsia" w:ascii="仿宋" w:hAnsi="仿宋" w:eastAsia="仿宋" w:cs="仿宋"/>
          <w:b w:val="0"/>
          <w:bCs/>
          <w:color w:val="auto"/>
          <w:sz w:val="24"/>
          <w:highlight w:val="none"/>
        </w:rPr>
      </w:pPr>
      <w:r>
        <w:rPr>
          <w:rFonts w:hint="eastAsia" w:ascii="仿宋" w:hAnsi="仿宋" w:eastAsia="仿宋" w:cs="仿宋"/>
          <w:b/>
          <w:color w:val="auto"/>
          <w:sz w:val="24"/>
          <w:highlight w:val="none"/>
          <w:u w:val="none" w:color="auto"/>
        </w:rPr>
        <w:t>1、本项目要求中所出现的产品工艺、材料、设备或参照的型号、品牌仅作为参考建议，不作为限制性要求。“采购项目技术参数要求”中所列参数为最低要求，供应商可以提供相当于或优于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w:t>
      </w:r>
      <w:r>
        <w:rPr>
          <w:rFonts w:hint="eastAsia" w:ascii="仿宋" w:hAnsi="仿宋" w:eastAsia="仿宋" w:cs="仿宋"/>
          <w:b/>
          <w:bCs w:val="0"/>
          <w:color w:val="auto"/>
          <w:sz w:val="24"/>
          <w:highlight w:val="none"/>
          <w:u w:val="none" w:color="auto"/>
        </w:rPr>
        <w:t>数的货物</w:t>
      </w:r>
      <w:r>
        <w:rPr>
          <w:rFonts w:hint="eastAsia" w:ascii="仿宋" w:hAnsi="仿宋" w:eastAsia="仿宋" w:cs="仿宋"/>
          <w:b/>
          <w:bCs w:val="0"/>
          <w:color w:val="auto"/>
          <w:sz w:val="24"/>
          <w:highlight w:val="none"/>
          <w:u w:val="none" w:color="auto"/>
          <w:lang w:eastAsia="zh-CN"/>
        </w:rPr>
        <w:t>，</w:t>
      </w:r>
      <w:r>
        <w:rPr>
          <w:rFonts w:hint="eastAsia" w:ascii="仿宋" w:hAnsi="仿宋" w:eastAsia="仿宋" w:cs="仿宋"/>
          <w:b/>
          <w:bCs w:val="0"/>
          <w:color w:val="auto"/>
          <w:sz w:val="24"/>
          <w:highlight w:val="none"/>
        </w:rPr>
        <w:t>至少应提供对主要技术参数的响应证明材料。响应供应商所响应产品应当提供厂商说明材料，厂商说明材料包括但不限于下列文件：</w:t>
      </w:r>
    </w:p>
    <w:p w14:paraId="789356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03A6E501">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451BA5E4">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2、采购项目中标注★号的内容为实质性要求和条件，如果响应供应商所比选货物、服务与具体要求存在不响应或者负偏离，在符合性审查时将不予通过，响应无效。</w:t>
      </w:r>
    </w:p>
    <w:p w14:paraId="3D508D5D">
      <w:pPr>
        <w:autoSpaceDE w:val="0"/>
        <w:autoSpaceDN w:val="0"/>
        <w:spacing w:line="360" w:lineRule="auto"/>
        <w:ind w:firstLine="482"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3、本采购项目中标注▲号的内容为择优要求和条件，负偏离或不响应▲号条款的响应供应商将影响综合得分。</w:t>
      </w:r>
    </w:p>
    <w:p w14:paraId="3F3FC869">
      <w:pPr>
        <w:autoSpaceDE w:val="0"/>
        <w:autoSpaceDN w:val="0"/>
        <w:spacing w:line="360" w:lineRule="auto"/>
        <w:ind w:firstLine="480" w:firstLineChars="200"/>
        <w:rPr>
          <w:rFonts w:hint="eastAsia" w:ascii="仿宋" w:hAnsi="仿宋" w:eastAsia="仿宋" w:cs="仿宋"/>
          <w:color w:val="auto"/>
          <w:sz w:val="24"/>
          <w:highlight w:val="none"/>
          <w:u w:val="none" w:color="auto"/>
        </w:rPr>
      </w:pPr>
      <w:r>
        <w:rPr>
          <w:rFonts w:hint="eastAsia" w:ascii="仿宋" w:hAnsi="仿宋" w:eastAsia="仿宋" w:cs="仿宋"/>
          <w:color w:val="auto"/>
          <w:sz w:val="24"/>
          <w:highlight w:val="none"/>
          <w:u w:val="none" w:color="auto"/>
        </w:rPr>
        <w:t>4、响应供应商须提供独立密封和装订成册“比选响应文件”一式两份，否则其响应文件将被拒收。</w:t>
      </w:r>
    </w:p>
    <w:p w14:paraId="1CA6389D">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三、比选项目概况</w:t>
      </w:r>
    </w:p>
    <w:p w14:paraId="141A9360">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ZCB-YN-2024015</w:t>
      </w:r>
    </w:p>
    <w:p w14:paraId="38396CB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b w:val="0"/>
          <w:bCs w:val="0"/>
          <w:color w:val="auto"/>
          <w:sz w:val="24"/>
          <w:highlight w:val="none"/>
          <w:u w:val="none" w:color="auto"/>
          <w:lang w:val="en-US" w:eastAsia="zh-CN"/>
        </w:rPr>
        <w:t>惠州市第一妇幼保健院2024年医学影像信息系统维保服务(含新增工作站）采购项目（三次）</w:t>
      </w:r>
    </w:p>
    <w:p w14:paraId="39AF6A6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¥58000.00</w:t>
      </w:r>
      <w:r>
        <w:rPr>
          <w:rFonts w:hint="eastAsia" w:ascii="仿宋" w:hAnsi="仿宋" w:eastAsia="仿宋" w:cs="仿宋"/>
          <w:b w:val="0"/>
          <w:bCs w:val="0"/>
          <w:color w:val="auto"/>
          <w:sz w:val="24"/>
          <w:highlight w:val="none"/>
          <w:u w:val="none" w:color="auto"/>
          <w:lang w:val="zh-CN" w:eastAsia="zh-CN"/>
        </w:rPr>
        <w:t>元。</w:t>
      </w:r>
    </w:p>
    <w:p w14:paraId="6FFD79DF">
      <w:pPr>
        <w:autoSpaceDE w:val="0"/>
        <w:autoSpaceDN w:val="0"/>
        <w:spacing w:line="360" w:lineRule="auto"/>
        <w:ind w:firstLine="482" w:firstLineChars="200"/>
        <w:rPr>
          <w:rFonts w:hint="eastAsia" w:ascii="仿宋" w:hAnsi="仿宋" w:eastAsia="仿宋" w:cs="仿宋"/>
          <w:b/>
          <w:bCs/>
          <w:color w:val="auto"/>
          <w:sz w:val="24"/>
          <w:highlight w:val="none"/>
          <w:u w:val="none" w:color="auto"/>
          <w:lang w:val="en-US" w:eastAsia="zh-CN"/>
        </w:rPr>
      </w:pPr>
      <w:r>
        <w:rPr>
          <w:rFonts w:hint="eastAsia" w:ascii="仿宋" w:hAnsi="仿宋" w:eastAsia="仿宋" w:cs="仿宋"/>
          <w:b/>
          <w:bCs/>
          <w:color w:val="auto"/>
          <w:sz w:val="24"/>
          <w:highlight w:val="none"/>
          <w:u w:val="none" w:color="auto"/>
          <w:lang w:val="en-US" w:eastAsia="zh-CN"/>
        </w:rPr>
        <w:t>四、服务要求：</w:t>
      </w:r>
    </w:p>
    <w:p w14:paraId="27C1B899">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1.建设目标</w:t>
      </w:r>
    </w:p>
    <w:p w14:paraId="2CDD24E6">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default" w:ascii="仿宋" w:hAnsi="仿宋" w:eastAsia="仿宋" w:cs="仿宋"/>
          <w:b w:val="0"/>
          <w:bCs w:val="0"/>
          <w:color w:val="auto"/>
          <w:sz w:val="24"/>
          <w:highlight w:val="none"/>
          <w:u w:val="none" w:color="auto"/>
          <w:lang w:val="en-US" w:eastAsia="zh-CN"/>
        </w:rPr>
        <w:t>为满足体检中心的业务需求，需接入一台设备，保证系统正常工作。</w:t>
      </w:r>
    </w:p>
    <w:p w14:paraId="161E5B18">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default" w:ascii="仿宋" w:hAnsi="仿宋" w:eastAsia="仿宋" w:cs="仿宋"/>
          <w:b w:val="0"/>
          <w:bCs w:val="0"/>
          <w:color w:val="auto"/>
          <w:sz w:val="24"/>
          <w:highlight w:val="none"/>
          <w:u w:val="none" w:color="auto"/>
          <w:lang w:val="en-US" w:eastAsia="zh-CN"/>
        </w:rPr>
        <w:t>负责维护保障医院蓝网医学影像信息系统（PACS）软件V7.0的正常运行。</w:t>
      </w:r>
    </w:p>
    <w:p w14:paraId="0E5DB186">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供应商需具有提供本院同版本系统维保服务的能力，即具备对医院</w:t>
      </w:r>
      <w:r>
        <w:rPr>
          <w:rFonts w:hint="eastAsia" w:ascii="仿宋" w:hAnsi="仿宋" w:eastAsia="仿宋" w:cs="仿宋"/>
          <w:color w:val="auto"/>
          <w:sz w:val="24"/>
          <w:highlight w:val="none"/>
          <w:u w:val="none" w:color="auto"/>
          <w:lang w:val="en-US" w:eastAsia="zh-CN"/>
        </w:rPr>
        <w:t>蓝网医学影像信息系统</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lang w:val="en-US" w:eastAsia="zh-CN"/>
        </w:rPr>
        <w:t>PACS</w:t>
      </w:r>
      <w:r>
        <w:rPr>
          <w:rFonts w:hint="eastAsia" w:ascii="仿宋" w:hAnsi="仿宋" w:eastAsia="仿宋" w:cs="仿宋"/>
          <w:color w:val="auto"/>
          <w:sz w:val="24"/>
          <w:highlight w:val="none"/>
          <w:u w:val="none" w:color="auto"/>
          <w:lang w:eastAsia="zh-CN"/>
        </w:rPr>
        <w:t>）</w:t>
      </w:r>
      <w:r>
        <w:rPr>
          <w:rFonts w:hint="eastAsia" w:ascii="仿宋" w:hAnsi="仿宋" w:eastAsia="仿宋" w:cs="仿宋"/>
          <w:color w:val="auto"/>
          <w:sz w:val="24"/>
          <w:highlight w:val="none"/>
          <w:u w:val="none" w:color="auto"/>
          <w:lang w:val="en-US" w:eastAsia="zh-CN"/>
        </w:rPr>
        <w:t>软件V7.0</w:t>
      </w:r>
      <w:r>
        <w:rPr>
          <w:rFonts w:hint="eastAsia" w:ascii="仿宋" w:hAnsi="仿宋" w:eastAsia="仿宋" w:cs="仿宋"/>
          <w:b w:val="0"/>
          <w:bCs w:val="0"/>
          <w:color w:val="auto"/>
          <w:sz w:val="24"/>
          <w:highlight w:val="none"/>
          <w:u w:val="none" w:color="auto"/>
          <w:lang w:val="en-US" w:eastAsia="zh-CN"/>
        </w:rPr>
        <w:t>的维护能力，可提供如系统源代码、相关授权、历史服务项目案例、历史服务客户评价函等材料。</w:t>
      </w:r>
    </w:p>
    <w:p w14:paraId="5F43A3B6">
      <w:pPr>
        <w:autoSpaceDE w:val="0"/>
        <w:autoSpaceDN w:val="0"/>
        <w:spacing w:line="360" w:lineRule="auto"/>
        <w:ind w:firstLine="480" w:firstLineChars="200"/>
        <w:rPr>
          <w:rFonts w:hint="default" w:ascii="宋体" w:hAnsi="宋体" w:eastAsia="宋体" w:cs="宋体"/>
          <w:color w:val="000000"/>
          <w:sz w:val="24"/>
          <w:szCs w:val="24"/>
          <w:highlight w:val="none"/>
        </w:rPr>
      </w:pPr>
      <w:r>
        <w:rPr>
          <w:rFonts w:hint="eastAsia" w:ascii="仿宋" w:hAnsi="仿宋" w:eastAsia="仿宋" w:cs="仿宋"/>
          <w:b w:val="0"/>
          <w:bCs w:val="0"/>
          <w:color w:val="auto"/>
          <w:sz w:val="24"/>
          <w:highlight w:val="none"/>
          <w:u w:val="none" w:color="auto"/>
          <w:lang w:val="en-US" w:eastAsia="zh-CN"/>
        </w:rPr>
        <w:t>2.服务清单</w:t>
      </w:r>
    </w:p>
    <w:tbl>
      <w:tblPr>
        <w:tblStyle w:val="17"/>
        <w:tblW w:w="46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282"/>
        <w:gridCol w:w="3532"/>
        <w:gridCol w:w="1268"/>
        <w:gridCol w:w="1803"/>
      </w:tblGrid>
      <w:tr w14:paraId="3E5DD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blHeader/>
          <w:jc w:val="center"/>
        </w:trPr>
        <w:tc>
          <w:tcPr>
            <w:tcW w:w="464" w:type="pct"/>
            <w:noWrap w:val="0"/>
            <w:vAlign w:val="center"/>
          </w:tcPr>
          <w:p w14:paraId="71E3FC90">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序号</w:t>
            </w:r>
          </w:p>
        </w:tc>
        <w:tc>
          <w:tcPr>
            <w:tcW w:w="737" w:type="pct"/>
            <w:noWrap w:val="0"/>
            <w:vAlign w:val="center"/>
          </w:tcPr>
          <w:p w14:paraId="4009B733">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模块名称</w:t>
            </w:r>
          </w:p>
        </w:tc>
        <w:tc>
          <w:tcPr>
            <w:tcW w:w="2031" w:type="pct"/>
            <w:noWrap w:val="0"/>
            <w:vAlign w:val="center"/>
          </w:tcPr>
          <w:p w14:paraId="77E64BA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内容描述</w:t>
            </w:r>
          </w:p>
        </w:tc>
        <w:tc>
          <w:tcPr>
            <w:tcW w:w="729" w:type="pct"/>
            <w:noWrap w:val="0"/>
            <w:vAlign w:val="center"/>
          </w:tcPr>
          <w:p w14:paraId="4BB1CF5F">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数量（项）</w:t>
            </w:r>
          </w:p>
        </w:tc>
        <w:tc>
          <w:tcPr>
            <w:tcW w:w="1037" w:type="pct"/>
            <w:noWrap w:val="0"/>
            <w:vAlign w:val="center"/>
          </w:tcPr>
          <w:p w14:paraId="750EB6A4">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sz w:val="24"/>
                <w:highlight w:val="none"/>
                <w:lang w:val="en-US" w:eastAsia="zh-CN"/>
              </w:rPr>
              <w:t>最高限价</w:t>
            </w:r>
            <w:r>
              <w:rPr>
                <w:rFonts w:hint="eastAsia" w:ascii="仿宋" w:hAnsi="仿宋" w:eastAsia="仿宋" w:cs="仿宋"/>
                <w:color w:val="auto"/>
                <w:kern w:val="2"/>
                <w:sz w:val="24"/>
                <w:szCs w:val="24"/>
                <w:highlight w:val="none"/>
                <w:lang w:val="en-US" w:eastAsia="zh-CN" w:bidi="ar-SA"/>
              </w:rPr>
              <w:t>（元）</w:t>
            </w:r>
          </w:p>
        </w:tc>
      </w:tr>
      <w:tr w14:paraId="546C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64" w:type="pct"/>
            <w:noWrap w:val="0"/>
            <w:vAlign w:val="center"/>
          </w:tcPr>
          <w:p w14:paraId="53234EA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p>
        </w:tc>
        <w:tc>
          <w:tcPr>
            <w:tcW w:w="737" w:type="pct"/>
            <w:vMerge w:val="restart"/>
            <w:noWrap w:val="0"/>
            <w:vAlign w:val="center"/>
          </w:tcPr>
          <w:p w14:paraId="4EA7B3D2">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2024年医学影像信息系统维保服务（含新增工作站）</w:t>
            </w:r>
          </w:p>
        </w:tc>
        <w:tc>
          <w:tcPr>
            <w:tcW w:w="2031" w:type="pct"/>
            <w:noWrap w:val="0"/>
            <w:vAlign w:val="center"/>
          </w:tcPr>
          <w:p w14:paraId="733682AD">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新增工作站：能够接入现有超声网络系统，实现患者登记、病历数据检索、病历管理、影像管理、支持超声设备静态/动态影像采集功能、报告管理、报告打印、病历随访、统计分析、用户管理功能。</w:t>
            </w:r>
          </w:p>
        </w:tc>
        <w:tc>
          <w:tcPr>
            <w:tcW w:w="729" w:type="pct"/>
            <w:noWrap w:val="0"/>
            <w:vAlign w:val="center"/>
          </w:tcPr>
          <w:p w14:paraId="06C7E8FB">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1037" w:type="pct"/>
            <w:noWrap w:val="0"/>
            <w:vAlign w:val="center"/>
          </w:tcPr>
          <w:p w14:paraId="32989CFB">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21000.00</w:t>
            </w:r>
          </w:p>
        </w:tc>
      </w:tr>
      <w:tr w14:paraId="57E3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4" w:type="pct"/>
            <w:noWrap w:val="0"/>
            <w:vAlign w:val="center"/>
          </w:tcPr>
          <w:p w14:paraId="0CA490D8">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p>
        </w:tc>
        <w:tc>
          <w:tcPr>
            <w:tcW w:w="737" w:type="pct"/>
            <w:vMerge w:val="continue"/>
            <w:noWrap w:val="0"/>
            <w:vAlign w:val="center"/>
          </w:tcPr>
          <w:p w14:paraId="21B8D5EA">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p>
        </w:tc>
        <w:tc>
          <w:tcPr>
            <w:tcW w:w="2031" w:type="pct"/>
            <w:noWrap w:val="0"/>
            <w:vAlign w:val="center"/>
          </w:tcPr>
          <w:p w14:paraId="7B4C4C2B">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系统维护：完成医学影像信息系统软件功能需求和bug维护、定期巡检和电话回访、协助医院在系统规划时提供技术支持、提供在线、现场技术支持服务。</w:t>
            </w:r>
          </w:p>
        </w:tc>
        <w:tc>
          <w:tcPr>
            <w:tcW w:w="729" w:type="pct"/>
            <w:noWrap w:val="0"/>
            <w:vAlign w:val="center"/>
          </w:tcPr>
          <w:p w14:paraId="3114CC3E">
            <w:pPr>
              <w:autoSpaceDE w:val="0"/>
              <w:autoSpaceDN w:val="0"/>
              <w:spacing w:line="42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w:t>
            </w:r>
          </w:p>
        </w:tc>
        <w:tc>
          <w:tcPr>
            <w:tcW w:w="1037" w:type="pct"/>
            <w:noWrap w:val="0"/>
            <w:vAlign w:val="center"/>
          </w:tcPr>
          <w:p w14:paraId="55643758">
            <w:pPr>
              <w:autoSpaceDE w:val="0"/>
              <w:autoSpaceDN w:val="0"/>
              <w:spacing w:line="420" w:lineRule="exact"/>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37000.00</w:t>
            </w:r>
          </w:p>
        </w:tc>
      </w:tr>
    </w:tbl>
    <w:p w14:paraId="6BB91827">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p>
    <w:p w14:paraId="416F0CE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3.技术要求</w:t>
      </w:r>
    </w:p>
    <w:p w14:paraId="686F00F8">
      <w:pPr>
        <w:pStyle w:val="5"/>
        <w:numPr>
          <w:ilvl w:val="0"/>
          <w:numId w:val="0"/>
        </w:numPr>
        <w:spacing w:line="360" w:lineRule="auto"/>
        <w:ind w:left="0" w:firstLine="480" w:firstLineChars="200"/>
        <w:rPr>
          <w:rFonts w:hint="eastAsia" w:ascii="仿宋" w:hAnsi="仿宋" w:eastAsia="仿宋" w:cs="仿宋"/>
          <w:b w:val="0"/>
          <w:bCs w:val="0"/>
          <w:color w:val="auto"/>
          <w:kern w:val="2"/>
          <w:sz w:val="24"/>
          <w:szCs w:val="24"/>
          <w:highlight w:val="none"/>
          <w:u w:val="none" w:color="auto"/>
          <w:lang w:val="en-US" w:eastAsia="zh-CN" w:bidi="ar-SA"/>
        </w:rPr>
      </w:pPr>
      <w:bookmarkStart w:id="0" w:name="_Toc121324629"/>
      <w:r>
        <w:rPr>
          <w:rFonts w:hint="eastAsia" w:ascii="仿宋" w:hAnsi="仿宋" w:eastAsia="仿宋" w:cs="仿宋"/>
          <w:b w:val="0"/>
          <w:bCs w:val="0"/>
          <w:color w:val="auto"/>
          <w:kern w:val="2"/>
          <w:sz w:val="24"/>
          <w:szCs w:val="24"/>
          <w:highlight w:val="none"/>
          <w:u w:val="none" w:color="auto"/>
          <w:lang w:val="en-US" w:eastAsia="zh-CN" w:bidi="ar-SA"/>
        </w:rPr>
        <w:t>3.1新增工作站</w:t>
      </w:r>
      <w:bookmarkEnd w:id="0"/>
    </w:p>
    <w:p w14:paraId="090F9F8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3.1.1登记分诊</w:t>
      </w:r>
    </w:p>
    <w:p w14:paraId="7C01166F">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支持通过条码、二维码、就诊卡及电子健康卡提取病人检查申请信息；</w:t>
      </w:r>
    </w:p>
    <w:p w14:paraId="19F2D663">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支持快速新增病人，可以使用连续新增功能和连续预约功能；快速新增基本信息为空病例，后期可再将病例基本信息维护进去；</w:t>
      </w:r>
    </w:p>
    <w:p w14:paraId="7F296166">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支持登记时自动判断复诊病人或复诊弹框提醒，以及复诊病人信息更新；</w:t>
      </w:r>
    </w:p>
    <w:p w14:paraId="72FAD995">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支持根据患者登记顺序生成并打印排队号票；</w:t>
      </w:r>
    </w:p>
    <w:p w14:paraId="0347EA9E">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支持按上下午来取排队号，即上午或下午分别从1号开始取；</w:t>
      </w:r>
    </w:p>
    <w:p w14:paraId="0E066E2C">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支持排队小票格式信息配置，如排队号、检查项目、检查诊室位置、排队人数、时段、注意事项等信息；</w:t>
      </w:r>
    </w:p>
    <w:p w14:paraId="4385D00A">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提供数据检索功能，可以通过多条件检索预约登记的病人信息；</w:t>
      </w:r>
    </w:p>
    <w:p w14:paraId="00940BEA">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对于不同申请类型的病人使用不同的颜色区分显示，如急诊以红色显示；</w:t>
      </w:r>
    </w:p>
    <w:p w14:paraId="4DB00694">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支持根据不同检查类型设置不同的检查队列；</w:t>
      </w:r>
    </w:p>
    <w:p w14:paraId="40BACC8F">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支持查看当天各检查诊室的空闲状态及患者的排队人数情况；</w:t>
      </w:r>
    </w:p>
    <w:p w14:paraId="518E35A0">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支持查看当天各检查队列排队人数、暂停人数、过号人数、受理人数、合计人数；</w:t>
      </w:r>
    </w:p>
    <w:p w14:paraId="48A27E4A">
      <w:pPr>
        <w:numPr>
          <w:ilvl w:val="0"/>
          <w:numId w:val="4"/>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支持显示患者等待时间，患者重新排队时等待时间重置。</w:t>
      </w:r>
    </w:p>
    <w:p w14:paraId="67965CF5">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3.1.2叫号显示</w:t>
      </w:r>
    </w:p>
    <w:p w14:paraId="47725F3C">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支持以检查队列或检查诊室区分显示患者排队信息、已叫号信息、过号信息、正叫信息以及温馨提示信息；</w:t>
      </w:r>
    </w:p>
    <w:p w14:paraId="31351E99">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支持显示患者类型信息如急诊、预约等，按照优先级叫号；支持重复呼叫；</w:t>
      </w:r>
    </w:p>
    <w:p w14:paraId="2BC5D58F">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支持设置呼叫规则以及留号规则；</w:t>
      </w:r>
    </w:p>
    <w:p w14:paraId="08166277">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支持语音设置；包括叫号语音播放次数、报告语音播放次数、设置语音播放；</w:t>
      </w:r>
    </w:p>
    <w:p w14:paraId="3F56D32A">
      <w:pPr>
        <w:numPr>
          <w:ilvl w:val="0"/>
          <w:numId w:val="5"/>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支持叫号屏图像化配置，自定义叫号屏背景，字体等内容。</w:t>
      </w:r>
    </w:p>
    <w:p w14:paraId="0D2EB5FB">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3.1.3病历管理</w:t>
      </w:r>
    </w:p>
    <w:p w14:paraId="0970CDB3">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可以按照检查大类和检查部位来管理检查资源，全方位满足科室的资源管理需求；</w:t>
      </w:r>
    </w:p>
    <w:p w14:paraId="28543BB3">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支持精确查询和模糊查询功能；</w:t>
      </w:r>
    </w:p>
    <w:p w14:paraId="03DEC286">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支持关键字检索功能；</w:t>
      </w:r>
    </w:p>
    <w:p w14:paraId="5170A0E7">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支持自定义设置病历检索条件，并保存采购人的使用习惯；</w:t>
      </w:r>
    </w:p>
    <w:p w14:paraId="036BD181">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对应不同的检查状态（已预约、已登记、已检查、已诊断、已打印）可以设置不同的颜色显示，方便采购人区分病人列表中不同检查状态的病人；</w:t>
      </w:r>
    </w:p>
    <w:p w14:paraId="2AE2D68F">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支持不同类型病人、有病历标签、超时未打印不同颜色显示，如可对疑难病例、危急病例、病历随访设置不同背景颜色；</w:t>
      </w:r>
    </w:p>
    <w:p w14:paraId="335751EE">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支持检索结果列表的字段和顺序由采购人灵活设置，并保存采购人习惯；</w:t>
      </w:r>
    </w:p>
    <w:p w14:paraId="3F6B70E1">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检索结果数据可根据采购人科室权限设置进行分级管理（不同科室的医生只可查看本科室检查数据）；</w:t>
      </w:r>
    </w:p>
    <w:p w14:paraId="10550D3F">
      <w:pPr>
        <w:numPr>
          <w:ilvl w:val="0"/>
          <w:numId w:val="6"/>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检索列表支持弹出菜单选择下一步操作，需包含以下功能：信息修改、图像采集、报告编辑、报告批量打印、查看操作日志。</w:t>
      </w:r>
    </w:p>
    <w:p w14:paraId="43D9D288">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3.1.4医生叫号</w:t>
      </w:r>
    </w:p>
    <w:p w14:paraId="3167CCD1">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支持设置不同的颜色来区别不同的候诊状态；</w:t>
      </w:r>
    </w:p>
    <w:p w14:paraId="5AC24CC4">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支持按规则顺序呼叫、指定呼叫、重复呼叫、出本诊室重新排队（误叫/不满足检查条件）；</w:t>
      </w:r>
    </w:p>
    <w:p w14:paraId="3B97F034">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支持候诊列表按队列显示已呼叫人数、排队人数、暂停人数、过号人数、总人数；</w:t>
      </w:r>
    </w:p>
    <w:p w14:paraId="49AF3FE2">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支持限制诊室医生同时呼叫多个病人；</w:t>
      </w:r>
    </w:p>
    <w:p w14:paraId="5F6234F6">
      <w:pPr>
        <w:numPr>
          <w:ilvl w:val="0"/>
          <w:numId w:val="7"/>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支持隐藏候诊列表病人信息，实现公平叫号。</w:t>
      </w:r>
    </w:p>
    <w:p w14:paraId="1A88B564">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3.1.5影像采集</w:t>
      </w:r>
    </w:p>
    <w:p w14:paraId="2456A37C">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支持模拟信号采集；含DVI、S-Video、RGB输出口图像输出接口；</w:t>
      </w:r>
    </w:p>
    <w:p w14:paraId="6F19B25C">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支持与符合DICOM3.0标准的超声设备无缝集成，设备图像可一键传入超声工作站。支持DICOM采集传输与编辑报告对不同患者分别操作，互不影响，提高超声检查效率。</w:t>
      </w:r>
    </w:p>
    <w:p w14:paraId="2DF760A2">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支持通过采集手柄、键盘快捷键采集图像。</w:t>
      </w:r>
    </w:p>
    <w:p w14:paraId="371F356F">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支持静态图像采集及动态图像采集；动态图像采集可预设采集时间或灵活控制采集时间；采集动态影像时能同步采集多普勒音频；</w:t>
      </w:r>
    </w:p>
    <w:p w14:paraId="5AC2281E">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支持适配不同设备的影像界面，能够设置截取图像区域、图像边框、视频信号；</w:t>
      </w:r>
    </w:p>
    <w:p w14:paraId="3EBCB1A6">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支持图像采集到后台缓冲区，并能够把采集到后台的图像全部导入到当前病人；</w:t>
      </w:r>
    </w:p>
    <w:p w14:paraId="36AAFC56">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支持图像导入、反白、对比分析、自动适应窗体、标注、直线测量、角度测量、矩形测量、椭圆测量、多边形测量、矩形掩模功能；</w:t>
      </w:r>
    </w:p>
    <w:p w14:paraId="013AD25F">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多种图像处理工具，如:校准图像、图像文字标识，图像放大缩小、图像截取、图像聚焦、图像测量、RGB通道调色、图像标注、图像翻转；</w:t>
      </w:r>
    </w:p>
    <w:p w14:paraId="0F28C60D">
      <w:pPr>
        <w:numPr>
          <w:ilvl w:val="0"/>
          <w:numId w:val="8"/>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支持将图像导出为DCM、JPG格式；将影像导出为AVI格式。</w:t>
      </w:r>
    </w:p>
    <w:p w14:paraId="6508336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3.1.6报告编辑</w:t>
      </w:r>
    </w:p>
    <w:p w14:paraId="199388FF">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支持同一诊室两个医生工作模式，一人专业书写报告，一人专业检查采图，同时对两个病人进行检查诊断；</w:t>
      </w:r>
    </w:p>
    <w:p w14:paraId="2506F9FA">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支持影像采集和报告诊断同屏工作模式；</w:t>
      </w:r>
    </w:p>
    <w:p w14:paraId="207D43B4">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支持叫号列表独立弹窗；</w:t>
      </w:r>
    </w:p>
    <w:p w14:paraId="5AF9DACF">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支持诊断知识库管理：可以添加更新术语，增加典型病例，增加正常病例，增加目录，作废节点，还原节点，字体大小设置等操作；</w:t>
      </w:r>
    </w:p>
    <w:p w14:paraId="525E307D">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支持快速添加当前患者病历到知识库中；</w:t>
      </w:r>
    </w:p>
    <w:p w14:paraId="15D4F2C8">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支持所见及所得报告编写方式，提供丰富的专业诊断模板知识库，按检查部位分类；并可自定义公用模板和私用模板；</w:t>
      </w:r>
    </w:p>
    <w:p w14:paraId="60C223EE">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支持诊断报告界面字体、行高、字体大小等设置；</w:t>
      </w:r>
    </w:p>
    <w:p w14:paraId="000838D4">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支持一键调整检查所见和提示字体增大和缩小；</w:t>
      </w:r>
    </w:p>
    <w:p w14:paraId="7076D4F6">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支持按性别显示检查参数参考范围值；</w:t>
      </w:r>
    </w:p>
    <w:p w14:paraId="223A9B73">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支持检查参数设置，便于诊断报告时直接引用；支持编辑报告时需要填入的参数可全键盘录入；</w:t>
      </w:r>
    </w:p>
    <w:p w14:paraId="30505FE3">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bCs/>
          <w:color w:val="auto"/>
          <w:sz w:val="24"/>
          <w:highlight w:val="none"/>
          <w:u w:val="none" w:color="auto"/>
        </w:rPr>
        <w:t>▲</w:t>
      </w:r>
      <w:r>
        <w:rPr>
          <w:rFonts w:hint="eastAsia" w:ascii="仿宋" w:hAnsi="仿宋" w:eastAsia="仿宋" w:cs="仿宋"/>
          <w:b w:val="0"/>
          <w:bCs w:val="0"/>
          <w:color w:val="auto"/>
          <w:sz w:val="24"/>
          <w:highlight w:val="none"/>
          <w:u w:val="none" w:color="auto"/>
          <w:lang w:val="en-US" w:eastAsia="zh-CN"/>
        </w:rPr>
        <w:t>支持诊断报告智能校验提醒。</w:t>
      </w:r>
    </w:p>
    <w:p w14:paraId="1C66667F">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支持引用系统知识库的典型病历报告；支持引用病人历史的检查报告；</w:t>
      </w:r>
    </w:p>
    <w:p w14:paraId="7FC9F27C">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支持测量参数按使用情况在报告单中动态显示，如未测量填值时不在报告单中显示；</w:t>
      </w:r>
    </w:p>
    <w:p w14:paraId="71D82866">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支持调阅第三方电子病历；支持查看相关检查报告和影像；</w:t>
      </w:r>
    </w:p>
    <w:p w14:paraId="14C0E4A1">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支持自动患者匹配功能，如该患者的过往检查历史记录，将查询并提示出来；</w:t>
      </w:r>
    </w:p>
    <w:p w14:paraId="5DFF53E3">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支持报告留痕功能，可查看报告的修改记录；</w:t>
      </w:r>
    </w:p>
    <w:p w14:paraId="5EC2698B">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支持报告打印模板自定义编辑，可设置“适用检查科室”；支持界面字体、行高、加粗、字体大小等设置；</w:t>
      </w:r>
    </w:p>
    <w:p w14:paraId="4E2CCA72">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支持根据采购人选择图像的数量智能图像排列；</w:t>
      </w:r>
    </w:p>
    <w:p w14:paraId="0E904526">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支持报告多级审核机制，上级医生可对报告进行修改、审核、并保存修改记录信息；</w:t>
      </w:r>
    </w:p>
    <w:p w14:paraId="0228512A">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支持打印的图像自动排版并可调整图像排列顺序，打印的图像数量没有限制；</w:t>
      </w:r>
    </w:p>
    <w:p w14:paraId="134FE608">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支持规培医生的报告诊断以及双签报告模式；</w:t>
      </w:r>
    </w:p>
    <w:p w14:paraId="4D879229">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支持报告电子签名验证功能；</w:t>
      </w:r>
    </w:p>
    <w:p w14:paraId="61812E36">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支持多医疗机构的自助打印功能；</w:t>
      </w:r>
    </w:p>
    <w:p w14:paraId="5C372C93">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报告单能另存为JPG图片文件或PDF文件等，方便输出携带；</w:t>
      </w:r>
    </w:p>
    <w:p w14:paraId="45FD5380">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收藏夹支持自定义目录；对操作中的报告可收藏；可设置为典型病例以及教学病例；</w:t>
      </w:r>
    </w:p>
    <w:p w14:paraId="07FD516A">
      <w:pPr>
        <w:numPr>
          <w:ilvl w:val="0"/>
          <w:numId w:val="9"/>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支持不良事件上报、典型病例记录、病历追踪、疑难病例和临床随访标记、手术记录等功能。</w:t>
      </w:r>
    </w:p>
    <w:p w14:paraId="17ED0554">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3.1.7病历追踪模块</w:t>
      </w:r>
    </w:p>
    <w:p w14:paraId="337A947E">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适用于超声病人初步检查结束后持续追踪病人诊断情况；</w:t>
      </w:r>
    </w:p>
    <w:p w14:paraId="3DA602E1">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按检查日期、追踪时间、姓名、性别、追踪状态、病人ID、检查医生、符合情况、检查ID、追踪医生、病历标签条件进行查询；</w:t>
      </w:r>
    </w:p>
    <w:p w14:paraId="5C024C53">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支持对手术结果、病理结果、实验室结果、出院诊断、其他追踪资料进行补充；</w:t>
      </w:r>
    </w:p>
    <w:p w14:paraId="2B8E41AD">
      <w:pPr>
        <w:numPr>
          <w:ilvl w:val="0"/>
          <w:numId w:val="10"/>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支持按检查日期、追踪时间、姓名、性别、追踪状态、病人ID、检查医生、符合情况、检查ID、追踪医生、病历标签条件进行查询。</w:t>
      </w:r>
    </w:p>
    <w:p w14:paraId="52ECBD7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3.1.8科室管理</w:t>
      </w:r>
    </w:p>
    <w:p w14:paraId="0B1FCD8B">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支持报告和影像评价质控功能；</w:t>
      </w:r>
    </w:p>
    <w:p w14:paraId="5FDB79F7">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支持报告和影像评价细项内容和分值自定义；</w:t>
      </w:r>
    </w:p>
    <w:p w14:paraId="366545C8">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支持常规统计报表，如：阳性率统计、检查费用分类统计、登记工作量统计、诊断医生工作量统计、危急报告统计、临床医生申请量统计、检查项目分类统计、设备工作量统计、诊断结果分类统计、诊断符合率统计；</w:t>
      </w:r>
    </w:p>
    <w:p w14:paraId="75A6D7B7">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条件组合查询：统计查询按时间范围、检查部位、病人来源、检查科室、诊断医生、设备名称、费用、积分；</w:t>
      </w:r>
    </w:p>
    <w:p w14:paraId="7AAC1368">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导出数据：数据列表页面下显示的统计数据都可导出，导出的格式为Excel文件；</w:t>
      </w:r>
    </w:p>
    <w:p w14:paraId="71546C8C">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按性别、年龄、检查类别、检查部位、疾病名称进行单个和组合查询；</w:t>
      </w:r>
    </w:p>
    <w:p w14:paraId="10481D9E">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统计结果多模态的数据展示：包括表格、柱状图、饼状图、折线图；</w:t>
      </w:r>
    </w:p>
    <w:p w14:paraId="2218D0BA">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bookmarkStart w:id="1" w:name="_Hlk99122319"/>
      <w:r>
        <w:rPr>
          <w:rFonts w:hint="eastAsia" w:ascii="仿宋" w:hAnsi="仿宋" w:eastAsia="仿宋" w:cs="仿宋"/>
          <w:b w:val="0"/>
          <w:bCs w:val="0"/>
          <w:color w:val="auto"/>
          <w:sz w:val="24"/>
          <w:highlight w:val="none"/>
          <w:u w:val="none" w:color="auto"/>
          <w:lang w:val="en-US" w:eastAsia="zh-CN"/>
        </w:rPr>
        <w:t>支持统计分析结果预览和打印；</w:t>
      </w:r>
    </w:p>
    <w:p w14:paraId="65299587">
      <w:pPr>
        <w:numPr>
          <w:ilvl w:val="0"/>
          <w:numId w:val="11"/>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系统支持数据以Excel文件导出。</w:t>
      </w:r>
      <w:bookmarkEnd w:id="1"/>
    </w:p>
    <w:p w14:paraId="3E6AEF7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3.1.9数据统计与分析</w:t>
      </w:r>
    </w:p>
    <w:p w14:paraId="203CA0B2">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报表设计：按照实际需求设计自定义报表；</w:t>
      </w:r>
    </w:p>
    <w:p w14:paraId="0C0E7980">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按照大类分为：诊断医生工作量、记录医生工作量、申请医生工作量、病人检查记录、检查项目分类、费用分类、设备工作量、报告评审统计、质控报告信息统计、检查部位、预约检查率、医生加班工作量、危急值等统计数据，形成统计报表。</w:t>
      </w:r>
    </w:p>
    <w:p w14:paraId="594E0085">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可设计报表、打印报表、导出数据保存为Excel文件、打印统计图，导出统计图；</w:t>
      </w:r>
    </w:p>
    <w:p w14:paraId="55026CDC">
      <w:pPr>
        <w:numPr>
          <w:ilvl w:val="0"/>
          <w:numId w:val="12"/>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统计结果列表显示、饼形图显示、柱状图显示等多种方式。</w:t>
      </w:r>
    </w:p>
    <w:p w14:paraId="0EDB519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3.1.10其它服务承诺</w:t>
      </w:r>
    </w:p>
    <w:p w14:paraId="0F108FE1">
      <w:pPr>
        <w:numPr>
          <w:ilvl w:val="0"/>
          <w:numId w:val="13"/>
        </w:numPr>
        <w:autoSpaceDE w:val="0"/>
        <w:autoSpaceDN w:val="0"/>
        <w:spacing w:line="360" w:lineRule="auto"/>
        <w:ind w:left="0" w:leftChars="0"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供应商应当保证给采购人本项目的软件产品及技术服务是供应商本项目最成熟、稳定的服务。</w:t>
      </w:r>
    </w:p>
    <w:p w14:paraId="0DFED9A8">
      <w:pPr>
        <w:numPr>
          <w:ilvl w:val="0"/>
          <w:numId w:val="13"/>
        </w:numPr>
        <w:autoSpaceDE w:val="0"/>
        <w:autoSpaceDN w:val="0"/>
        <w:spacing w:line="360" w:lineRule="auto"/>
        <w:ind w:left="0" w:leftChars="0" w:firstLine="567" w:firstLineChars="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培训要求：至少提供对2名受训人员进行维护和保养等技术培训的服务，供应商提供详细的培训计划、培训内容及列明培训时间、地点。</w:t>
      </w:r>
    </w:p>
    <w:p w14:paraId="2C2F0B4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3.2 系统维护</w:t>
      </w:r>
    </w:p>
    <w:p w14:paraId="45A0ADE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医学影像信息系统主要用于超声科检查设备数据管理。其维护服务要求提供基础日常维护、报表开发、系统优化等服务，定期回访、提供运维记录至医院以保障运维效果。</w:t>
      </w:r>
    </w:p>
    <w:p w14:paraId="53DE403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3.2.1技术支持方式</w:t>
      </w:r>
    </w:p>
    <w:p w14:paraId="6AB90E0C">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（1）热线支持</w:t>
      </w:r>
    </w:p>
    <w:p w14:paraId="6088071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提供7×24小时的热线电话支持，责任工程师的移动电话24小时保持畅通。如果采购人使用的系统出现技术故障，无论是软件、硬件或是网络，都可以通过热线电话的到支持与帮助。</w:t>
      </w:r>
    </w:p>
    <w:p w14:paraId="39620C5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电话技术支持，协作采购人工程师的日常维护，电话指导不能解决的问题，1</w:t>
      </w:r>
      <w:r>
        <w:rPr>
          <w:rFonts w:hint="eastAsia"/>
          <w:highlight w:val="none"/>
          <w:lang w:val="en-US" w:eastAsia="zh-CN"/>
        </w:rPr>
        <w:t>个</w:t>
      </w:r>
      <w:r>
        <w:rPr>
          <w:rFonts w:hint="eastAsia" w:ascii="仿宋" w:hAnsi="仿宋" w:eastAsia="仿宋" w:cs="仿宋"/>
          <w:b w:val="0"/>
          <w:bCs w:val="0"/>
          <w:color w:val="auto"/>
          <w:sz w:val="24"/>
          <w:highlight w:val="none"/>
          <w:u w:val="none" w:color="auto"/>
          <w:lang w:val="en-US" w:eastAsia="zh-CN"/>
        </w:rPr>
        <w:t>工作日内抵达现场解决。</w:t>
      </w:r>
    </w:p>
    <w:p w14:paraId="13A50A57">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（2）现场服务</w:t>
      </w:r>
    </w:p>
    <w:p w14:paraId="5CD8D190">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维护期之内，对采购人提供现场服务且不另外收取费用：了解系统的运行状况，</w:t>
      </w:r>
      <w:r>
        <w:rPr>
          <w:rFonts w:hint="eastAsia" w:ascii="仿宋" w:hAnsi="仿宋" w:eastAsia="仿宋" w:cs="仿宋"/>
          <w:b w:val="0"/>
          <w:bCs w:val="0"/>
          <w:color w:val="0000FF"/>
          <w:sz w:val="24"/>
          <w:highlight w:val="none"/>
          <w:u w:val="none" w:color="auto"/>
          <w:lang w:val="en-US" w:eastAsia="zh-CN"/>
        </w:rPr>
        <w:t>对</w:t>
      </w:r>
      <w:r>
        <w:rPr>
          <w:rFonts w:hint="eastAsia" w:ascii="仿宋" w:hAnsi="仿宋" w:eastAsia="仿宋" w:cs="仿宋"/>
          <w:b w:val="0"/>
          <w:bCs w:val="0"/>
          <w:color w:val="auto"/>
          <w:sz w:val="24"/>
          <w:highlight w:val="none"/>
          <w:u w:val="none" w:color="auto"/>
          <w:lang w:val="en-US" w:eastAsia="zh-CN"/>
        </w:rPr>
        <w:t>系统定期维护保养，使系统处于最佳运行状态。技术工程师</w:t>
      </w:r>
      <w:r>
        <w:rPr>
          <w:rFonts w:hint="eastAsia" w:ascii="仿宋" w:hAnsi="仿宋" w:eastAsia="仿宋" w:cs="仿宋"/>
          <w:b w:val="0"/>
          <w:bCs w:val="0"/>
          <w:strike w:val="0"/>
          <w:dstrike w:val="0"/>
          <w:color w:val="0000FF"/>
          <w:sz w:val="24"/>
          <w:highlight w:val="none"/>
          <w:u w:val="none" w:color="auto"/>
          <w:lang w:val="en-US" w:eastAsia="zh-CN"/>
        </w:rPr>
        <w:t>需</w:t>
      </w:r>
      <w:r>
        <w:rPr>
          <w:rFonts w:hint="eastAsia" w:ascii="仿宋" w:hAnsi="仿宋" w:eastAsia="仿宋" w:cs="仿宋"/>
          <w:b w:val="0"/>
          <w:bCs w:val="0"/>
          <w:color w:val="auto"/>
          <w:sz w:val="24"/>
          <w:highlight w:val="none"/>
          <w:u w:val="none" w:color="auto"/>
          <w:lang w:val="en-US" w:eastAsia="zh-CN"/>
        </w:rPr>
        <w:t>帮助采购人在现场进行系统维护，包括：</w:t>
      </w:r>
    </w:p>
    <w:p w14:paraId="0FC7A452">
      <w:pPr>
        <w:numPr>
          <w:ilvl w:val="0"/>
          <w:numId w:val="0"/>
        </w:numPr>
        <w:autoSpaceDE w:val="0"/>
        <w:autoSpaceDN w:val="0"/>
        <w:spacing w:line="360" w:lineRule="auto"/>
        <w:ind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kern w:val="2"/>
          <w:sz w:val="24"/>
          <w:szCs w:val="24"/>
          <w:highlight w:val="none"/>
          <w:lang w:val="en-US" w:eastAsia="zh-CN" w:bidi="ar-SA"/>
        </w:rPr>
        <w:t>A.</w:t>
      </w:r>
      <w:r>
        <w:rPr>
          <w:rFonts w:hint="eastAsia" w:ascii="仿宋" w:hAnsi="仿宋" w:eastAsia="仿宋" w:cs="仿宋"/>
          <w:b w:val="0"/>
          <w:bCs w:val="0"/>
          <w:color w:val="auto"/>
          <w:sz w:val="24"/>
          <w:highlight w:val="none"/>
          <w:u w:val="none" w:color="auto"/>
          <w:lang w:val="en-US" w:eastAsia="zh-CN"/>
        </w:rPr>
        <w:t>系统状况检测</w:t>
      </w:r>
      <w:r>
        <w:rPr>
          <w:rFonts w:hint="eastAsia" w:ascii="仿宋" w:hAnsi="仿宋" w:eastAsia="仿宋" w:cs="仿宋"/>
          <w:b w:val="0"/>
          <w:bCs w:val="0"/>
          <w:color w:val="0000FF"/>
          <w:sz w:val="24"/>
          <w:highlight w:val="none"/>
          <w:u w:val="none" w:color="auto"/>
          <w:lang w:val="en-US" w:eastAsia="zh-CN"/>
        </w:rPr>
        <w:t>：</w:t>
      </w:r>
      <w:r>
        <w:rPr>
          <w:rFonts w:hint="eastAsia" w:ascii="仿宋" w:hAnsi="仿宋" w:eastAsia="仿宋" w:cs="仿宋"/>
          <w:b w:val="0"/>
          <w:bCs w:val="0"/>
          <w:color w:val="auto"/>
          <w:sz w:val="24"/>
          <w:highlight w:val="none"/>
          <w:u w:val="none" w:color="auto"/>
          <w:lang w:val="en-US" w:eastAsia="zh-CN"/>
        </w:rPr>
        <w:t>根据采购人的运行记录和系统的运行日志，对软件、硬件的状况进行检查，及时发现并解决潜在的问题。</w:t>
      </w:r>
    </w:p>
    <w:p w14:paraId="18A2E354">
      <w:pPr>
        <w:numPr>
          <w:ilvl w:val="0"/>
          <w:numId w:val="0"/>
        </w:numPr>
        <w:autoSpaceDE w:val="0"/>
        <w:autoSpaceDN w:val="0"/>
        <w:spacing w:line="360" w:lineRule="auto"/>
        <w:ind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kern w:val="2"/>
          <w:sz w:val="24"/>
          <w:szCs w:val="24"/>
          <w:highlight w:val="none"/>
          <w:lang w:val="en-US" w:eastAsia="zh-CN" w:bidi="ar-SA"/>
        </w:rPr>
        <w:t>B.</w:t>
      </w:r>
      <w:r>
        <w:rPr>
          <w:rFonts w:hint="eastAsia" w:ascii="仿宋" w:hAnsi="仿宋" w:eastAsia="仿宋" w:cs="仿宋"/>
          <w:b w:val="0"/>
          <w:bCs w:val="0"/>
          <w:color w:val="auto"/>
          <w:sz w:val="24"/>
          <w:highlight w:val="none"/>
          <w:u w:val="none" w:color="auto"/>
          <w:lang w:val="en-US" w:eastAsia="zh-CN"/>
        </w:rPr>
        <w:t>系统升级或修补</w:t>
      </w:r>
      <w:r>
        <w:rPr>
          <w:rFonts w:hint="eastAsia" w:ascii="仿宋" w:hAnsi="仿宋" w:eastAsia="仿宋" w:cs="仿宋"/>
          <w:b w:val="0"/>
          <w:bCs w:val="0"/>
          <w:color w:val="0000FF"/>
          <w:sz w:val="24"/>
          <w:highlight w:val="none"/>
          <w:u w:val="none" w:color="auto"/>
          <w:lang w:val="en-US" w:eastAsia="zh-CN"/>
        </w:rPr>
        <w:t>：</w:t>
      </w:r>
      <w:r>
        <w:rPr>
          <w:rFonts w:hint="eastAsia" w:ascii="仿宋" w:hAnsi="仿宋" w:eastAsia="仿宋" w:cs="仿宋"/>
          <w:b w:val="0"/>
          <w:bCs w:val="0"/>
          <w:color w:val="auto"/>
          <w:sz w:val="24"/>
          <w:highlight w:val="none"/>
          <w:u w:val="none" w:color="auto"/>
          <w:lang w:val="en-US" w:eastAsia="zh-CN"/>
        </w:rPr>
        <w:t>根据行业发展和产品厂商提供的支持，定期对系统性能测试及调整，解答采购人</w:t>
      </w:r>
      <w:r>
        <w:rPr>
          <w:rFonts w:hint="eastAsia" w:ascii="仿宋" w:hAnsi="仿宋" w:eastAsia="仿宋" w:cs="仿宋"/>
          <w:b w:val="0"/>
          <w:bCs w:val="0"/>
          <w:color w:val="0000FF"/>
          <w:sz w:val="24"/>
          <w:highlight w:val="none"/>
          <w:u w:val="none" w:color="auto"/>
          <w:lang w:val="en-US" w:eastAsia="zh-CN"/>
        </w:rPr>
        <w:t>有关</w:t>
      </w:r>
      <w:r>
        <w:rPr>
          <w:rFonts w:hint="eastAsia" w:ascii="仿宋" w:hAnsi="仿宋" w:eastAsia="仿宋" w:cs="仿宋"/>
          <w:b w:val="0"/>
          <w:bCs w:val="0"/>
          <w:color w:val="auto"/>
          <w:sz w:val="24"/>
          <w:highlight w:val="none"/>
          <w:u w:val="none" w:color="auto"/>
          <w:lang w:val="en-US" w:eastAsia="zh-CN"/>
        </w:rPr>
        <w:t>系统维护的问题，了解采购人对服务的满意程度和新的需求。</w:t>
      </w:r>
    </w:p>
    <w:p w14:paraId="79A1F9F3">
      <w:pPr>
        <w:numPr>
          <w:ilvl w:val="0"/>
          <w:numId w:val="0"/>
        </w:numPr>
        <w:autoSpaceDE w:val="0"/>
        <w:autoSpaceDN w:val="0"/>
        <w:spacing w:line="360" w:lineRule="auto"/>
        <w:ind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kern w:val="2"/>
          <w:sz w:val="24"/>
          <w:szCs w:val="24"/>
          <w:highlight w:val="none"/>
          <w:lang w:val="en-US" w:eastAsia="zh-CN" w:bidi="ar-SA"/>
        </w:rPr>
        <w:t>C.</w:t>
      </w:r>
      <w:r>
        <w:rPr>
          <w:rFonts w:hint="eastAsia" w:ascii="仿宋" w:hAnsi="仿宋" w:eastAsia="仿宋" w:cs="仿宋"/>
          <w:b w:val="0"/>
          <w:bCs w:val="0"/>
          <w:color w:val="auto"/>
          <w:sz w:val="24"/>
          <w:highlight w:val="none"/>
          <w:u w:val="none" w:color="auto"/>
          <w:lang w:val="en-US" w:eastAsia="zh-CN"/>
        </w:rPr>
        <w:t>紧急上门服务</w:t>
      </w:r>
      <w:r>
        <w:rPr>
          <w:rFonts w:hint="eastAsia" w:ascii="仿宋" w:hAnsi="仿宋" w:eastAsia="仿宋" w:cs="仿宋"/>
          <w:b w:val="0"/>
          <w:bCs w:val="0"/>
          <w:color w:val="0000FF"/>
          <w:sz w:val="24"/>
          <w:highlight w:val="none"/>
          <w:u w:val="none" w:color="auto"/>
          <w:lang w:val="en-US" w:eastAsia="zh-CN"/>
        </w:rPr>
        <w:t>：</w:t>
      </w:r>
      <w:r>
        <w:rPr>
          <w:rFonts w:hint="eastAsia" w:ascii="仿宋" w:hAnsi="仿宋" w:eastAsia="仿宋" w:cs="仿宋"/>
          <w:b w:val="0"/>
          <w:bCs w:val="0"/>
          <w:color w:val="auto"/>
          <w:sz w:val="24"/>
          <w:highlight w:val="none"/>
          <w:u w:val="none" w:color="auto"/>
          <w:lang w:val="en-US" w:eastAsia="zh-CN"/>
        </w:rPr>
        <w:t>系统故障或系统灾难导致系统正常工作受到影响，5小时内赶到现场服务。</w:t>
      </w:r>
    </w:p>
    <w:p w14:paraId="3AC7E7D3">
      <w:pPr>
        <w:numPr>
          <w:ilvl w:val="0"/>
          <w:numId w:val="0"/>
        </w:numPr>
        <w:autoSpaceDE w:val="0"/>
        <w:autoSpaceDN w:val="0"/>
        <w:spacing w:line="360" w:lineRule="auto"/>
        <w:ind w:firstLine="567" w:firstLineChars="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kern w:val="2"/>
          <w:sz w:val="24"/>
          <w:szCs w:val="24"/>
          <w:highlight w:val="none"/>
          <w:lang w:val="en-US" w:eastAsia="zh-CN" w:bidi="ar-SA"/>
        </w:rPr>
        <w:t>D.</w:t>
      </w:r>
      <w:r>
        <w:rPr>
          <w:rFonts w:hint="eastAsia" w:ascii="仿宋" w:hAnsi="仿宋" w:eastAsia="仿宋" w:cs="仿宋"/>
          <w:b w:val="0"/>
          <w:bCs w:val="0"/>
          <w:color w:val="auto"/>
          <w:sz w:val="24"/>
          <w:highlight w:val="none"/>
          <w:u w:val="none" w:color="auto"/>
          <w:lang w:val="en-US" w:eastAsia="zh-CN"/>
        </w:rPr>
        <w:t>服务期后成交供应商须提供终生维护，服务方式和服务费由双方协商约定。</w:t>
      </w:r>
    </w:p>
    <w:p w14:paraId="669E8567">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3.2.2技术支持内容</w:t>
      </w:r>
    </w:p>
    <w:p w14:paraId="49E4947F">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（1）设备维修与更换</w:t>
      </w:r>
    </w:p>
    <w:p w14:paraId="263BBCC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维保期内，当采购人使用的设备发生故障时，成交供应商负责对设备进行维修和部件更换，且不另外收取费用；维保期外，继续为采购人提供维修服务，更换的部件酌情收取成本费，费用由双方协商约定。</w:t>
      </w:r>
    </w:p>
    <w:p w14:paraId="7469D970">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（2）系统功能完善</w:t>
      </w:r>
    </w:p>
    <w:p w14:paraId="371FA3BF">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A.软件的日常维护。</w:t>
      </w:r>
    </w:p>
    <w:p w14:paraId="43BAA708">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B.程序修改</w:t>
      </w:r>
      <w:r>
        <w:rPr>
          <w:rFonts w:hint="eastAsia" w:ascii="仿宋" w:hAnsi="仿宋" w:eastAsia="仿宋" w:cs="仿宋"/>
          <w:b w:val="0"/>
          <w:bCs w:val="0"/>
          <w:color w:val="0000FF"/>
          <w:sz w:val="24"/>
          <w:highlight w:val="none"/>
          <w:u w:val="none" w:color="auto"/>
          <w:lang w:val="en-US" w:eastAsia="zh-CN"/>
        </w:rPr>
        <w:t>：</w:t>
      </w:r>
      <w:r>
        <w:rPr>
          <w:rFonts w:hint="eastAsia" w:ascii="仿宋" w:hAnsi="仿宋" w:eastAsia="仿宋" w:cs="仿宋"/>
          <w:b w:val="0"/>
          <w:bCs w:val="0"/>
          <w:color w:val="auto"/>
          <w:sz w:val="24"/>
          <w:highlight w:val="none"/>
          <w:u w:val="none" w:color="auto"/>
          <w:lang w:val="en-US" w:eastAsia="zh-CN"/>
        </w:rPr>
        <w:t>根据采购人需求提供任何修改，且不另外收取费用，要求程序错误类2小时内完成，统计报表类24小时内完成，其它修改（如功能的增加或调整、接口开发等）一周内完成，特殊要求不能按时完成时，必须征得采购人同意并在指定时间内完成。</w:t>
      </w:r>
    </w:p>
    <w:p w14:paraId="36173370">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C.系统故障处理。</w:t>
      </w:r>
    </w:p>
    <w:p w14:paraId="5305171A">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D.系统性能优化。</w:t>
      </w:r>
    </w:p>
    <w:p w14:paraId="60997495">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（3）数据库维护</w:t>
      </w:r>
    </w:p>
    <w:p w14:paraId="5B13FF16">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A.数据库系统故障处理</w:t>
      </w:r>
      <w:r>
        <w:rPr>
          <w:rFonts w:hint="eastAsia" w:ascii="仿宋" w:hAnsi="仿宋" w:eastAsia="仿宋" w:cs="仿宋"/>
          <w:b w:val="0"/>
          <w:bCs w:val="0"/>
          <w:color w:val="0000FF"/>
          <w:sz w:val="24"/>
          <w:highlight w:val="none"/>
          <w:u w:val="none" w:color="auto"/>
          <w:lang w:val="en-US" w:eastAsia="zh-CN"/>
        </w:rPr>
        <w:t>。</w:t>
      </w:r>
    </w:p>
    <w:p w14:paraId="0300A2A7">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B.数据库性能优化。</w:t>
      </w:r>
    </w:p>
    <w:p w14:paraId="3CA7E6A7">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C.数据库备份与恢复。</w:t>
      </w:r>
    </w:p>
    <w:p w14:paraId="34CAFF1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D.数据库整理。</w:t>
      </w:r>
    </w:p>
    <w:p w14:paraId="6FB6B1E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FF0000"/>
          <w:sz w:val="24"/>
          <w:highlight w:val="none"/>
          <w:u w:val="none" w:color="auto"/>
          <w:lang w:val="en-US" w:eastAsia="zh-CN"/>
        </w:rPr>
        <w:t>（4）</w:t>
      </w:r>
      <w:r>
        <w:rPr>
          <w:rFonts w:hint="eastAsia" w:ascii="仿宋" w:hAnsi="仿宋" w:eastAsia="仿宋" w:cs="仿宋"/>
          <w:b w:val="0"/>
          <w:bCs w:val="0"/>
          <w:color w:val="auto"/>
          <w:sz w:val="24"/>
          <w:highlight w:val="none"/>
          <w:u w:val="none" w:color="auto"/>
          <w:lang w:val="en-US" w:eastAsia="zh-CN"/>
        </w:rPr>
        <w:t>所提供的软件功能如有增强、扩展及其它变化时，</w:t>
      </w:r>
      <w:r>
        <w:rPr>
          <w:rFonts w:hint="eastAsia" w:ascii="仿宋" w:hAnsi="仿宋" w:eastAsia="仿宋" w:cs="仿宋"/>
          <w:b w:val="0"/>
          <w:bCs w:val="0"/>
          <w:strike w:val="0"/>
          <w:dstrike w:val="0"/>
          <w:color w:val="FF0000"/>
          <w:sz w:val="24"/>
          <w:highlight w:val="none"/>
          <w:u w:val="none" w:color="auto"/>
          <w:lang w:val="en-US" w:eastAsia="zh-CN"/>
        </w:rPr>
        <w:t>供应商需提供</w:t>
      </w:r>
      <w:r>
        <w:rPr>
          <w:rFonts w:hint="eastAsia" w:ascii="仿宋" w:hAnsi="仿宋" w:eastAsia="仿宋" w:cs="仿宋"/>
          <w:b w:val="0"/>
          <w:bCs w:val="0"/>
          <w:color w:val="auto"/>
          <w:sz w:val="24"/>
          <w:highlight w:val="none"/>
          <w:u w:val="none" w:color="auto"/>
          <w:lang w:val="en-US" w:eastAsia="zh-CN"/>
        </w:rPr>
        <w:t>最新的介绍资料和修补软件，包括对软件新的改进、增加的新功能或者为适应最新标准所形成的最新版本，软件的介质可以根据采购人的需要，提供磁盘、磁带或CD-ROM。</w:t>
      </w:r>
    </w:p>
    <w:p w14:paraId="7888F37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系统升级完成后，进行详细测试，确保系统升级后仍然可以正常运转。对于升级过程中遇到的问题应当及时通过各种途径加以解决。做好详细的系统升级报告，作为文档提交给采购人保存。对采购人进行相应的培训，确保采购人可以正常使用升级后的系统。</w:t>
      </w:r>
    </w:p>
    <w:p w14:paraId="54A9DDBE">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bookmarkStart w:id="2" w:name="_Toc533366591"/>
      <w:bookmarkStart w:id="3" w:name="_Toc37422440"/>
      <w:r>
        <w:rPr>
          <w:rFonts w:hint="eastAsia" w:ascii="仿宋" w:hAnsi="仿宋" w:eastAsia="仿宋" w:cs="仿宋"/>
          <w:b w:val="0"/>
          <w:bCs w:val="0"/>
          <w:color w:val="auto"/>
          <w:sz w:val="24"/>
          <w:highlight w:val="none"/>
          <w:u w:val="none" w:color="auto"/>
          <w:lang w:val="en-US" w:eastAsia="zh-CN"/>
        </w:rPr>
        <w:t>3.2.3应急维修时间安排</w:t>
      </w:r>
      <w:bookmarkEnd w:id="2"/>
      <w:bookmarkEnd w:id="3"/>
    </w:p>
    <w:p w14:paraId="1EBB3CD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（1）服务响应时间：一小时内响应。</w:t>
      </w:r>
    </w:p>
    <w:p w14:paraId="00571397">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到达现场时间：确认故障后和采购人商定，需以最快时间到达现场，进行紧急故障处理，到场后2小时解决问题。如出现2小时无法解决的问题，需提供相应备件产品供采购人使用，尽最大努力降低采购人的损失。</w:t>
      </w:r>
    </w:p>
    <w:p w14:paraId="705647FE">
      <w:pPr>
        <w:autoSpaceDE w:val="0"/>
        <w:autoSpaceDN w:val="0"/>
        <w:spacing w:line="360" w:lineRule="auto"/>
        <w:ind w:firstLine="480" w:firstLineChars="200"/>
        <w:rPr>
          <w:rFonts w:hint="default" w:ascii="仿宋" w:hAnsi="仿宋" w:eastAsia="仿宋" w:cs="仿宋"/>
          <w:b w:val="0"/>
          <w:bCs w:val="0"/>
          <w:color w:val="auto"/>
          <w:sz w:val="24"/>
          <w:highlight w:val="none"/>
          <w:u w:val="none" w:color="auto"/>
          <w:lang w:val="en-US" w:eastAsia="zh-CN"/>
        </w:rPr>
      </w:pPr>
      <w:bookmarkStart w:id="4" w:name="_Toc533366592"/>
      <w:bookmarkStart w:id="5" w:name="_Toc37422441"/>
      <w:r>
        <w:rPr>
          <w:rFonts w:hint="eastAsia" w:ascii="仿宋" w:hAnsi="仿宋" w:eastAsia="仿宋" w:cs="仿宋"/>
          <w:b w:val="0"/>
          <w:bCs w:val="0"/>
          <w:color w:val="auto"/>
          <w:sz w:val="24"/>
          <w:highlight w:val="none"/>
          <w:u w:val="none" w:color="auto"/>
          <w:lang w:val="en-US" w:eastAsia="zh-CN"/>
        </w:rPr>
        <w:t>3.2.4主要零配件</w:t>
      </w:r>
      <w:bookmarkEnd w:id="4"/>
      <w:bookmarkEnd w:id="5"/>
      <w:r>
        <w:rPr>
          <w:rFonts w:hint="eastAsia" w:ascii="仿宋" w:hAnsi="仿宋" w:eastAsia="仿宋" w:cs="仿宋"/>
          <w:b w:val="0"/>
          <w:bCs w:val="0"/>
          <w:color w:val="auto"/>
          <w:sz w:val="24"/>
          <w:highlight w:val="none"/>
          <w:u w:val="none" w:color="auto"/>
          <w:lang w:val="en-US" w:eastAsia="zh-CN"/>
        </w:rPr>
        <w:t>、易耗品</w:t>
      </w:r>
    </w:p>
    <w:p w14:paraId="26D838A5">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（1）主要零配件：</w:t>
      </w:r>
    </w:p>
    <w:p w14:paraId="24B9C334">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A.在维保期内，成交供应商需对系统运行出现的故障进行处理和对故障部件进行更换，且不另外收取费用。</w:t>
      </w:r>
    </w:p>
    <w:p w14:paraId="3335A7B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B.维保期结束后，仍提供长期的维护服务；软件具体收费按合同执行，硬件按采购即时的成本执行。</w:t>
      </w:r>
    </w:p>
    <w:p w14:paraId="1A686813">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（2）易耗品</w:t>
      </w:r>
    </w:p>
    <w:p w14:paraId="118B8738">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A.在维保期内，对易耗品（如加密狗）出现故障的部件进行更换，并将损坏的部件收回，且不另外收取费用。</w:t>
      </w:r>
    </w:p>
    <w:p w14:paraId="05B2C5AE">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B.维保期结束后，仍提供长期的维护服务，硬件按采购即时的成本执行。</w:t>
      </w:r>
    </w:p>
    <w:p w14:paraId="00F6AFAF">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bookmarkStart w:id="6" w:name="_Toc37422442"/>
      <w:bookmarkStart w:id="7" w:name="_Toc533366593"/>
      <w:r>
        <w:rPr>
          <w:rFonts w:hint="eastAsia" w:ascii="仿宋" w:hAnsi="仿宋" w:eastAsia="仿宋" w:cs="仿宋"/>
          <w:b w:val="0"/>
          <w:bCs w:val="0"/>
          <w:color w:val="auto"/>
          <w:sz w:val="24"/>
          <w:highlight w:val="none"/>
          <w:u w:val="none" w:color="auto"/>
          <w:lang w:val="en-US" w:eastAsia="zh-CN"/>
        </w:rPr>
        <w:t>3.2.5其它服务承诺</w:t>
      </w:r>
      <w:bookmarkEnd w:id="6"/>
      <w:bookmarkEnd w:id="7"/>
    </w:p>
    <w:p w14:paraId="2400BAD5">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（1）当服务器硬件系统出问题，一时无法恢复时，成交供应商需启用应急处理措施，为采购人提供临时服务器解决方案，保证医院系统不影响正常的工作；</w:t>
      </w:r>
    </w:p>
    <w:p w14:paraId="3E41FA02">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（2）维护期内提供400电话支持，且不另外收取费用；</w:t>
      </w:r>
    </w:p>
    <w:p w14:paraId="267D70C1">
      <w:pPr>
        <w:autoSpaceDE w:val="0"/>
        <w:autoSpaceDN w:val="0"/>
        <w:spacing w:line="360" w:lineRule="auto"/>
        <w:ind w:firstLine="480"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（3）系统软件在合同期内保证95%的开机率（停机时间少于5%），每周计5天，每天计8小时，法定假期除外。</w:t>
      </w:r>
    </w:p>
    <w:p w14:paraId="79FC042F">
      <w:pPr>
        <w:pStyle w:val="12"/>
        <w:numPr>
          <w:ilvl w:val="0"/>
          <w:numId w:val="0"/>
        </w:numPr>
        <w:adjustRightInd w:val="0"/>
        <w:snapToGrid w:val="0"/>
        <w:spacing w:line="500" w:lineRule="exact"/>
        <w:ind w:firstLine="482" w:firstLineChars="200"/>
        <w:rPr>
          <w:rFonts w:hint="eastAsia" w:ascii="仿宋" w:hAnsi="仿宋" w:eastAsia="仿宋" w:cs="仿宋"/>
          <w:b/>
          <w:bCs/>
          <w:color w:val="auto"/>
          <w:kern w:val="2"/>
          <w:sz w:val="24"/>
          <w:szCs w:val="24"/>
          <w:highlight w:val="none"/>
          <w:u w:val="none" w:color="auto"/>
          <w:lang w:val="zh-CN" w:eastAsia="zh-CN" w:bidi="ar-SA"/>
        </w:rPr>
      </w:pPr>
      <w:r>
        <w:rPr>
          <w:rFonts w:hint="eastAsia" w:ascii="仿宋" w:hAnsi="仿宋" w:eastAsia="仿宋" w:cs="仿宋"/>
          <w:b/>
          <w:bCs/>
          <w:color w:val="auto"/>
          <w:kern w:val="2"/>
          <w:sz w:val="24"/>
          <w:szCs w:val="24"/>
          <w:highlight w:val="none"/>
          <w:u w:val="none" w:color="auto"/>
          <w:lang w:val="zh-CN" w:eastAsia="zh-CN" w:bidi="ar-SA"/>
        </w:rPr>
        <w:t>五、采购项目商务要求</w:t>
      </w:r>
    </w:p>
    <w:p w14:paraId="61DC8F5A">
      <w:pPr>
        <w:pStyle w:val="12"/>
        <w:numPr>
          <w:ilvl w:val="0"/>
          <w:numId w:val="0"/>
        </w:numPr>
        <w:adjustRightInd w:val="0"/>
        <w:snapToGrid w:val="0"/>
        <w:spacing w:line="500" w:lineRule="exact"/>
        <w:ind w:firstLineChars="200"/>
        <w:rPr>
          <w:rFonts w:hint="eastAsia" w:ascii="仿宋" w:hAnsi="仿宋" w:eastAsia="仿宋" w:cs="仿宋"/>
          <w:color w:val="auto"/>
          <w:sz w:val="24"/>
          <w:szCs w:val="24"/>
          <w:highlight w:val="none"/>
          <w:u w:val="none" w:color="auto"/>
          <w:lang w:val="zh-CN"/>
        </w:rPr>
      </w:pPr>
      <w:r>
        <w:rPr>
          <w:rFonts w:hint="eastAsia" w:ascii="仿宋" w:hAnsi="仿宋" w:eastAsia="仿宋" w:cs="仿宋"/>
          <w:color w:val="auto"/>
          <w:sz w:val="24"/>
          <w:szCs w:val="24"/>
          <w:highlight w:val="none"/>
          <w:u w:val="none" w:color="auto"/>
          <w:lang w:val="zh-CN" w:eastAsia="zh-CN"/>
        </w:rPr>
        <w:t>1.</w:t>
      </w:r>
      <w:r>
        <w:rPr>
          <w:rFonts w:hint="eastAsia" w:ascii="仿宋" w:hAnsi="仿宋" w:eastAsia="仿宋" w:cs="仿宋"/>
          <w:color w:val="auto"/>
          <w:sz w:val="24"/>
          <w:szCs w:val="24"/>
          <w:highlight w:val="none"/>
          <w:u w:val="none" w:color="auto"/>
          <w:lang w:val="zh-CN"/>
        </w:rPr>
        <w:t>建设周期</w:t>
      </w:r>
    </w:p>
    <w:p w14:paraId="61465F24">
      <w:pPr>
        <w:pStyle w:val="12"/>
        <w:numPr>
          <w:ilvl w:val="0"/>
          <w:numId w:val="0"/>
        </w:numPr>
        <w:adjustRightInd w:val="0"/>
        <w:snapToGrid w:val="0"/>
        <w:spacing w:line="500" w:lineRule="exact"/>
        <w:ind w:firstLineChars="200"/>
        <w:rPr>
          <w:rFonts w:hint="eastAsia" w:ascii="仿宋" w:hAnsi="仿宋" w:eastAsia="仿宋" w:cs="仿宋"/>
          <w:color w:val="auto"/>
          <w:sz w:val="24"/>
          <w:szCs w:val="24"/>
          <w:highlight w:val="none"/>
          <w:u w:val="none" w:color="auto"/>
          <w:lang w:val="zh-CN"/>
        </w:rPr>
      </w:pPr>
      <w:r>
        <w:rPr>
          <w:rFonts w:hint="eastAsia" w:ascii="仿宋" w:hAnsi="仿宋" w:eastAsia="仿宋" w:cs="仿宋"/>
          <w:color w:val="auto"/>
          <w:sz w:val="24"/>
          <w:szCs w:val="24"/>
          <w:highlight w:val="none"/>
          <w:u w:val="none" w:color="auto"/>
          <w:lang w:val="zh-CN" w:eastAsia="zh-CN"/>
        </w:rPr>
        <w:t>（1）</w:t>
      </w:r>
      <w:r>
        <w:rPr>
          <w:rFonts w:hint="eastAsia" w:ascii="仿宋" w:hAnsi="仿宋" w:eastAsia="仿宋" w:cs="仿宋"/>
          <w:color w:val="auto"/>
          <w:sz w:val="24"/>
          <w:szCs w:val="24"/>
          <w:highlight w:val="none"/>
          <w:u w:val="none" w:color="auto"/>
          <w:lang w:val="zh-CN"/>
        </w:rPr>
        <w:t>新增工作站</w:t>
      </w:r>
      <w:r>
        <w:rPr>
          <w:rFonts w:hint="eastAsia" w:ascii="仿宋" w:hAnsi="仿宋" w:eastAsia="仿宋" w:cs="仿宋"/>
          <w:color w:val="auto"/>
          <w:sz w:val="24"/>
          <w:szCs w:val="24"/>
          <w:highlight w:val="none"/>
          <w:u w:val="none" w:color="auto"/>
          <w:lang w:val="zh-CN" w:eastAsia="zh-CN"/>
        </w:rPr>
        <w:t>：设备到位后7个工作日内完成实施；</w:t>
      </w:r>
    </w:p>
    <w:p w14:paraId="70CB35A8">
      <w:pPr>
        <w:pStyle w:val="12"/>
        <w:numPr>
          <w:ilvl w:val="0"/>
          <w:numId w:val="0"/>
        </w:numPr>
        <w:adjustRightInd w:val="0"/>
        <w:snapToGrid w:val="0"/>
        <w:spacing w:line="500" w:lineRule="exact"/>
        <w:ind w:firstLine="480" w:firstLineChars="200"/>
        <w:rPr>
          <w:rFonts w:hint="eastAsia" w:ascii="仿宋" w:hAnsi="仿宋" w:eastAsia="仿宋" w:cs="仿宋"/>
          <w:b/>
          <w:bCs/>
          <w:color w:val="auto"/>
          <w:kern w:val="2"/>
          <w:sz w:val="24"/>
          <w:szCs w:val="24"/>
          <w:highlight w:val="none"/>
          <w:u w:val="none" w:color="auto"/>
          <w:lang w:val="zh-CN" w:eastAsia="zh-CN" w:bidi="ar-SA"/>
        </w:rPr>
      </w:pPr>
      <w:r>
        <w:rPr>
          <w:rFonts w:hint="eastAsia" w:ascii="仿宋" w:hAnsi="仿宋" w:eastAsia="仿宋" w:cs="仿宋"/>
          <w:color w:val="auto"/>
          <w:sz w:val="24"/>
          <w:szCs w:val="24"/>
          <w:highlight w:val="none"/>
          <w:u w:val="none" w:color="auto"/>
          <w:lang w:val="zh-CN" w:eastAsia="zh-CN"/>
        </w:rPr>
        <w:t>（2）</w:t>
      </w:r>
      <w:r>
        <w:rPr>
          <w:rFonts w:hint="eastAsia" w:ascii="仿宋" w:hAnsi="仿宋" w:eastAsia="仿宋" w:cs="仿宋"/>
          <w:color w:val="auto"/>
          <w:sz w:val="24"/>
          <w:szCs w:val="24"/>
          <w:highlight w:val="none"/>
          <w:u w:val="none" w:color="auto"/>
          <w:lang w:val="zh-CN"/>
        </w:rPr>
        <w:t>系统维护</w:t>
      </w:r>
      <w:r>
        <w:rPr>
          <w:rFonts w:hint="eastAsia" w:ascii="仿宋" w:hAnsi="仿宋" w:eastAsia="仿宋" w:cs="仿宋"/>
          <w:color w:val="auto"/>
          <w:sz w:val="24"/>
          <w:szCs w:val="24"/>
          <w:highlight w:val="none"/>
          <w:u w:val="none" w:color="auto"/>
          <w:lang w:val="zh-CN" w:eastAsia="zh-CN"/>
        </w:rPr>
        <w:t>：1年服务期。</w:t>
      </w:r>
    </w:p>
    <w:p w14:paraId="0A157260">
      <w:pPr>
        <w:pStyle w:val="12"/>
        <w:numPr>
          <w:ilvl w:val="0"/>
          <w:numId w:val="0"/>
        </w:numPr>
        <w:adjustRightInd w:val="0"/>
        <w:snapToGrid w:val="0"/>
        <w:spacing w:line="500" w:lineRule="exact"/>
        <w:ind w:firstLine="480" w:firstLineChars="200"/>
        <w:rPr>
          <w:highlight w:val="none"/>
        </w:rPr>
      </w:pPr>
      <w:r>
        <w:rPr>
          <w:rFonts w:hint="eastAsia" w:ascii="仿宋" w:hAnsi="仿宋" w:eastAsia="仿宋" w:cs="仿宋"/>
          <w:b w:val="0"/>
          <w:bCs w:val="0"/>
          <w:color w:val="auto"/>
          <w:kern w:val="2"/>
          <w:sz w:val="24"/>
          <w:szCs w:val="24"/>
          <w:highlight w:val="none"/>
          <w:u w:val="none" w:color="auto"/>
          <w:lang w:val="en-US" w:eastAsia="zh-CN" w:bidi="ar-SA"/>
        </w:rPr>
        <w:t>2</w:t>
      </w:r>
      <w:r>
        <w:rPr>
          <w:rFonts w:hint="eastAsia" w:ascii="仿宋" w:hAnsi="仿宋" w:eastAsia="仿宋" w:cs="仿宋"/>
          <w:b w:val="0"/>
          <w:bCs w:val="0"/>
          <w:color w:val="auto"/>
          <w:kern w:val="2"/>
          <w:sz w:val="24"/>
          <w:szCs w:val="24"/>
          <w:highlight w:val="none"/>
          <w:u w:val="none" w:color="auto"/>
          <w:lang w:val="zh-CN" w:eastAsia="zh-CN" w:bidi="ar-SA"/>
        </w:rPr>
        <w:t>.报价</w:t>
      </w:r>
      <w:r>
        <w:rPr>
          <w:rFonts w:hint="eastAsia" w:ascii="仿宋" w:hAnsi="仿宋" w:eastAsia="仿宋" w:cs="仿宋"/>
          <w:b w:val="0"/>
          <w:bCs w:val="0"/>
          <w:color w:val="auto"/>
          <w:kern w:val="2"/>
          <w:sz w:val="24"/>
          <w:szCs w:val="24"/>
          <w:highlight w:val="none"/>
          <w:u w:val="none" w:color="auto"/>
          <w:lang w:val="en-US" w:eastAsia="zh-CN" w:bidi="ar-SA"/>
        </w:rPr>
        <w:t>要求</w:t>
      </w:r>
      <w:r>
        <w:rPr>
          <w:rFonts w:hint="eastAsia" w:ascii="仿宋" w:hAnsi="仿宋" w:eastAsia="仿宋" w:cs="仿宋"/>
          <w:b w:val="0"/>
          <w:bCs w:val="0"/>
          <w:color w:val="auto"/>
          <w:kern w:val="2"/>
          <w:sz w:val="24"/>
          <w:szCs w:val="24"/>
          <w:highlight w:val="none"/>
          <w:u w:val="none" w:color="auto"/>
          <w:lang w:val="zh-CN" w:eastAsia="zh-CN" w:bidi="ar-SA"/>
        </w:rPr>
        <w:t>：</w:t>
      </w:r>
    </w:p>
    <w:p w14:paraId="6FD07A15">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（1）报价方式为分项报价，各分项报价不得高于各分项最高预算单价，合计总报价是固定唯一价且无超出采购预算或最高限价。</w:t>
      </w:r>
    </w:p>
    <w:p w14:paraId="5E7B6F5D">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报价必须包括服务过程产生的但不限于人工、工具使用、主要零配件及易耗品更换、培训、各项税费及合同实施过程中的应预见和不可预见费用等完成合同规定责任和义务、达到合同目的的一切费用及企业利润。</w:t>
      </w:r>
    </w:p>
    <w:p w14:paraId="2B0DCC21">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（3）供应商必须自行考虑本项目在实施期间的一切可能产生的费用。在合同执行过程中，采购人将不再另行支付与本项目相关的任何费用（非本项目要求的其他内容除外）。</w:t>
      </w:r>
    </w:p>
    <w:p w14:paraId="0808C6B3">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3.付款方式</w:t>
      </w:r>
    </w:p>
    <w:p w14:paraId="7D9D05EC">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（1）新增工作站：项目验收合格后，20个工作日内以成交供应商开具的发票支付本合同中医学影像信息系统新增工作站费用总额的100%。</w:t>
      </w:r>
    </w:p>
    <w:p w14:paraId="0E68D0AC">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系统维护：合同签订后20个工作日内，以成交供应商开具的发票支付维护费用总额的50%；服务期结束后20个工作日内，根据两次考核的平均分数给付剩余款项。具体如下：90分及以上，不扣除服务费用；低于90分但高于等于60分，扣除当期服务费用20％；低于60分，扣除当期服务费用50%。</w:t>
      </w:r>
    </w:p>
    <w:p w14:paraId="676AA4FA">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（3）支付方式采用银行转账方式。</w:t>
      </w:r>
    </w:p>
    <w:p w14:paraId="1939B030">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（4）成交供应商必须向采购人出具合法有效完整的完税发票及凭证进行支付结算。</w:t>
      </w:r>
    </w:p>
    <w:p w14:paraId="49CD7EF3">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4.项目验收要求</w:t>
      </w:r>
    </w:p>
    <w:p w14:paraId="6A6C0D4B">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（1）验收标准：验收的主要依据包括本项目的比选文件、响应文件、合同等。</w:t>
      </w:r>
    </w:p>
    <w:p w14:paraId="42A466B1">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总体验收：供应商须为验收提供必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14:paraId="58C76C8B">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（3）在采购人的监督下，服务过程中的各项工作和文档，须达到采购文件中技术要求的标准。</w:t>
      </w:r>
    </w:p>
    <w:p w14:paraId="411C372C">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5.考核要求</w:t>
      </w:r>
    </w:p>
    <w:p w14:paraId="2C739CB5">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每半年进行一次服务考核评估，根据考核分数扣罚当期服务费用，考核不合格可要求更换技术人员或终止合作。</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
        <w:gridCol w:w="1274"/>
        <w:gridCol w:w="2622"/>
        <w:gridCol w:w="2444"/>
        <w:gridCol w:w="1159"/>
        <w:gridCol w:w="1315"/>
      </w:tblGrid>
      <w:tr w14:paraId="1730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947A54">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序号</w:t>
            </w:r>
          </w:p>
        </w:tc>
        <w:tc>
          <w:tcPr>
            <w:tcW w:w="0" w:type="auto"/>
            <w:noWrap w:val="0"/>
            <w:vAlign w:val="center"/>
          </w:tcPr>
          <w:p w14:paraId="796E6BF6">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rPr>
              <w:t>指标（分值）</w:t>
            </w:r>
          </w:p>
        </w:tc>
        <w:tc>
          <w:tcPr>
            <w:tcW w:w="0" w:type="auto"/>
            <w:noWrap w:val="0"/>
            <w:vAlign w:val="center"/>
          </w:tcPr>
          <w:p w14:paraId="4D545DA5">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rPr>
              <w:t>具体考评内容</w:t>
            </w:r>
          </w:p>
          <w:p w14:paraId="1D9FFE7A">
            <w:pPr>
              <w:snapToGrid w:val="0"/>
              <w:spacing w:beforeLines="0" w:afterLines="0" w:line="240" w:lineRule="auto"/>
              <w:jc w:val="center"/>
              <w:rPr>
                <w:rFonts w:hint="default" w:ascii="仿宋" w:hAnsi="仿宋" w:eastAsia="仿宋" w:cs="仿宋"/>
                <w:color w:val="auto"/>
                <w:sz w:val="21"/>
                <w:szCs w:val="21"/>
                <w:highlight w:val="none"/>
                <w:lang w:val="en-US" w:eastAsia="zh-CN"/>
              </w:rPr>
            </w:pPr>
          </w:p>
        </w:tc>
        <w:tc>
          <w:tcPr>
            <w:tcW w:w="0" w:type="auto"/>
            <w:noWrap w:val="0"/>
            <w:vAlign w:val="center"/>
          </w:tcPr>
          <w:p w14:paraId="3BD656B0">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扣分规则</w:t>
            </w:r>
          </w:p>
        </w:tc>
        <w:tc>
          <w:tcPr>
            <w:tcW w:w="0" w:type="auto"/>
            <w:noWrap w:val="0"/>
            <w:vAlign w:val="center"/>
          </w:tcPr>
          <w:p w14:paraId="1F58069E">
            <w:pPr>
              <w:snapToGrid w:val="0"/>
              <w:spacing w:beforeLines="0" w:afterLines="0"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科室评分（40%）</w:t>
            </w:r>
          </w:p>
        </w:tc>
        <w:tc>
          <w:tcPr>
            <w:tcW w:w="0" w:type="auto"/>
            <w:noWrap w:val="0"/>
            <w:vAlign w:val="center"/>
          </w:tcPr>
          <w:p w14:paraId="3BF4318C">
            <w:pPr>
              <w:snapToGrid w:val="0"/>
              <w:spacing w:beforeLines="0" w:afterLines="0" w:line="240" w:lineRule="auto"/>
              <w:ind w:firstLine="0" w:firstLineChars="0"/>
              <w:jc w:val="both"/>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信息部评分（60%））</w:t>
            </w:r>
          </w:p>
        </w:tc>
      </w:tr>
      <w:tr w14:paraId="6C9B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4ADC748B">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1</w:t>
            </w:r>
          </w:p>
        </w:tc>
        <w:tc>
          <w:tcPr>
            <w:tcW w:w="0" w:type="auto"/>
            <w:noWrap w:val="0"/>
            <w:vAlign w:val="center"/>
          </w:tcPr>
          <w:p w14:paraId="622288F9">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rPr>
              <w:t>员工形象（</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分）</w:t>
            </w:r>
          </w:p>
        </w:tc>
        <w:tc>
          <w:tcPr>
            <w:tcW w:w="0" w:type="auto"/>
            <w:noWrap w:val="0"/>
            <w:vAlign w:val="center"/>
          </w:tcPr>
          <w:p w14:paraId="77768836">
            <w:pPr>
              <w:numPr>
                <w:ilvl w:val="0"/>
                <w:numId w:val="0"/>
              </w:numPr>
              <w:tabs>
                <w:tab w:val="left" w:pos="312"/>
              </w:tabs>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着装整洁、文明用语，行为端正，</w:t>
            </w:r>
            <w:r>
              <w:rPr>
                <w:rFonts w:hint="eastAsia" w:ascii="仿宋" w:hAnsi="仿宋" w:eastAsia="仿宋" w:cs="仿宋"/>
                <w:color w:val="auto"/>
                <w:sz w:val="18"/>
                <w:szCs w:val="18"/>
                <w:highlight w:val="none"/>
                <w:lang w:val="en-US" w:eastAsia="zh-CN"/>
              </w:rPr>
              <w:t>驻场人员</w:t>
            </w:r>
            <w:r>
              <w:rPr>
                <w:rFonts w:hint="eastAsia" w:ascii="仿宋" w:hAnsi="仿宋" w:eastAsia="仿宋" w:cs="仿宋"/>
                <w:color w:val="auto"/>
                <w:sz w:val="18"/>
                <w:szCs w:val="18"/>
                <w:highlight w:val="none"/>
              </w:rPr>
              <w:t>佩戴工牌上岗</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不在院内抽烟</w:t>
            </w:r>
            <w:r>
              <w:rPr>
                <w:rFonts w:hint="eastAsia" w:ascii="仿宋" w:hAnsi="仿宋" w:eastAsia="仿宋" w:cs="仿宋"/>
                <w:color w:val="auto"/>
                <w:sz w:val="18"/>
                <w:szCs w:val="18"/>
                <w:highlight w:val="none"/>
              </w:rPr>
              <w:t>。</w:t>
            </w:r>
          </w:p>
          <w:p w14:paraId="7B1CE538">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服务的工程师均经过公司的专业培训认证</w:t>
            </w:r>
            <w:r>
              <w:rPr>
                <w:rFonts w:hint="eastAsia" w:ascii="仿宋" w:hAnsi="仿宋" w:eastAsia="仿宋" w:cs="仿宋"/>
                <w:color w:val="auto"/>
                <w:sz w:val="18"/>
                <w:szCs w:val="18"/>
                <w:highlight w:val="none"/>
                <w:lang w:val="en-US" w:eastAsia="zh-CN"/>
              </w:rPr>
              <w:t>及资质认证</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符合合同要求</w:t>
            </w:r>
            <w:r>
              <w:rPr>
                <w:rFonts w:hint="eastAsia" w:ascii="仿宋" w:hAnsi="仿宋" w:eastAsia="仿宋" w:cs="仿宋"/>
                <w:color w:val="auto"/>
                <w:sz w:val="18"/>
                <w:szCs w:val="18"/>
                <w:highlight w:val="none"/>
              </w:rPr>
              <w:t>。</w:t>
            </w:r>
          </w:p>
        </w:tc>
        <w:tc>
          <w:tcPr>
            <w:tcW w:w="0" w:type="auto"/>
            <w:noWrap w:val="0"/>
            <w:vAlign w:val="center"/>
          </w:tcPr>
          <w:p w14:paraId="0E5049FE">
            <w:pPr>
              <w:snapToGrid w:val="0"/>
              <w:spacing w:beforeLines="0" w:afterLines="0" w:line="240" w:lineRule="auto"/>
              <w:ind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每发现1</w:t>
            </w:r>
            <w:r>
              <w:rPr>
                <w:rFonts w:hint="eastAsia" w:ascii="仿宋" w:hAnsi="仿宋" w:eastAsia="仿宋" w:cs="仿宋"/>
                <w:color w:val="auto"/>
                <w:sz w:val="18"/>
                <w:szCs w:val="18"/>
                <w:highlight w:val="none"/>
                <w:lang w:val="en-US" w:eastAsia="zh-CN"/>
              </w:rPr>
              <w:t>例不符合</w:t>
            </w:r>
            <w:r>
              <w:rPr>
                <w:rFonts w:hint="eastAsia" w:ascii="仿宋" w:hAnsi="仿宋" w:eastAsia="仿宋" w:cs="仿宋"/>
                <w:color w:val="auto"/>
                <w:sz w:val="18"/>
                <w:szCs w:val="18"/>
                <w:highlight w:val="none"/>
              </w:rPr>
              <w:t>扣</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lang w:val="en-US" w:eastAsia="zh-CN"/>
              </w:rPr>
              <w:t>扣完为止</w:t>
            </w:r>
            <w:r>
              <w:rPr>
                <w:rFonts w:hint="eastAsia" w:ascii="仿宋" w:hAnsi="仿宋" w:eastAsia="仿宋" w:cs="仿宋"/>
                <w:color w:val="auto"/>
                <w:sz w:val="18"/>
                <w:szCs w:val="18"/>
                <w:highlight w:val="none"/>
              </w:rPr>
              <w:t>。</w:t>
            </w:r>
          </w:p>
        </w:tc>
        <w:tc>
          <w:tcPr>
            <w:tcW w:w="0" w:type="auto"/>
            <w:noWrap w:val="0"/>
            <w:vAlign w:val="center"/>
          </w:tcPr>
          <w:p w14:paraId="3CA3EE98">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69E71A90">
            <w:pPr>
              <w:snapToGrid w:val="0"/>
              <w:spacing w:beforeLines="0" w:afterLines="0" w:line="240" w:lineRule="auto"/>
              <w:jc w:val="left"/>
              <w:rPr>
                <w:rFonts w:hint="eastAsia" w:ascii="仿宋" w:hAnsi="仿宋" w:eastAsia="仿宋" w:cs="仿宋"/>
                <w:color w:val="auto"/>
                <w:sz w:val="21"/>
                <w:szCs w:val="21"/>
                <w:highlight w:val="none"/>
              </w:rPr>
            </w:pPr>
          </w:p>
        </w:tc>
      </w:tr>
      <w:tr w14:paraId="69D3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30910D4">
            <w:pPr>
              <w:snapToGrid w:val="0"/>
              <w:spacing w:beforeLines="0" w:afterLines="0" w:line="240" w:lineRule="auto"/>
              <w:ind w:firstLine="0" w:firstLineChars="0"/>
              <w:jc w:val="both"/>
              <w:rPr>
                <w:rFonts w:hint="eastAsia" w:ascii="仿宋" w:hAnsi="仿宋" w:eastAsia="仿宋" w:cs="Times New Roman"/>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lang w:val="en-US" w:eastAsia="zh-CN"/>
              </w:rPr>
              <w:t>2</w:t>
            </w:r>
          </w:p>
        </w:tc>
        <w:tc>
          <w:tcPr>
            <w:tcW w:w="0" w:type="auto"/>
            <w:noWrap w:val="0"/>
            <w:vAlign w:val="center"/>
          </w:tcPr>
          <w:p w14:paraId="38052B2B">
            <w:pPr>
              <w:snapToGrid w:val="0"/>
              <w:spacing w:beforeLines="0" w:afterLines="0" w:line="240" w:lineRule="auto"/>
              <w:ind w:firstLine="0" w:firstLineChars="0"/>
              <w:jc w:val="both"/>
              <w:rPr>
                <w:rFonts w:hint="eastAsia" w:ascii="仿宋" w:hAnsi="仿宋" w:eastAsia="仿宋" w:cs="Times New Roman"/>
                <w:color w:val="auto"/>
                <w:kern w:val="2"/>
                <w:sz w:val="21"/>
                <w:szCs w:val="21"/>
                <w:highlight w:val="none"/>
                <w:vertAlign w:val="baseline"/>
                <w:lang w:val="en-US" w:eastAsia="zh-CN" w:bidi="ar-SA"/>
              </w:rPr>
            </w:pPr>
            <w:r>
              <w:rPr>
                <w:rFonts w:hint="eastAsia" w:ascii="仿宋" w:hAnsi="仿宋" w:eastAsia="仿宋" w:cs="仿宋"/>
                <w:color w:val="auto"/>
                <w:sz w:val="21"/>
                <w:szCs w:val="21"/>
                <w:highlight w:val="none"/>
                <w:lang w:val="en-US" w:eastAsia="zh-CN"/>
              </w:rPr>
              <w:t>服务态度</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0分）</w:t>
            </w:r>
          </w:p>
        </w:tc>
        <w:tc>
          <w:tcPr>
            <w:tcW w:w="0" w:type="auto"/>
            <w:noWrap w:val="0"/>
            <w:vAlign w:val="center"/>
          </w:tcPr>
          <w:p w14:paraId="7B5FE929">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用心聆听，不推卸责任，不推诿工作。</w:t>
            </w:r>
          </w:p>
        </w:tc>
        <w:tc>
          <w:tcPr>
            <w:tcW w:w="0" w:type="auto"/>
            <w:noWrap w:val="0"/>
            <w:vAlign w:val="center"/>
          </w:tcPr>
          <w:p w14:paraId="2E8DE8B3">
            <w:pPr>
              <w:snapToGrid w:val="0"/>
              <w:spacing w:beforeLines="0" w:afterLines="0" w:line="240" w:lineRule="auto"/>
              <w:ind w:firstLine="0" w:firstLineChars="0"/>
              <w:jc w:val="left"/>
              <w:rPr>
                <w:rFonts w:hint="eastAsia" w:ascii="仿宋" w:hAnsi="仿宋" w:eastAsia="仿宋" w:cs="Times New Roman"/>
                <w:color w:val="auto"/>
                <w:kern w:val="2"/>
                <w:sz w:val="18"/>
                <w:szCs w:val="18"/>
                <w:highlight w:val="none"/>
                <w:vertAlign w:val="baseline"/>
                <w:lang w:val="en-US" w:eastAsia="zh-CN" w:bidi="ar-SA"/>
              </w:rPr>
            </w:pPr>
            <w:r>
              <w:rPr>
                <w:rFonts w:hint="eastAsia" w:ascii="仿宋" w:hAnsi="仿宋" w:eastAsia="仿宋" w:cs="仿宋"/>
                <w:color w:val="auto"/>
                <w:sz w:val="18"/>
                <w:szCs w:val="18"/>
                <w:highlight w:val="none"/>
              </w:rPr>
              <w:t>每发现1例不符合扣5分，扣完为止。</w:t>
            </w:r>
          </w:p>
        </w:tc>
        <w:tc>
          <w:tcPr>
            <w:tcW w:w="0" w:type="auto"/>
            <w:noWrap w:val="0"/>
            <w:vAlign w:val="center"/>
          </w:tcPr>
          <w:p w14:paraId="65AD1547">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6143416A">
            <w:pPr>
              <w:snapToGrid w:val="0"/>
              <w:spacing w:beforeLines="0" w:afterLines="0" w:line="240" w:lineRule="auto"/>
              <w:jc w:val="left"/>
              <w:rPr>
                <w:rFonts w:hint="eastAsia" w:ascii="仿宋" w:hAnsi="仿宋" w:eastAsia="仿宋" w:cs="仿宋"/>
                <w:color w:val="auto"/>
                <w:sz w:val="21"/>
                <w:szCs w:val="21"/>
                <w:highlight w:val="none"/>
              </w:rPr>
            </w:pPr>
          </w:p>
        </w:tc>
      </w:tr>
      <w:tr w14:paraId="0E6D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62CF5D5C">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3</w:t>
            </w:r>
          </w:p>
        </w:tc>
        <w:tc>
          <w:tcPr>
            <w:tcW w:w="0" w:type="auto"/>
            <w:noWrap w:val="0"/>
            <w:vAlign w:val="center"/>
          </w:tcPr>
          <w:p w14:paraId="22DA84A2">
            <w:pPr>
              <w:snapToGrid w:val="0"/>
              <w:spacing w:beforeLines="0" w:afterLines="0" w:line="240" w:lineRule="auto"/>
              <w:jc w:val="center"/>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工作纪律</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p>
        </w:tc>
        <w:tc>
          <w:tcPr>
            <w:tcW w:w="0" w:type="auto"/>
            <w:noWrap w:val="0"/>
            <w:vAlign w:val="center"/>
          </w:tcPr>
          <w:p w14:paraId="63B753AA">
            <w:pPr>
              <w:numPr>
                <w:ilvl w:val="0"/>
                <w:numId w:val="0"/>
              </w:numPr>
              <w:snapToGrid w:val="0"/>
              <w:spacing w:beforeLines="0" w:afterLines="0" w:line="240" w:lineRule="auto"/>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如遇可能影响业务正常运行的特殊情况，</w:t>
            </w:r>
            <w:r>
              <w:rPr>
                <w:rFonts w:hint="eastAsia" w:ascii="仿宋" w:hAnsi="仿宋" w:eastAsia="仿宋" w:cs="仿宋"/>
                <w:color w:val="auto"/>
                <w:sz w:val="18"/>
                <w:szCs w:val="18"/>
                <w:highlight w:val="none"/>
              </w:rPr>
              <w:t>应当</w:t>
            </w:r>
            <w:r>
              <w:rPr>
                <w:rFonts w:hint="eastAsia" w:ascii="仿宋" w:hAnsi="仿宋" w:eastAsia="仿宋" w:cs="仿宋"/>
                <w:color w:val="auto"/>
                <w:sz w:val="18"/>
                <w:szCs w:val="18"/>
                <w:highlight w:val="none"/>
                <w:lang w:val="en-US" w:eastAsia="zh-CN"/>
              </w:rPr>
              <w:t>及时</w:t>
            </w:r>
            <w:r>
              <w:rPr>
                <w:rFonts w:hint="eastAsia" w:ascii="仿宋" w:hAnsi="仿宋" w:eastAsia="仿宋" w:cs="仿宋"/>
                <w:color w:val="auto"/>
                <w:sz w:val="18"/>
                <w:szCs w:val="18"/>
                <w:highlight w:val="none"/>
              </w:rPr>
              <w:t>与</w:t>
            </w:r>
            <w:r>
              <w:rPr>
                <w:rFonts w:hint="eastAsia" w:ascii="仿宋" w:hAnsi="仿宋" w:eastAsia="仿宋" w:cs="仿宋"/>
                <w:color w:val="auto"/>
                <w:sz w:val="18"/>
                <w:szCs w:val="18"/>
                <w:highlight w:val="none"/>
                <w:lang w:val="en-US" w:eastAsia="zh-CN"/>
              </w:rPr>
              <w:t>信息部</w:t>
            </w:r>
            <w:r>
              <w:rPr>
                <w:rFonts w:hint="eastAsia" w:ascii="仿宋" w:hAnsi="仿宋" w:eastAsia="仿宋" w:cs="仿宋"/>
                <w:color w:val="auto"/>
                <w:sz w:val="18"/>
                <w:szCs w:val="18"/>
                <w:highlight w:val="none"/>
              </w:rPr>
              <w:t>人员</w:t>
            </w:r>
            <w:r>
              <w:rPr>
                <w:rFonts w:hint="eastAsia" w:ascii="仿宋" w:hAnsi="仿宋" w:eastAsia="仿宋" w:cs="仿宋"/>
                <w:color w:val="auto"/>
                <w:sz w:val="18"/>
                <w:szCs w:val="18"/>
                <w:highlight w:val="none"/>
                <w:lang w:val="en-US" w:eastAsia="zh-CN"/>
              </w:rPr>
              <w:t>联系</w:t>
            </w:r>
            <w:r>
              <w:rPr>
                <w:rFonts w:hint="eastAsia" w:ascii="仿宋" w:hAnsi="仿宋" w:eastAsia="仿宋" w:cs="仿宋"/>
                <w:color w:val="auto"/>
                <w:sz w:val="18"/>
                <w:szCs w:val="18"/>
                <w:highlight w:val="none"/>
              </w:rPr>
              <w:t>。</w:t>
            </w:r>
          </w:p>
          <w:p w14:paraId="1B7AA4AC">
            <w:pPr>
              <w:numPr>
                <w:ilvl w:val="0"/>
                <w:numId w:val="0"/>
              </w:numPr>
              <w:snapToGrid w:val="0"/>
              <w:spacing w:beforeLines="0" w:afterLines="0"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2.进入临床业务科室前需告知信息部人员。</w:t>
            </w:r>
          </w:p>
          <w:p w14:paraId="7811D5A8">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kern w:val="0"/>
                <w:sz w:val="18"/>
                <w:szCs w:val="18"/>
                <w:highlight w:val="none"/>
              </w:rPr>
              <w:t>不得违反实时政策要求、院内管理规定等。</w:t>
            </w:r>
          </w:p>
        </w:tc>
        <w:tc>
          <w:tcPr>
            <w:tcW w:w="0" w:type="auto"/>
            <w:noWrap w:val="0"/>
            <w:vAlign w:val="center"/>
          </w:tcPr>
          <w:p w14:paraId="5076E363">
            <w:pPr>
              <w:snapToGrid w:val="0"/>
              <w:spacing w:beforeLines="0" w:afterLines="0" w:line="240" w:lineRule="auto"/>
              <w:ind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每发现1例不符合扣5分，扣完为止。</w:t>
            </w:r>
          </w:p>
        </w:tc>
        <w:tc>
          <w:tcPr>
            <w:tcW w:w="0" w:type="auto"/>
            <w:noWrap w:val="0"/>
            <w:vAlign w:val="center"/>
          </w:tcPr>
          <w:p w14:paraId="34B2CB6D">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42270B29">
            <w:pPr>
              <w:snapToGrid w:val="0"/>
              <w:spacing w:beforeLines="0" w:afterLines="0" w:line="240" w:lineRule="auto"/>
              <w:jc w:val="left"/>
              <w:rPr>
                <w:rFonts w:hint="eastAsia" w:ascii="仿宋" w:hAnsi="仿宋" w:eastAsia="仿宋" w:cs="仿宋"/>
                <w:color w:val="auto"/>
                <w:sz w:val="21"/>
                <w:szCs w:val="21"/>
                <w:highlight w:val="none"/>
              </w:rPr>
            </w:pPr>
          </w:p>
        </w:tc>
      </w:tr>
      <w:tr w14:paraId="2B064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356F69A8">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4</w:t>
            </w:r>
          </w:p>
        </w:tc>
        <w:tc>
          <w:tcPr>
            <w:tcW w:w="0" w:type="auto"/>
            <w:noWrap w:val="0"/>
            <w:vAlign w:val="center"/>
          </w:tcPr>
          <w:p w14:paraId="32190F45">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服务响应</w:t>
            </w:r>
            <w:r>
              <w:rPr>
                <w:rFonts w:hint="eastAsia" w:ascii="仿宋" w:hAnsi="仿宋" w:eastAsia="仿宋" w:cs="仿宋"/>
                <w:color w:val="auto"/>
                <w:sz w:val="21"/>
                <w:szCs w:val="21"/>
                <w:highlight w:val="none"/>
              </w:rPr>
              <w:t>及处理（</w:t>
            </w:r>
            <w:r>
              <w:rPr>
                <w:rFonts w:hint="eastAsia" w:ascii="仿宋" w:hAnsi="仿宋" w:eastAsia="仿宋" w:cs="仿宋"/>
                <w:color w:val="auto"/>
                <w:sz w:val="21"/>
                <w:szCs w:val="21"/>
                <w:highlight w:val="none"/>
                <w:lang w:val="en-US" w:eastAsia="zh-CN"/>
              </w:rPr>
              <w:t>20</w:t>
            </w:r>
            <w:r>
              <w:rPr>
                <w:rFonts w:hint="eastAsia" w:ascii="仿宋" w:hAnsi="仿宋" w:eastAsia="仿宋" w:cs="仿宋"/>
                <w:color w:val="auto"/>
                <w:sz w:val="21"/>
                <w:szCs w:val="21"/>
                <w:highlight w:val="none"/>
              </w:rPr>
              <w:t>分）</w:t>
            </w:r>
          </w:p>
        </w:tc>
        <w:tc>
          <w:tcPr>
            <w:tcW w:w="0" w:type="auto"/>
            <w:noWrap w:val="0"/>
            <w:vAlign w:val="center"/>
          </w:tcPr>
          <w:p w14:paraId="7867D340">
            <w:pPr>
              <w:pStyle w:val="4"/>
              <w:numPr>
                <w:ilvl w:val="0"/>
                <w:numId w:val="0"/>
              </w:numPr>
              <w:snapToGrid w:val="0"/>
              <w:spacing w:beforeLines="0" w:afterLines="0" w:line="240" w:lineRule="auto"/>
              <w:ind w:firstLine="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r>
              <w:rPr>
                <w:rFonts w:hint="eastAsia" w:ascii="仿宋" w:hAnsi="仿宋" w:eastAsia="仿宋" w:cs="仿宋"/>
                <w:color w:val="auto"/>
                <w:sz w:val="18"/>
                <w:szCs w:val="18"/>
                <w:highlight w:val="none"/>
                <w:lang w:val="en-US" w:eastAsia="zh-CN"/>
              </w:rPr>
              <w:t>维护</w:t>
            </w:r>
            <w:r>
              <w:rPr>
                <w:rFonts w:hint="eastAsia" w:ascii="仿宋" w:hAnsi="仿宋" w:eastAsia="仿宋" w:cs="仿宋"/>
                <w:color w:val="auto"/>
                <w:sz w:val="18"/>
                <w:szCs w:val="18"/>
                <w:highlight w:val="none"/>
              </w:rPr>
              <w:t>电话24小时保持畅通。</w:t>
            </w:r>
          </w:p>
          <w:p w14:paraId="1DE83810">
            <w:pPr>
              <w:pStyle w:val="4"/>
              <w:numPr>
                <w:ilvl w:val="0"/>
                <w:numId w:val="0"/>
              </w:numPr>
              <w:snapToGrid w:val="0"/>
              <w:spacing w:beforeLines="0" w:afterLines="0" w:line="240" w:lineRule="auto"/>
              <w:ind w:firstLine="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2.</w:t>
            </w:r>
            <w:r>
              <w:rPr>
                <w:rFonts w:hint="eastAsia" w:ascii="仿宋" w:hAnsi="仿宋" w:eastAsia="仿宋" w:cs="仿宋"/>
                <w:color w:val="auto"/>
                <w:sz w:val="18"/>
                <w:szCs w:val="18"/>
                <w:highlight w:val="none"/>
                <w:lang w:val="en-US" w:eastAsia="zh-CN"/>
              </w:rPr>
              <w:t>准确完成医院提出的合理功能开发需求。</w:t>
            </w:r>
          </w:p>
          <w:p w14:paraId="0B47296D">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r>
              <w:rPr>
                <w:rFonts w:hint="eastAsia" w:ascii="仿宋" w:hAnsi="仿宋" w:eastAsia="仿宋" w:cs="仿宋"/>
                <w:color w:val="auto"/>
                <w:sz w:val="18"/>
                <w:szCs w:val="18"/>
                <w:highlight w:val="none"/>
                <w:lang w:val="en-US" w:eastAsia="zh-CN"/>
              </w:rPr>
              <w:t>按合同约定时限</w:t>
            </w:r>
            <w:r>
              <w:rPr>
                <w:rFonts w:hint="eastAsia" w:ascii="仿宋" w:hAnsi="仿宋" w:eastAsia="仿宋" w:cs="仿宋"/>
                <w:color w:val="auto"/>
                <w:sz w:val="18"/>
                <w:szCs w:val="18"/>
                <w:highlight w:val="none"/>
              </w:rPr>
              <w:t>及时派出技术人员进行</w:t>
            </w:r>
            <w:r>
              <w:rPr>
                <w:rFonts w:hint="eastAsia" w:ascii="仿宋" w:hAnsi="仿宋" w:eastAsia="仿宋" w:cs="仿宋"/>
                <w:color w:val="auto"/>
                <w:sz w:val="18"/>
                <w:szCs w:val="18"/>
                <w:highlight w:val="none"/>
                <w:lang w:val="en-US" w:eastAsia="zh-CN"/>
              </w:rPr>
              <w:t>故障处理</w:t>
            </w:r>
            <w:r>
              <w:rPr>
                <w:rFonts w:hint="eastAsia" w:ascii="仿宋" w:hAnsi="仿宋" w:eastAsia="仿宋" w:cs="仿宋"/>
                <w:color w:val="auto"/>
                <w:sz w:val="18"/>
                <w:szCs w:val="18"/>
                <w:highlight w:val="none"/>
              </w:rPr>
              <w:t>。</w:t>
            </w:r>
          </w:p>
        </w:tc>
        <w:tc>
          <w:tcPr>
            <w:tcW w:w="0" w:type="auto"/>
            <w:noWrap w:val="0"/>
            <w:vAlign w:val="center"/>
          </w:tcPr>
          <w:p w14:paraId="142364B7">
            <w:pPr>
              <w:snapToGrid w:val="0"/>
              <w:spacing w:beforeLines="0" w:afterLines="0" w:line="240" w:lineRule="auto"/>
              <w:ind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对当次</w:t>
            </w:r>
            <w:r>
              <w:rPr>
                <w:rFonts w:hint="eastAsia" w:ascii="仿宋" w:hAnsi="仿宋" w:eastAsia="仿宋" w:cs="仿宋"/>
                <w:color w:val="auto"/>
                <w:sz w:val="18"/>
                <w:szCs w:val="18"/>
                <w:highlight w:val="none"/>
                <w:lang w:val="en-US" w:eastAsia="zh-CN"/>
              </w:rPr>
              <w:t>服务相应及处理</w:t>
            </w:r>
            <w:r>
              <w:rPr>
                <w:rFonts w:hint="eastAsia" w:ascii="仿宋" w:hAnsi="仿宋" w:eastAsia="仿宋" w:cs="仿宋"/>
                <w:color w:val="auto"/>
                <w:sz w:val="18"/>
                <w:szCs w:val="18"/>
                <w:highlight w:val="none"/>
              </w:rPr>
              <w:t>不满意并提出书面投诉，经由双方调查核实后，每次投诉扣</w:t>
            </w:r>
            <w:r>
              <w:rPr>
                <w:rFonts w:hint="eastAsia" w:ascii="仿宋" w:hAnsi="仿宋" w:eastAsia="仿宋" w:cs="仿宋"/>
                <w:color w:val="auto"/>
                <w:sz w:val="18"/>
                <w:szCs w:val="18"/>
                <w:highlight w:val="none"/>
                <w:lang w:eastAsia="zh-CN"/>
              </w:rPr>
              <w:t>5</w:t>
            </w:r>
            <w:r>
              <w:rPr>
                <w:rFonts w:hint="eastAsia" w:ascii="仿宋" w:hAnsi="仿宋" w:eastAsia="仿宋" w:cs="仿宋"/>
                <w:color w:val="auto"/>
                <w:sz w:val="18"/>
                <w:szCs w:val="18"/>
                <w:highlight w:val="none"/>
              </w:rPr>
              <w:t>分，扣完为止。</w:t>
            </w:r>
          </w:p>
        </w:tc>
        <w:tc>
          <w:tcPr>
            <w:tcW w:w="0" w:type="auto"/>
            <w:noWrap w:val="0"/>
            <w:vAlign w:val="center"/>
          </w:tcPr>
          <w:p w14:paraId="0A57A8EC">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6EC7DB24">
            <w:pPr>
              <w:snapToGrid w:val="0"/>
              <w:spacing w:beforeLines="0" w:afterLines="0" w:line="240" w:lineRule="auto"/>
              <w:jc w:val="left"/>
              <w:rPr>
                <w:rFonts w:hint="eastAsia" w:ascii="仿宋" w:hAnsi="仿宋" w:eastAsia="仿宋" w:cs="仿宋"/>
                <w:color w:val="auto"/>
                <w:sz w:val="21"/>
                <w:szCs w:val="21"/>
                <w:highlight w:val="none"/>
              </w:rPr>
            </w:pPr>
          </w:p>
        </w:tc>
      </w:tr>
      <w:tr w14:paraId="289C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0F52ED77">
            <w:pPr>
              <w:tabs>
                <w:tab w:val="left" w:pos="8085"/>
              </w:tabs>
              <w:spacing w:line="240" w:lineRule="auto"/>
              <w:ind w:left="0" w:leftChars="0"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5</w:t>
            </w:r>
          </w:p>
        </w:tc>
        <w:tc>
          <w:tcPr>
            <w:tcW w:w="0" w:type="auto"/>
            <w:noWrap w:val="0"/>
            <w:vAlign w:val="center"/>
          </w:tcPr>
          <w:p w14:paraId="69901647">
            <w:pPr>
              <w:tabs>
                <w:tab w:val="left" w:pos="8085"/>
              </w:tabs>
              <w:spacing w:line="240" w:lineRule="auto"/>
              <w:ind w:left="0" w:leftChars="0"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rPr>
              <w:t>跟踪维护支持</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20分</w:t>
            </w:r>
            <w:r>
              <w:rPr>
                <w:rFonts w:hint="eastAsia" w:ascii="仿宋" w:hAnsi="仿宋" w:eastAsia="仿宋" w:cs="仿宋"/>
                <w:color w:val="auto"/>
                <w:sz w:val="21"/>
                <w:szCs w:val="21"/>
                <w:highlight w:val="none"/>
                <w:lang w:eastAsia="zh-CN"/>
              </w:rPr>
              <w:t>）</w:t>
            </w:r>
          </w:p>
        </w:tc>
        <w:tc>
          <w:tcPr>
            <w:tcW w:w="0" w:type="auto"/>
            <w:noWrap w:val="0"/>
            <w:vAlign w:val="center"/>
          </w:tcPr>
          <w:p w14:paraId="2D11E386">
            <w:pPr>
              <w:numPr>
                <w:ilvl w:val="0"/>
                <w:numId w:val="0"/>
              </w:numPr>
              <w:spacing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应及时和医院沟通了解是否运行正常，及时告知可能造成系统软件故障的潜在问题并提供解决方案。</w:t>
            </w:r>
          </w:p>
          <w:p w14:paraId="23482522">
            <w:pPr>
              <w:tabs>
                <w:tab w:val="left" w:pos="8085"/>
              </w:tabs>
              <w:spacing w:line="240" w:lineRule="auto"/>
              <w:ind w:left="0" w:leftChars="0"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2.定期巡检，与业务科室、信息部沟通系统使用效果。</w:t>
            </w:r>
          </w:p>
        </w:tc>
        <w:tc>
          <w:tcPr>
            <w:tcW w:w="0" w:type="auto"/>
            <w:noWrap w:val="0"/>
            <w:vAlign w:val="center"/>
          </w:tcPr>
          <w:p w14:paraId="61B342BA">
            <w:pPr>
              <w:tabs>
                <w:tab w:val="left" w:pos="8085"/>
              </w:tabs>
              <w:spacing w:line="240" w:lineRule="auto"/>
              <w:ind w:left="0" w:leftChars="0"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对跟踪维护支持不满意并提出书面投诉，经由双方调查核实后，每次扣</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分，扣完为止。</w:t>
            </w:r>
          </w:p>
        </w:tc>
        <w:tc>
          <w:tcPr>
            <w:tcW w:w="0" w:type="auto"/>
            <w:noWrap w:val="0"/>
            <w:vAlign w:val="center"/>
          </w:tcPr>
          <w:p w14:paraId="31921580">
            <w:pPr>
              <w:tabs>
                <w:tab w:val="left" w:pos="8085"/>
              </w:tabs>
              <w:spacing w:line="240" w:lineRule="auto"/>
              <w:ind w:left="0" w:leftChars="0"/>
              <w:jc w:val="left"/>
              <w:rPr>
                <w:rFonts w:hint="eastAsia" w:ascii="仿宋" w:hAnsi="仿宋" w:eastAsia="仿宋" w:cs="仿宋"/>
                <w:color w:val="auto"/>
                <w:sz w:val="21"/>
                <w:szCs w:val="21"/>
                <w:highlight w:val="none"/>
              </w:rPr>
            </w:pPr>
          </w:p>
        </w:tc>
        <w:tc>
          <w:tcPr>
            <w:tcW w:w="0" w:type="auto"/>
            <w:noWrap w:val="0"/>
            <w:vAlign w:val="center"/>
          </w:tcPr>
          <w:p w14:paraId="23CAADA4">
            <w:pPr>
              <w:tabs>
                <w:tab w:val="left" w:pos="8085"/>
              </w:tabs>
              <w:spacing w:line="240" w:lineRule="auto"/>
              <w:ind w:left="0" w:leftChars="0"/>
              <w:jc w:val="left"/>
              <w:rPr>
                <w:rFonts w:hint="eastAsia" w:ascii="仿宋" w:hAnsi="仿宋" w:eastAsia="仿宋" w:cs="仿宋"/>
                <w:color w:val="auto"/>
                <w:sz w:val="21"/>
                <w:szCs w:val="21"/>
                <w:highlight w:val="none"/>
              </w:rPr>
            </w:pPr>
          </w:p>
        </w:tc>
      </w:tr>
      <w:tr w14:paraId="33F4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14:paraId="5DEC7BEF">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6</w:t>
            </w:r>
          </w:p>
        </w:tc>
        <w:tc>
          <w:tcPr>
            <w:tcW w:w="0" w:type="auto"/>
            <w:noWrap w:val="0"/>
            <w:vAlign w:val="center"/>
          </w:tcPr>
          <w:p w14:paraId="15727D1A">
            <w:pPr>
              <w:snapToGrid w:val="0"/>
              <w:spacing w:beforeLines="0" w:afterLines="0" w:line="240" w:lineRule="auto"/>
              <w:ind w:firstLine="0" w:firstLineChars="0"/>
              <w:jc w:val="both"/>
              <w:rPr>
                <w:rFonts w:hint="eastAsia" w:ascii="仿宋" w:hAnsi="仿宋" w:eastAsia="仿宋" w:cs="Times New Roman"/>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服务质量（30分）</w:t>
            </w:r>
          </w:p>
        </w:tc>
        <w:tc>
          <w:tcPr>
            <w:tcW w:w="0" w:type="auto"/>
            <w:noWrap w:val="0"/>
            <w:vAlign w:val="center"/>
          </w:tcPr>
          <w:p w14:paraId="2C1920BE">
            <w:pPr>
              <w:numPr>
                <w:ilvl w:val="0"/>
                <w:numId w:val="0"/>
              </w:numPr>
              <w:snapToGrid w:val="0"/>
              <w:spacing w:beforeLines="0" w:afterLines="0" w:line="240" w:lineRule="auto"/>
              <w:jc w:val="left"/>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w:t>
            </w:r>
            <w:r>
              <w:rPr>
                <w:rFonts w:hint="eastAsia" w:ascii="仿宋" w:hAnsi="仿宋" w:eastAsia="仿宋" w:cs="仿宋"/>
                <w:color w:val="auto"/>
                <w:kern w:val="0"/>
                <w:sz w:val="18"/>
                <w:szCs w:val="18"/>
                <w:highlight w:val="none"/>
              </w:rPr>
              <w:t>避免引起系统故障、部分功能失常等情况</w:t>
            </w:r>
            <w:r>
              <w:rPr>
                <w:rFonts w:hint="eastAsia" w:ascii="仿宋" w:hAnsi="仿宋" w:eastAsia="仿宋" w:cs="仿宋"/>
                <w:color w:val="auto"/>
                <w:kern w:val="0"/>
                <w:sz w:val="18"/>
                <w:szCs w:val="18"/>
                <w:highlight w:val="none"/>
                <w:lang w:eastAsia="zh-CN"/>
              </w:rPr>
              <w:t>。</w:t>
            </w:r>
          </w:p>
          <w:p w14:paraId="36344E8E">
            <w:pPr>
              <w:numPr>
                <w:ilvl w:val="0"/>
                <w:numId w:val="0"/>
              </w:numPr>
              <w:snapToGrid w:val="0"/>
              <w:spacing w:beforeLines="0" w:afterLines="0" w:line="240" w:lineRule="auto"/>
              <w:jc w:val="left"/>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提供的服务有效，即故障处理后不会反复出现，功能实现后不因乙方原因反复修改等。</w:t>
            </w:r>
          </w:p>
          <w:p w14:paraId="0BB2D2A5">
            <w:pPr>
              <w:snapToGrid w:val="0"/>
              <w:spacing w:beforeLines="0" w:afterLines="0" w:line="240" w:lineRule="auto"/>
              <w:ind w:firstLine="0" w:firstLineChars="0"/>
              <w:jc w:val="left"/>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lang w:val="en-US" w:eastAsia="zh-CN"/>
              </w:rPr>
              <w:t>3.</w:t>
            </w:r>
            <w:r>
              <w:rPr>
                <w:rFonts w:hint="eastAsia" w:ascii="仿宋" w:hAnsi="仿宋" w:eastAsia="仿宋" w:cs="仿宋"/>
                <w:color w:val="auto"/>
                <w:kern w:val="0"/>
                <w:sz w:val="18"/>
                <w:szCs w:val="18"/>
                <w:highlight w:val="none"/>
              </w:rPr>
              <w:t>在服务过程中准确记录时间、事件经过、处理方法及对接人员，按规范要求进行归档，以便事后进行查验。</w:t>
            </w:r>
          </w:p>
        </w:tc>
        <w:tc>
          <w:tcPr>
            <w:tcW w:w="0" w:type="auto"/>
            <w:noWrap w:val="0"/>
            <w:vAlign w:val="center"/>
          </w:tcPr>
          <w:p w14:paraId="4FB0F1F4">
            <w:pPr>
              <w:snapToGrid w:val="0"/>
              <w:spacing w:beforeLines="0" w:afterLines="0" w:line="240" w:lineRule="auto"/>
              <w:ind w:firstLine="0" w:firstLineChars="0"/>
              <w:jc w:val="left"/>
              <w:rPr>
                <w:rFonts w:hint="eastAsia" w:ascii="仿宋" w:hAnsi="仿宋" w:eastAsia="仿宋" w:cs="Times New Roman"/>
                <w:color w:val="auto"/>
                <w:sz w:val="18"/>
                <w:szCs w:val="18"/>
                <w:highlight w:val="none"/>
                <w:vertAlign w:val="baseline"/>
                <w:lang w:val="en-US" w:eastAsia="zh-CN"/>
              </w:rPr>
            </w:pPr>
            <w:r>
              <w:rPr>
                <w:rFonts w:hint="eastAsia" w:ascii="仿宋" w:hAnsi="仿宋" w:eastAsia="仿宋" w:cs="仿宋"/>
                <w:color w:val="auto"/>
                <w:sz w:val="18"/>
                <w:szCs w:val="18"/>
                <w:highlight w:val="none"/>
              </w:rPr>
              <w:t>对</w:t>
            </w:r>
            <w:r>
              <w:rPr>
                <w:rFonts w:hint="eastAsia" w:ascii="仿宋" w:hAnsi="仿宋" w:eastAsia="仿宋" w:cs="仿宋"/>
                <w:color w:val="auto"/>
                <w:sz w:val="18"/>
                <w:szCs w:val="18"/>
                <w:highlight w:val="none"/>
                <w:lang w:val="en-US" w:eastAsia="zh-CN"/>
              </w:rPr>
              <w:t>当次服务质量</w:t>
            </w:r>
            <w:r>
              <w:rPr>
                <w:rFonts w:hint="eastAsia" w:ascii="仿宋" w:hAnsi="仿宋" w:eastAsia="仿宋" w:cs="仿宋"/>
                <w:color w:val="auto"/>
                <w:sz w:val="18"/>
                <w:szCs w:val="18"/>
                <w:highlight w:val="none"/>
              </w:rPr>
              <w:t>不满意并提出书面投诉，经由双方调查核实后，每次扣</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分，扣完为止。</w:t>
            </w:r>
          </w:p>
        </w:tc>
        <w:tc>
          <w:tcPr>
            <w:tcW w:w="0" w:type="auto"/>
            <w:noWrap w:val="0"/>
            <w:vAlign w:val="center"/>
          </w:tcPr>
          <w:p w14:paraId="1A71E5DB">
            <w:pPr>
              <w:snapToGrid w:val="0"/>
              <w:spacing w:beforeLines="0" w:afterLines="0" w:line="240" w:lineRule="auto"/>
              <w:jc w:val="left"/>
              <w:rPr>
                <w:rFonts w:hint="eastAsia" w:ascii="仿宋" w:hAnsi="仿宋" w:eastAsia="仿宋" w:cs="仿宋"/>
                <w:color w:val="auto"/>
                <w:sz w:val="21"/>
                <w:szCs w:val="21"/>
                <w:highlight w:val="none"/>
              </w:rPr>
            </w:pPr>
          </w:p>
        </w:tc>
        <w:tc>
          <w:tcPr>
            <w:tcW w:w="0" w:type="auto"/>
            <w:noWrap w:val="0"/>
            <w:vAlign w:val="center"/>
          </w:tcPr>
          <w:p w14:paraId="2CC7B308">
            <w:pPr>
              <w:snapToGrid w:val="0"/>
              <w:spacing w:beforeLines="0" w:afterLines="0" w:line="240" w:lineRule="auto"/>
              <w:jc w:val="left"/>
              <w:rPr>
                <w:rFonts w:hint="eastAsia" w:ascii="仿宋" w:hAnsi="仿宋" w:eastAsia="仿宋" w:cs="仿宋"/>
                <w:color w:val="auto"/>
                <w:sz w:val="21"/>
                <w:szCs w:val="21"/>
                <w:highlight w:val="none"/>
              </w:rPr>
            </w:pPr>
          </w:p>
        </w:tc>
      </w:tr>
      <w:tr w14:paraId="11BF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4"/>
            <w:noWrap w:val="0"/>
            <w:vAlign w:val="center"/>
          </w:tcPr>
          <w:p w14:paraId="4663216E">
            <w:pPr>
              <w:snapToGrid w:val="0"/>
              <w:spacing w:beforeLines="0" w:afterLines="0" w:line="24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得分</w:t>
            </w:r>
          </w:p>
        </w:tc>
        <w:tc>
          <w:tcPr>
            <w:tcW w:w="0" w:type="auto"/>
            <w:gridSpan w:val="2"/>
            <w:noWrap w:val="0"/>
            <w:vAlign w:val="center"/>
          </w:tcPr>
          <w:p w14:paraId="1A31E9CC">
            <w:pPr>
              <w:snapToGrid w:val="0"/>
              <w:spacing w:beforeLines="0" w:afterLines="0" w:line="240" w:lineRule="auto"/>
              <w:jc w:val="center"/>
              <w:rPr>
                <w:rFonts w:hint="eastAsia" w:ascii="仿宋" w:hAnsi="仿宋" w:eastAsia="仿宋" w:cs="仿宋"/>
                <w:color w:val="auto"/>
                <w:sz w:val="21"/>
                <w:szCs w:val="21"/>
                <w:highlight w:val="none"/>
              </w:rPr>
            </w:pPr>
          </w:p>
        </w:tc>
      </w:tr>
      <w:tr w14:paraId="18A5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noWrap w:val="0"/>
            <w:vAlign w:val="center"/>
          </w:tcPr>
          <w:p w14:paraId="6532CD19">
            <w:pPr>
              <w:numPr>
                <w:ilvl w:val="0"/>
                <w:numId w:val="14"/>
              </w:numPr>
              <w:snapToGrid w:val="0"/>
              <w:spacing w:beforeLines="0" w:afterLines="0" w:line="24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扣分事项需附加材料</w:t>
            </w:r>
          </w:p>
          <w:p w14:paraId="70DD5FC4">
            <w:pPr>
              <w:numPr>
                <w:ilvl w:val="0"/>
                <w:numId w:val="14"/>
              </w:numPr>
              <w:snapToGrid w:val="0"/>
              <w:spacing w:beforeLines="0" w:afterLines="0" w:line="240" w:lineRule="auto"/>
              <w:jc w:val="left"/>
              <w:rPr>
                <w:rFonts w:hint="default" w:ascii="仿宋" w:hAnsi="仿宋" w:eastAsia="仿宋" w:cs="仿宋"/>
                <w:color w:val="auto"/>
                <w:sz w:val="21"/>
                <w:szCs w:val="21"/>
                <w:highlight w:val="none"/>
                <w:lang w:val="en-US" w:eastAsia="zh-CN"/>
              </w:rPr>
            </w:pPr>
            <w:r>
              <w:rPr>
                <w:rFonts w:hint="eastAsia" w:ascii="仿宋" w:hAnsi="仿宋" w:eastAsia="仿宋"/>
                <w:sz w:val="21"/>
                <w:szCs w:val="21"/>
                <w:highlight w:val="none"/>
                <w:lang w:val="en-US" w:eastAsia="zh-CN"/>
              </w:rPr>
              <w:t>根据合计分数扣罚当期服务费用：90分及以上，不扣除服务费用；低于90分但高于等于60分，</w:t>
            </w:r>
            <w:r>
              <w:rPr>
                <w:rFonts w:hint="eastAsia" w:ascii="仿宋" w:hAnsi="仿宋" w:eastAsia="仿宋" w:cs="宋体"/>
                <w:kern w:val="0"/>
                <w:sz w:val="21"/>
                <w:szCs w:val="21"/>
                <w:highlight w:val="none"/>
              </w:rPr>
              <w:t>扣除</w:t>
            </w:r>
            <w:r>
              <w:rPr>
                <w:rFonts w:hint="eastAsia" w:ascii="仿宋" w:hAnsi="仿宋" w:eastAsia="仿宋" w:cs="宋体"/>
                <w:kern w:val="0"/>
                <w:sz w:val="21"/>
                <w:szCs w:val="21"/>
                <w:highlight w:val="none"/>
                <w:lang w:val="en-US" w:eastAsia="zh-CN"/>
              </w:rPr>
              <w:t>当期</w:t>
            </w:r>
            <w:r>
              <w:rPr>
                <w:rFonts w:hint="eastAsia" w:ascii="仿宋" w:hAnsi="仿宋" w:eastAsia="仿宋" w:cs="仿宋"/>
                <w:bCs/>
                <w:sz w:val="21"/>
                <w:szCs w:val="21"/>
                <w:highlight w:val="none"/>
              </w:rPr>
              <w:t>服务费用</w:t>
            </w:r>
            <w:r>
              <w:rPr>
                <w:rFonts w:hint="eastAsia" w:ascii="仿宋" w:hAnsi="仿宋" w:eastAsia="仿宋" w:cs="宋体"/>
                <w:kern w:val="0"/>
                <w:sz w:val="21"/>
                <w:szCs w:val="21"/>
                <w:highlight w:val="none"/>
                <w:lang w:val="en-US" w:eastAsia="zh-CN"/>
              </w:rPr>
              <w:t>2</w:t>
            </w:r>
            <w:r>
              <w:rPr>
                <w:rFonts w:hint="eastAsia" w:ascii="仿宋" w:hAnsi="仿宋" w:eastAsia="仿宋" w:cs="宋体"/>
                <w:kern w:val="0"/>
                <w:sz w:val="21"/>
                <w:szCs w:val="21"/>
                <w:highlight w:val="none"/>
              </w:rPr>
              <w:t>0％</w:t>
            </w:r>
            <w:r>
              <w:rPr>
                <w:rFonts w:hint="eastAsia" w:ascii="仿宋" w:hAnsi="仿宋" w:eastAsia="仿宋" w:cs="宋体"/>
                <w:kern w:val="0"/>
                <w:sz w:val="21"/>
                <w:szCs w:val="21"/>
                <w:highlight w:val="none"/>
                <w:lang w:eastAsia="zh-CN"/>
              </w:rPr>
              <w:t>；</w:t>
            </w:r>
            <w:r>
              <w:rPr>
                <w:rFonts w:hint="eastAsia" w:ascii="仿宋" w:hAnsi="仿宋" w:eastAsia="仿宋" w:cs="宋体"/>
                <w:kern w:val="0"/>
                <w:sz w:val="21"/>
                <w:szCs w:val="21"/>
                <w:highlight w:val="none"/>
                <w:lang w:val="en-US" w:eastAsia="zh-CN"/>
              </w:rPr>
              <w:t>低于60分，</w:t>
            </w:r>
            <w:r>
              <w:rPr>
                <w:rFonts w:hint="eastAsia" w:ascii="仿宋" w:hAnsi="仿宋" w:eastAsia="仿宋" w:cs="宋体"/>
                <w:kern w:val="0"/>
                <w:sz w:val="21"/>
                <w:szCs w:val="21"/>
                <w:highlight w:val="none"/>
              </w:rPr>
              <w:t>扣除</w:t>
            </w:r>
            <w:r>
              <w:rPr>
                <w:rFonts w:hint="eastAsia" w:ascii="仿宋" w:hAnsi="仿宋" w:eastAsia="仿宋" w:cs="宋体"/>
                <w:kern w:val="0"/>
                <w:sz w:val="21"/>
                <w:szCs w:val="21"/>
                <w:highlight w:val="none"/>
                <w:lang w:val="en-US" w:eastAsia="zh-CN"/>
              </w:rPr>
              <w:t>当期</w:t>
            </w:r>
            <w:r>
              <w:rPr>
                <w:rFonts w:hint="eastAsia" w:ascii="仿宋" w:hAnsi="仿宋" w:eastAsia="仿宋" w:cs="仿宋"/>
                <w:bCs/>
                <w:sz w:val="21"/>
                <w:szCs w:val="21"/>
                <w:highlight w:val="none"/>
              </w:rPr>
              <w:t>服务费用</w:t>
            </w:r>
            <w:r>
              <w:rPr>
                <w:rFonts w:hint="eastAsia" w:ascii="仿宋" w:hAnsi="仿宋" w:eastAsia="仿宋" w:cs="宋体"/>
                <w:kern w:val="0"/>
                <w:sz w:val="21"/>
                <w:szCs w:val="21"/>
                <w:highlight w:val="none"/>
                <w:lang w:val="en-US" w:eastAsia="zh-CN"/>
              </w:rPr>
              <w:t>50</w:t>
            </w:r>
            <w:r>
              <w:rPr>
                <w:rFonts w:hint="eastAsia" w:ascii="仿宋" w:hAnsi="仿宋" w:eastAsia="仿宋" w:cs="宋体"/>
                <w:kern w:val="0"/>
                <w:sz w:val="21"/>
                <w:szCs w:val="21"/>
                <w:highlight w:val="none"/>
              </w:rPr>
              <w:t>%</w:t>
            </w:r>
          </w:p>
        </w:tc>
      </w:tr>
    </w:tbl>
    <w:p w14:paraId="69792563">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6.保密条款</w:t>
      </w:r>
    </w:p>
    <w:p w14:paraId="0A35A0D7">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14:paraId="10B15449">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（2）保密义务不因合同履行完毕或解除而终止，除非保密信息已经对外披露或者公众所知。</w:t>
      </w:r>
    </w:p>
    <w:p w14:paraId="34332A56">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7.其他要求：</w:t>
      </w:r>
    </w:p>
    <w:p w14:paraId="408B503B">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（1）要求供应商提供科学性、合理性、实施可行性、可靠性等的项目方案，包括但不限于实战培训方案、实施改善项目方案、认证指导方案、项目实施保障、预期成果；</w:t>
      </w:r>
    </w:p>
    <w:p w14:paraId="572D88F1">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（2）要求供应商提供制定的项目进度计划方案包含时间进度安排及保障措施；</w:t>
      </w:r>
    </w:p>
    <w:p w14:paraId="2D80C552">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（3）要求供应商提供质量保障方案，包括但不限于质量保障体系、质量保障措施、质量提升合理化建议等；</w:t>
      </w:r>
    </w:p>
    <w:p w14:paraId="701DD822">
      <w:pPr>
        <w:pStyle w:val="12"/>
        <w:numPr>
          <w:ilvl w:val="0"/>
          <w:numId w:val="0"/>
        </w:numPr>
        <w:adjustRightInd w:val="0"/>
        <w:snapToGrid w:val="0"/>
        <w:spacing w:line="500" w:lineRule="exact"/>
        <w:ind w:firstLine="480" w:firstLineChars="200"/>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2"/>
          <w:sz w:val="24"/>
          <w:szCs w:val="24"/>
          <w:highlight w:val="none"/>
          <w:u w:val="none" w:color="auto"/>
          <w:lang w:val="en-US" w:eastAsia="zh-CN" w:bidi="ar-SA"/>
        </w:rPr>
        <w:t>（4）要求供应商提供</w:t>
      </w:r>
      <w:r>
        <w:rPr>
          <w:rFonts w:hint="eastAsia" w:ascii="仿宋" w:hAnsi="仿宋" w:eastAsia="仿宋" w:cs="仿宋"/>
          <w:color w:val="auto"/>
          <w:kern w:val="0"/>
          <w:sz w:val="24"/>
          <w:szCs w:val="24"/>
          <w:highlight w:val="none"/>
          <w:shd w:val="clear" w:color="auto" w:fill="auto"/>
          <w:lang w:val="en-US" w:eastAsia="zh-CN" w:bidi="ar"/>
        </w:rPr>
        <w:t>安全保证措施；</w:t>
      </w:r>
    </w:p>
    <w:p w14:paraId="3136AE70">
      <w:pPr>
        <w:pStyle w:val="12"/>
        <w:numPr>
          <w:ilvl w:val="0"/>
          <w:numId w:val="0"/>
        </w:numPr>
        <w:adjustRightInd w:val="0"/>
        <w:snapToGrid w:val="0"/>
        <w:spacing w:line="500" w:lineRule="exact"/>
        <w:ind w:firstLine="480" w:firstLineChars="200"/>
        <w:rPr>
          <w:rFonts w:hint="default"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2"/>
          <w:sz w:val="24"/>
          <w:szCs w:val="24"/>
          <w:highlight w:val="none"/>
          <w:u w:val="none" w:color="auto"/>
          <w:lang w:val="en-US" w:eastAsia="zh-CN" w:bidi="ar-SA"/>
        </w:rPr>
        <w:t>（5）要求供应商提供</w:t>
      </w:r>
      <w:r>
        <w:rPr>
          <w:rFonts w:hint="eastAsia" w:ascii="仿宋" w:hAnsi="仿宋" w:eastAsia="仿宋" w:cs="仿宋"/>
          <w:color w:val="auto"/>
          <w:kern w:val="0"/>
          <w:sz w:val="24"/>
          <w:szCs w:val="24"/>
          <w:highlight w:val="none"/>
          <w:shd w:val="clear" w:color="auto" w:fill="auto"/>
          <w:lang w:val="en-US" w:eastAsia="zh-CN" w:bidi="ar"/>
        </w:rPr>
        <w:t>应急措施，包括但不限于应急小组架构、应急响应流程、资源保障等；</w:t>
      </w:r>
    </w:p>
    <w:p w14:paraId="4A920672">
      <w:pPr>
        <w:pStyle w:val="12"/>
        <w:numPr>
          <w:ilvl w:val="0"/>
          <w:numId w:val="0"/>
        </w:numPr>
        <w:adjustRightInd w:val="0"/>
        <w:snapToGrid w:val="0"/>
        <w:spacing w:line="500" w:lineRule="exact"/>
        <w:ind w:firstLine="480" w:firstLineChars="200"/>
        <w:rPr>
          <w:rFonts w:hint="eastAsia" w:ascii="仿宋" w:hAnsi="仿宋" w:eastAsia="仿宋" w:cs="仿宋"/>
          <w:b w:val="0"/>
          <w:bCs w:val="0"/>
          <w:color w:val="auto"/>
          <w:kern w:val="2"/>
          <w:sz w:val="24"/>
          <w:szCs w:val="24"/>
          <w:highlight w:val="none"/>
          <w:u w:val="none" w:color="auto"/>
          <w:lang w:val="en-US" w:eastAsia="zh-CN" w:bidi="ar-SA"/>
        </w:rPr>
      </w:pPr>
      <w:r>
        <w:rPr>
          <w:rFonts w:hint="eastAsia" w:ascii="仿宋" w:hAnsi="仿宋" w:eastAsia="仿宋" w:cs="仿宋"/>
          <w:b w:val="0"/>
          <w:bCs w:val="0"/>
          <w:color w:val="auto"/>
          <w:kern w:val="2"/>
          <w:sz w:val="24"/>
          <w:szCs w:val="24"/>
          <w:highlight w:val="none"/>
          <w:u w:val="none" w:color="auto"/>
          <w:lang w:val="en-US" w:eastAsia="zh-CN" w:bidi="ar-SA"/>
        </w:rPr>
        <w:t>（6）要求供应商提供</w:t>
      </w:r>
      <w:r>
        <w:rPr>
          <w:rFonts w:hint="eastAsia" w:ascii="仿宋" w:hAnsi="仿宋" w:eastAsia="仿宋" w:cs="仿宋"/>
          <w:color w:val="auto"/>
          <w:kern w:val="0"/>
          <w:sz w:val="24"/>
          <w:szCs w:val="24"/>
          <w:highlight w:val="none"/>
          <w:lang w:bidi="ar"/>
        </w:rPr>
        <w:t>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w:t>
      </w:r>
      <w:r>
        <w:rPr>
          <w:rFonts w:hint="eastAsia" w:ascii="仿宋" w:hAnsi="仿宋" w:eastAsia="仿宋" w:cs="仿宋"/>
          <w:b w:val="0"/>
          <w:bCs w:val="0"/>
          <w:color w:val="auto"/>
          <w:kern w:val="2"/>
          <w:sz w:val="24"/>
          <w:szCs w:val="24"/>
          <w:highlight w:val="none"/>
          <w:u w:val="none" w:color="auto"/>
          <w:lang w:val="en-US" w:eastAsia="zh-CN" w:bidi="ar-SA"/>
        </w:rPr>
        <w:t>的同类项目业绩数量情况；</w:t>
      </w:r>
    </w:p>
    <w:p w14:paraId="4205D860">
      <w:pPr>
        <w:pStyle w:val="12"/>
        <w:numPr>
          <w:ilvl w:val="0"/>
          <w:numId w:val="0"/>
        </w:numPr>
        <w:adjustRightInd w:val="0"/>
        <w:snapToGrid w:val="0"/>
        <w:spacing w:line="500" w:lineRule="exact"/>
        <w:ind w:firstLine="480" w:firstLineChars="200"/>
        <w:jc w:val="both"/>
        <w:rPr>
          <w:rFonts w:hint="eastAsia" w:ascii="仿宋" w:hAnsi="仿宋" w:eastAsia="仿宋" w:cs="仿宋"/>
          <w:b/>
          <w:color w:val="auto"/>
          <w:sz w:val="28"/>
          <w:szCs w:val="28"/>
          <w:highlight w:val="none"/>
        </w:rPr>
      </w:pPr>
      <w:r>
        <w:rPr>
          <w:rFonts w:hint="eastAsia" w:ascii="仿宋" w:hAnsi="仿宋" w:eastAsia="仿宋" w:cs="仿宋"/>
          <w:b w:val="0"/>
          <w:bCs w:val="0"/>
          <w:color w:val="auto"/>
          <w:kern w:val="2"/>
          <w:sz w:val="24"/>
          <w:szCs w:val="24"/>
          <w:highlight w:val="none"/>
          <w:u w:val="none" w:color="auto"/>
          <w:lang w:val="en-US" w:eastAsia="zh-CN" w:bidi="ar-SA"/>
        </w:rPr>
        <w:t>（7）要求供应商服务时间响应承诺。</w:t>
      </w:r>
      <w:r>
        <w:rPr>
          <w:rFonts w:hint="eastAsia" w:ascii="仿宋" w:hAnsi="仿宋" w:eastAsia="仿宋" w:cs="仿宋"/>
          <w:b w:val="0"/>
          <w:bCs w:val="0"/>
          <w:color w:val="auto"/>
          <w:kern w:val="2"/>
          <w:sz w:val="24"/>
          <w:szCs w:val="24"/>
          <w:highlight w:val="none"/>
          <w:u w:val="none" w:color="auto"/>
          <w:lang w:val="en-US" w:eastAsia="zh-CN" w:bidi="ar-SA"/>
        </w:rPr>
        <w:br w:type="page"/>
      </w:r>
      <w:r>
        <w:rPr>
          <w:rFonts w:hint="eastAsia" w:ascii="仿宋" w:hAnsi="仿宋" w:eastAsia="仿宋" w:cs="仿宋"/>
          <w:b w:val="0"/>
          <w:bCs w:val="0"/>
          <w:color w:val="auto"/>
          <w:kern w:val="2"/>
          <w:sz w:val="24"/>
          <w:szCs w:val="24"/>
          <w:highlight w:val="none"/>
          <w:u w:val="none" w:color="auto"/>
          <w:lang w:val="en-US" w:eastAsia="zh-CN" w:bidi="ar-SA"/>
        </w:rPr>
        <w:t xml:space="preserve">                       </w:t>
      </w:r>
      <w:r>
        <w:rPr>
          <w:rFonts w:hint="eastAsia" w:ascii="仿宋" w:hAnsi="仿宋" w:eastAsia="仿宋" w:cs="仿宋"/>
          <w:b/>
          <w:color w:val="auto"/>
          <w:sz w:val="28"/>
          <w:szCs w:val="28"/>
          <w:highlight w:val="none"/>
        </w:rPr>
        <w:t>第三部分  响应供应商须知</w:t>
      </w:r>
    </w:p>
    <w:p w14:paraId="31EF2FFD">
      <w:pPr>
        <w:pStyle w:val="12"/>
        <w:adjustRightInd w:val="0"/>
        <w:snapToGrid w:val="0"/>
        <w:spacing w:line="380" w:lineRule="exact"/>
        <w:rPr>
          <w:rFonts w:hint="eastAsia" w:ascii="仿宋" w:hAnsi="仿宋" w:eastAsia="仿宋" w:cs="仿宋"/>
          <w:color w:val="auto"/>
          <w:sz w:val="28"/>
          <w:szCs w:val="28"/>
          <w:highlight w:val="none"/>
        </w:rPr>
      </w:pPr>
    </w:p>
    <w:p w14:paraId="3785239C">
      <w:pPr>
        <w:pStyle w:val="12"/>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一、说  明</w:t>
      </w:r>
    </w:p>
    <w:p w14:paraId="7931984F">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1、适用范围：本</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文件适用于本</w:t>
      </w:r>
      <w:r>
        <w:rPr>
          <w:rFonts w:hint="eastAsia" w:ascii="仿宋" w:hAnsi="仿宋" w:eastAsia="仿宋" w:cs="仿宋"/>
          <w:color w:val="auto"/>
          <w:sz w:val="24"/>
          <w:szCs w:val="24"/>
          <w:highlight w:val="none"/>
          <w:lang w:eastAsia="zh-CN"/>
        </w:rPr>
        <w:t>比</w:t>
      </w:r>
      <w:r>
        <w:rPr>
          <w:rFonts w:hint="eastAsia" w:ascii="仿宋" w:hAnsi="仿宋" w:eastAsia="仿宋" w:cs="仿宋"/>
          <w:color w:val="auto"/>
          <w:sz w:val="24"/>
          <w:szCs w:val="24"/>
          <w:highlight w:val="none"/>
          <w:lang w:val="en-US" w:eastAsia="zh-CN"/>
        </w:rPr>
        <w:t>选</w:t>
      </w:r>
      <w:r>
        <w:rPr>
          <w:rFonts w:hint="eastAsia" w:ascii="仿宋" w:hAnsi="仿宋" w:eastAsia="仿宋" w:cs="仿宋"/>
          <w:color w:val="auto"/>
          <w:sz w:val="24"/>
          <w:szCs w:val="24"/>
          <w:highlight w:val="none"/>
        </w:rPr>
        <w:t>邀请中所述项目的采购项目。</w:t>
      </w:r>
    </w:p>
    <w:p w14:paraId="70EF023D">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定义</w:t>
      </w:r>
    </w:p>
    <w:p w14:paraId="434A684A">
      <w:pPr>
        <w:pStyle w:val="12"/>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single"/>
          <w:lang w:eastAsia="zh-CN"/>
        </w:rPr>
        <w:t>惠州市第一妇幼保健院</w:t>
      </w:r>
      <w:r>
        <w:rPr>
          <w:rFonts w:hint="eastAsia" w:ascii="仿宋" w:hAnsi="仿宋" w:eastAsia="仿宋" w:cs="仿宋"/>
          <w:color w:val="auto"/>
          <w:sz w:val="24"/>
          <w:szCs w:val="24"/>
          <w:highlight w:val="none"/>
        </w:rPr>
        <w:t>。</w:t>
      </w:r>
    </w:p>
    <w:p w14:paraId="4D8F4E75">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18F8A24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的法人或者其他组织、自然人。</w:t>
      </w:r>
    </w:p>
    <w:p w14:paraId="0AFA31EB">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合格的响应公司是指符合以下条件的：</w:t>
      </w:r>
    </w:p>
    <w:p w14:paraId="6A6C7BD0">
      <w:pPr>
        <w:pStyle w:val="12"/>
        <w:adjustRightInd w:val="0"/>
        <w:snapToGrid w:val="0"/>
        <w:spacing w:line="360" w:lineRule="auto"/>
        <w:ind w:firstLine="720"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5BF1FFBB">
      <w:pPr>
        <w:pStyle w:val="12"/>
        <w:adjustRightInd w:val="0"/>
        <w:snapToGrid w:val="0"/>
        <w:spacing w:line="360" w:lineRule="auto"/>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47B3D57B">
      <w:pPr>
        <w:pStyle w:val="12"/>
        <w:adjustRightInd w:val="0"/>
        <w:snapToGrid w:val="0"/>
        <w:spacing w:line="360" w:lineRule="auto"/>
        <w:ind w:firstLine="720"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按要求进行资格</w:t>
      </w:r>
      <w:r>
        <w:rPr>
          <w:rFonts w:hint="eastAsia" w:ascii="仿宋" w:hAnsi="仿宋" w:eastAsia="仿宋" w:cs="仿宋"/>
          <w:color w:val="auto"/>
          <w:sz w:val="24"/>
          <w:szCs w:val="24"/>
          <w:highlight w:val="none"/>
          <w:lang w:val="en-US" w:eastAsia="zh-CN"/>
        </w:rPr>
        <w:t>审查（即满足采购条件和要求）</w:t>
      </w:r>
      <w:r>
        <w:rPr>
          <w:rFonts w:hint="eastAsia" w:ascii="仿宋" w:hAnsi="仿宋" w:eastAsia="仿宋" w:cs="仿宋"/>
          <w:color w:val="auto"/>
          <w:sz w:val="24"/>
          <w:szCs w:val="24"/>
          <w:highlight w:val="none"/>
          <w:lang w:val="hr-HR" w:eastAsia="zh-CN"/>
        </w:rPr>
        <w:t>并通过；</w:t>
      </w:r>
    </w:p>
    <w:p w14:paraId="787CA1FB">
      <w:pPr>
        <w:pStyle w:val="12"/>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（5）“成交供应商”是指经法定程序确定并授予合同的供应商；</w:t>
      </w:r>
    </w:p>
    <w:p w14:paraId="5634A7EA">
      <w:pPr>
        <w:pStyle w:val="12"/>
        <w:adjustRightInd w:val="0"/>
        <w:snapToGrid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（6）“响应文件”是指：供应商根据本文件要求，编制包含报价、技术和服务等所有内容的实质性响应文件。</w:t>
      </w:r>
    </w:p>
    <w:p w14:paraId="73DA7F3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合格的货物和服务：</w:t>
      </w:r>
    </w:p>
    <w:p w14:paraId="5E690E4D">
      <w:pPr>
        <w:pStyle w:val="1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val="en-US"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1F6AF2CB">
      <w:pPr>
        <w:pStyle w:val="12"/>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05E370DB">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trike/>
          <w:dstrike w:val="0"/>
          <w:color w:val="auto"/>
          <w:sz w:val="24"/>
          <w:highlight w:val="none"/>
          <w:u w:val="none" w:color="auto"/>
          <w:lang w:val="hr-HR"/>
        </w:rPr>
      </w:pPr>
      <w:r>
        <w:rPr>
          <w:rFonts w:hint="eastAsia" w:ascii="仿宋" w:hAnsi="仿宋" w:eastAsia="仿宋" w:cs="仿宋"/>
          <w:b w:val="0"/>
          <w:bCs w:val="0"/>
          <w:snapToGrid w:val="0"/>
          <w:color w:val="auto"/>
          <w:kern w:val="0"/>
          <w:sz w:val="24"/>
          <w:szCs w:val="21"/>
          <w:highlight w:val="none"/>
          <w:u w:val="none" w:color="auto"/>
          <w:lang w:val="en-US" w:eastAsia="zh-CN" w:bidi="ar-SA"/>
        </w:rPr>
        <w:t>3、</w:t>
      </w:r>
      <w:r>
        <w:rPr>
          <w:rFonts w:hint="eastAsia" w:ascii="仿宋" w:hAnsi="仿宋" w:eastAsia="仿宋" w:cs="仿宋"/>
          <w:b w:val="0"/>
          <w:bCs w:val="0"/>
          <w:snapToGrid w:val="0"/>
          <w:color w:val="auto"/>
          <w:kern w:val="0"/>
          <w:sz w:val="24"/>
          <w:szCs w:val="21"/>
          <w:highlight w:val="none"/>
          <w:u w:val="none" w:color="auto"/>
          <w:lang w:val="hr-HR" w:eastAsia="zh-CN" w:bidi="ar-SA"/>
        </w:rPr>
        <w:t>响应文件必须经法定代表人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或法定代表人</w:t>
      </w:r>
      <w:r>
        <w:rPr>
          <w:rFonts w:hint="eastAsia" w:ascii="仿宋" w:hAnsi="仿宋" w:eastAsia="仿宋" w:cs="仿宋"/>
          <w:b w:val="0"/>
          <w:bCs w:val="0"/>
          <w:snapToGrid w:val="0"/>
          <w:color w:val="auto"/>
          <w:kern w:val="0"/>
          <w:sz w:val="24"/>
          <w:szCs w:val="21"/>
          <w:highlight w:val="none"/>
          <w:u w:val="none" w:color="auto"/>
          <w:lang w:val="en-US" w:eastAsia="zh-CN" w:bidi="ar-SA"/>
        </w:rPr>
        <w:t>/负责人</w:t>
      </w:r>
      <w:r>
        <w:rPr>
          <w:rFonts w:hint="eastAsia" w:ascii="仿宋" w:hAnsi="仿宋" w:eastAsia="仿宋" w:cs="仿宋"/>
          <w:b w:val="0"/>
          <w:bCs w:val="0"/>
          <w:snapToGrid w:val="0"/>
          <w:color w:val="auto"/>
          <w:kern w:val="0"/>
          <w:sz w:val="24"/>
          <w:szCs w:val="21"/>
          <w:highlight w:val="none"/>
          <w:u w:val="none" w:color="auto"/>
          <w:lang w:val="hr-HR" w:eastAsia="zh-CN" w:bidi="ar-SA"/>
        </w:rPr>
        <w:t>授权代表签署；</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在现场应出示身份证，以备核对，如</w:t>
      </w:r>
      <w:r>
        <w:rPr>
          <w:rFonts w:hint="eastAsia" w:ascii="仿宋" w:hAnsi="仿宋" w:eastAsia="仿宋" w:cs="仿宋"/>
          <w:b w:val="0"/>
          <w:bCs w:val="0"/>
          <w:strike w:val="0"/>
          <w:dstrike w:val="0"/>
          <w:color w:val="auto"/>
          <w:sz w:val="24"/>
          <w:highlight w:val="none"/>
          <w:u w:val="none" w:color="auto"/>
          <w:lang w:val="hr-HR" w:eastAsia="zh-CN"/>
        </w:rPr>
        <w:t>响应供应商</w:t>
      </w:r>
      <w:r>
        <w:rPr>
          <w:rFonts w:hint="eastAsia" w:ascii="仿宋" w:hAnsi="仿宋" w:eastAsia="仿宋" w:cs="仿宋"/>
          <w:b w:val="0"/>
          <w:bCs w:val="0"/>
          <w:strike w:val="0"/>
          <w:dstrike w:val="0"/>
          <w:color w:val="auto"/>
          <w:sz w:val="24"/>
          <w:highlight w:val="none"/>
          <w:u w:val="none" w:color="auto"/>
          <w:lang w:val="hr-HR"/>
        </w:rPr>
        <w:t>与文件中的法人或被授权人不一致将导致废标。</w:t>
      </w:r>
    </w:p>
    <w:p w14:paraId="0513BF95">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rFonts w:hint="eastAsia" w:ascii="仿宋" w:hAnsi="仿宋" w:eastAsia="仿宋" w:cs="仿宋"/>
          <w:b w:val="0"/>
          <w:bCs w:val="0"/>
          <w:snapToGrid w:val="0"/>
          <w:color w:val="auto"/>
          <w:kern w:val="0"/>
          <w:sz w:val="24"/>
          <w:highlight w:val="none"/>
          <w:u w:val="none" w:color="auto"/>
        </w:rPr>
      </w:pPr>
      <w:r>
        <w:rPr>
          <w:rFonts w:hint="eastAsia" w:ascii="仿宋" w:hAnsi="仿宋" w:eastAsia="仿宋" w:cs="仿宋"/>
          <w:b w:val="0"/>
          <w:bCs w:val="0"/>
          <w:snapToGrid w:val="0"/>
          <w:color w:val="auto"/>
          <w:kern w:val="0"/>
          <w:sz w:val="24"/>
          <w:highlight w:val="none"/>
          <w:u w:val="none" w:color="auto"/>
          <w:lang w:val="en-US" w:eastAsia="zh-CN"/>
        </w:rPr>
        <w:t>4</w:t>
      </w:r>
      <w:r>
        <w:rPr>
          <w:rFonts w:hint="eastAsia" w:ascii="仿宋" w:hAnsi="仿宋" w:eastAsia="仿宋" w:cs="仿宋"/>
          <w:b w:val="0"/>
          <w:bCs w:val="0"/>
          <w:snapToGrid w:val="0"/>
          <w:color w:val="auto"/>
          <w:kern w:val="0"/>
          <w:sz w:val="24"/>
          <w:highlight w:val="none"/>
          <w:u w:val="none" w:color="auto"/>
        </w:rPr>
        <w:t>、响应费用：</w:t>
      </w:r>
      <w:r>
        <w:rPr>
          <w:rFonts w:hint="eastAsia" w:ascii="仿宋" w:hAnsi="仿宋" w:eastAsia="仿宋" w:cs="仿宋"/>
          <w:b w:val="0"/>
          <w:bCs w:val="0"/>
          <w:snapToGrid w:val="0"/>
          <w:color w:val="auto"/>
          <w:kern w:val="0"/>
          <w:sz w:val="24"/>
          <w:highlight w:val="none"/>
          <w:u w:val="none" w:color="auto"/>
          <w:lang w:eastAsia="zh-CN"/>
        </w:rPr>
        <w:t>响应供应商</w:t>
      </w:r>
      <w:r>
        <w:rPr>
          <w:rFonts w:hint="eastAsia" w:ascii="仿宋" w:hAnsi="仿宋" w:eastAsia="仿宋" w:cs="仿宋"/>
          <w:b w:val="0"/>
          <w:bCs w:val="0"/>
          <w:snapToGrid w:val="0"/>
          <w:color w:val="auto"/>
          <w:kern w:val="0"/>
          <w:sz w:val="24"/>
          <w:highlight w:val="none"/>
          <w:u w:val="none" w:color="auto"/>
        </w:rPr>
        <w:t>应承担所有与准备和参加响应有关的费用。</w:t>
      </w:r>
    </w:p>
    <w:p w14:paraId="7EC39A5B">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5</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不得恶意竞价，对于报价差异巨大的，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小组有权要求</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在规定的时间内提供相关证明材料，在规定时间内不能提供材料或者无法证明的,</w:t>
      </w:r>
      <w:r>
        <w:rPr>
          <w:rFonts w:hint="eastAsia" w:ascii="仿宋" w:hAnsi="仿宋" w:eastAsia="仿宋" w:cs="仿宋"/>
          <w:b/>
          <w:bCs/>
          <w:color w:val="auto"/>
          <w:sz w:val="24"/>
          <w:highlight w:val="none"/>
          <w:lang w:eastAsia="zh-CN"/>
        </w:rPr>
        <w:t>比</w:t>
      </w:r>
      <w:r>
        <w:rPr>
          <w:rFonts w:hint="eastAsia" w:ascii="仿宋" w:hAnsi="仿宋" w:eastAsia="仿宋" w:cs="仿宋"/>
          <w:b/>
          <w:bCs/>
          <w:color w:val="auto"/>
          <w:sz w:val="24"/>
          <w:highlight w:val="none"/>
          <w:lang w:val="en-US" w:eastAsia="zh-CN"/>
        </w:rPr>
        <w:t>选</w:t>
      </w:r>
      <w:r>
        <w:rPr>
          <w:rFonts w:hint="eastAsia" w:ascii="仿宋" w:hAnsi="仿宋" w:eastAsia="仿宋" w:cs="仿宋"/>
          <w:b/>
          <w:bCs/>
          <w:color w:val="auto"/>
          <w:sz w:val="24"/>
          <w:highlight w:val="none"/>
        </w:rPr>
        <w:t>小组有权裁定该报价是否为恶意报价。恶意竞价的</w:t>
      </w:r>
      <w:r>
        <w:rPr>
          <w:rFonts w:hint="eastAsia" w:ascii="仿宋" w:hAnsi="仿宋" w:eastAsia="仿宋" w:cs="仿宋"/>
          <w:b/>
          <w:bCs/>
          <w:color w:val="auto"/>
          <w:sz w:val="24"/>
          <w:highlight w:val="none"/>
          <w:lang w:eastAsia="zh-CN"/>
        </w:rPr>
        <w:t>响应供应商</w:t>
      </w:r>
      <w:r>
        <w:rPr>
          <w:rFonts w:hint="eastAsia" w:ascii="仿宋" w:hAnsi="仿宋" w:eastAsia="仿宋" w:cs="仿宋"/>
          <w:b/>
          <w:bCs/>
          <w:color w:val="auto"/>
          <w:sz w:val="24"/>
          <w:highlight w:val="none"/>
        </w:rPr>
        <w:t>将被取消成交资格，并列入黑名单，在此后五年内不得参与我院任何采买活动。</w:t>
      </w:r>
    </w:p>
    <w:p w14:paraId="60EE3910">
      <w:pPr>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2D7C2338">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4A2FA437">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2AFD1065">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2539A351">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07F67BB5">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276A6B48">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76BA942E">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1CED6A8E">
      <w:pPr>
        <w:pStyle w:val="12"/>
        <w:adjustRightInd w:val="0"/>
        <w:snapToGrid w:val="0"/>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、有以下情形的，将视为响应供应商互相串通响应，不得报名或响应无效：</w:t>
      </w:r>
    </w:p>
    <w:p w14:paraId="79A09652">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（1）不同供应商委托同一单位或个人办理报价事宜；</w:t>
      </w:r>
    </w:p>
    <w:p w14:paraId="00F0D972">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（2）不同供应商的报价文件出现同一公章或者签字的；</w:t>
      </w:r>
    </w:p>
    <w:p w14:paraId="1B609B3C">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（3）不同供应商的响应文件异常一致或者非比选文件格式要求，响应文件中出现错误字/词/句位置一致的，雷同内容达到20字及以上的；</w:t>
      </w:r>
    </w:p>
    <w:p w14:paraId="678048BC">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（4）不同供应商的响应文件载明的项目管理成员或者联系人员为同一人；</w:t>
      </w:r>
    </w:p>
    <w:p w14:paraId="5A9C0606">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（5）不同供应商的响应文件相互混装；</w:t>
      </w:r>
    </w:p>
    <w:p w14:paraId="1B03909A">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（6）法定代表人为同一个人的两个及两个以上法人，母公司、全资子公司及其控股公司或有共同股东组成或主要管理人员中有共同人员的。</w:t>
      </w:r>
    </w:p>
    <w:p w14:paraId="50D45413">
      <w:pPr>
        <w:pStyle w:val="12"/>
        <w:adjustRightInd w:val="0"/>
        <w:snapToGrid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、响应供应商有下列弄虚作假的行为的，不得报名或响应无效：</w:t>
      </w:r>
    </w:p>
    <w:p w14:paraId="5DAE74A8">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（1）使用伪造、变造的许可证件；</w:t>
      </w:r>
    </w:p>
    <w:p w14:paraId="308EFC71">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（2）提供虚假的财务状况或者业绩；</w:t>
      </w:r>
    </w:p>
    <w:p w14:paraId="0A58CA44">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（3）提供虚假的项目负责人或者主要技术人员简历、劳动关系证明；</w:t>
      </w:r>
    </w:p>
    <w:p w14:paraId="0CA04F41">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（4）提供虚假的信用状况；</w:t>
      </w:r>
    </w:p>
    <w:p w14:paraId="2E6711CE">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（5）其他弄虚作假的行为；</w:t>
      </w:r>
    </w:p>
    <w:p w14:paraId="40983D72">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（6）响应文件或报价文件的签名为代签或冒签的；</w:t>
      </w:r>
    </w:p>
    <w:p w14:paraId="4C6F0570">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（7）被授权人委托他人提交响应文件的，无委托书的。</w:t>
      </w:r>
    </w:p>
    <w:p w14:paraId="0C97CF55">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412EDF05">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、响应文件自响应文件接收截止时点起，三个月内有效。</w:t>
      </w:r>
    </w:p>
    <w:p w14:paraId="5201340C">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、以下情形，采购人有权拒收响应文件：</w:t>
      </w:r>
    </w:p>
    <w:p w14:paraId="3A6FD0A3">
      <w:pPr>
        <w:pStyle w:val="12"/>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6F22A8AE">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1BD368A0">
      <w:pPr>
        <w:pStyle w:val="12"/>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、有下列情形，评审小组将否决其响应：</w:t>
      </w:r>
    </w:p>
    <w:p w14:paraId="396F2AB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1F71F7E8">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3E5DE209">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28C04BAB">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4431D613">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42DFD754">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33891A52">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601A0D59">
      <w:pPr>
        <w:pStyle w:val="12"/>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r>
        <w:rPr>
          <w:rFonts w:hint="eastAsia" w:ascii="仿宋" w:hAnsi="仿宋" w:eastAsia="仿宋" w:cs="仿宋"/>
          <w:b/>
          <w:color w:val="auto"/>
          <w:sz w:val="24"/>
          <w:szCs w:val="24"/>
          <w:highlight w:val="none"/>
          <w:lang w:val="en-US" w:eastAsia="zh-CN"/>
        </w:rPr>
        <w:t>3</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79176666">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6B1F017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602970E1">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679099F4">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47034B23">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4B59435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2C1E8798">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5DDF87D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77825B08">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09E4783D">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0D91FE92">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14511E37">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2CA2F2E0">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153637BC">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2952ED7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6119B1FE">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4FA1A51F">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28FDEFBA">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346F5CAA">
      <w:pPr>
        <w:pStyle w:val="12"/>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036E244D">
      <w:pPr>
        <w:pStyle w:val="12"/>
        <w:numPr>
          <w:ilvl w:val="0"/>
          <w:numId w:val="15"/>
        </w:numPr>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1DFC6280">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关于中小微企业投标</w:t>
      </w:r>
    </w:p>
    <w:p w14:paraId="72F2973D">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75A2CABF">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7D414E5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AABAE8B">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50ED4F4C">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6F2E92A5">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8" w:name="_Toc14923_WPSOffice_Level1"/>
      <w:r>
        <w:rPr>
          <w:rFonts w:hint="eastAsia" w:ascii="仿宋" w:hAnsi="仿宋" w:eastAsia="仿宋" w:cs="仿宋"/>
          <w:b w:val="0"/>
          <w:bCs/>
          <w:color w:val="auto"/>
          <w:sz w:val="24"/>
          <w:szCs w:val="24"/>
          <w:highlight w:val="none"/>
        </w:rPr>
        <w:t>同小型、微型</w:t>
      </w:r>
      <w:bookmarkEnd w:id="8"/>
      <w:r>
        <w:rPr>
          <w:rFonts w:hint="eastAsia" w:ascii="仿宋" w:hAnsi="仿宋" w:eastAsia="仿宋" w:cs="仿宋"/>
          <w:b w:val="0"/>
          <w:bCs/>
          <w:color w:val="auto"/>
          <w:sz w:val="24"/>
          <w:szCs w:val="24"/>
          <w:highlight w:val="none"/>
        </w:rPr>
        <w:t>企业，享受评审中价格扣除。</w:t>
      </w:r>
    </w:p>
    <w:p w14:paraId="0A7BBA2D">
      <w:pPr>
        <w:pStyle w:val="12"/>
        <w:numPr>
          <w:ilvl w:val="0"/>
          <w:numId w:val="16"/>
        </w:numPr>
        <w:adjustRightInd w:val="0"/>
        <w:snapToGrid w:val="0"/>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76170F02">
      <w:pPr>
        <w:pStyle w:val="12"/>
        <w:numPr>
          <w:ilvl w:val="0"/>
          <w:numId w:val="0"/>
        </w:num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二、比选文件</w:t>
      </w:r>
    </w:p>
    <w:p w14:paraId="73E21A24">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1、比选文件由下列文件组成1) 比选邀请函；2) 采购项目内容；3) 供应商须知；4) 合同书格式；5) 响应文件格式 ；6) 在比选过程中由比选采购单位发出的修正和补充文件等。</w:t>
      </w:r>
    </w:p>
    <w:p w14:paraId="7AA739DB">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响应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 </w:t>
      </w:r>
    </w:p>
    <w:p w14:paraId="7658400D">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3、比选文件的澄清或修改</w:t>
      </w:r>
    </w:p>
    <w:p w14:paraId="415546E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（1）比选文件的澄清是指医院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048B46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对其收到的书面的对比选文件的澄清要求均以书面形式予以答复，同时将书面形式答复发给每个提交资格预审文件潜在供应商（答复中不包括问题的来源）。供应商在收到上述答复后，应立即向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回函确认。不足3日的，顺延提交资格预审文件或响应文件的截止时间。该答复作为比选文件的一部分，对供应商有约束力。</w:t>
      </w:r>
    </w:p>
    <w:p w14:paraId="69F1C9C5">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以书面形式通知所有潜在（报名成功的）供应商，并对其具有约束力。供应商在收到上述通知后，应立即向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回函确认。</w:t>
      </w:r>
    </w:p>
    <w:p w14:paraId="4C6C9FF6">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比选过程中，比选文件内容如有实质性的变更，比选小组应以书面形式通知所有参与比选的供应商。若供应商对此类实质性变更不予接受，可以要求退出比选且不会被计入不良行为，否则将被视为接受此变更并受其约束。</w:t>
      </w:r>
    </w:p>
    <w:p w14:paraId="5C50368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（5）采购人可以视采购具体情况，延长响应文件递交截止时间，但至少应当在比选文件规定的响应文件递交截止时间3日前，并将变更时间书面通知所有已获取比选文件的潜在供应商。</w:t>
      </w:r>
    </w:p>
    <w:p w14:paraId="70033355">
      <w:pPr>
        <w:pStyle w:val="12"/>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4、供应商应在收到比选文件后，仔细阅读，有疑问的应在报名有效工作时间内提出质疑。在规定的时间内未对比选文件要求澄清或提出疑问的，我院将视其为无异议，不再接受对比选文件内容的质疑。 </w:t>
      </w:r>
    </w:p>
    <w:p w14:paraId="37D19D78">
      <w:pPr>
        <w:pStyle w:val="12"/>
        <w:adjustRightInd w:val="0"/>
        <w:snapToGrid w:val="0"/>
        <w:spacing w:line="360" w:lineRule="auto"/>
        <w:ind w:firstLine="48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5、要求供应商报名后应参加比选，报名后不参加比选的应在提交响应文件截止时间前一天前致函我院</w:t>
      </w:r>
      <w:r>
        <w:rPr>
          <w:rFonts w:hint="eastAsia" w:ascii="仿宋" w:hAnsi="仿宋" w:eastAsia="仿宋" w:cs="仿宋"/>
          <w:b/>
          <w:bCs/>
          <w:color w:val="auto"/>
          <w:sz w:val="24"/>
          <w:highlight w:val="none"/>
          <w:lang w:eastAsia="zh-CN"/>
        </w:rPr>
        <w:t>招采办</w:t>
      </w:r>
      <w:r>
        <w:rPr>
          <w:rFonts w:hint="eastAsia" w:ascii="仿宋" w:hAnsi="仿宋" w:eastAsia="仿宋" w:cs="仿宋"/>
          <w:b/>
          <w:bCs/>
          <w:color w:val="auto"/>
          <w:sz w:val="24"/>
          <w:highlight w:val="none"/>
        </w:rPr>
        <w:t>说明情况。如未致函说明者，将记不良行为一次，2年累计达两次者将被列入黑名单。</w:t>
      </w:r>
    </w:p>
    <w:p w14:paraId="78401711">
      <w:pPr>
        <w:pStyle w:val="12"/>
        <w:adjustRightInd w:val="0"/>
        <w:snapToGrid w:val="0"/>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三、响应文件的编制和数量</w:t>
      </w:r>
    </w:p>
    <w:p w14:paraId="3BFE1154">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1、比选的语言及计量</w:t>
      </w:r>
    </w:p>
    <w:p w14:paraId="12790E0B">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18636B68">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1.2除非比选文件中另有规定，供应商在响应文件中及其与采购单位的所有往来文件中的计量单位均应采用中华人民共和国法定计量单位。</w:t>
      </w:r>
    </w:p>
    <w:p w14:paraId="70460DD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1.3</w:t>
      </w:r>
      <w:r>
        <w:rPr>
          <w:rFonts w:hint="eastAsia" w:ascii="仿宋" w:hAnsi="仿宋" w:eastAsia="仿宋" w:cs="仿宋"/>
          <w:color w:val="auto"/>
          <w:sz w:val="24"/>
          <w:szCs w:val="24"/>
          <w:highlight w:val="none"/>
        </w:rPr>
        <w:t>响应文件的构成应符合法律法规及比选文件的要求。</w:t>
      </w:r>
    </w:p>
    <w:p w14:paraId="4F3849F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3、响应文件编制</w:t>
      </w:r>
    </w:p>
    <w:p w14:paraId="29B746E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7AB70EF2">
      <w:pPr>
        <w:pStyle w:val="12"/>
        <w:adjustRightInd w:val="0"/>
        <w:snapToGrid w:val="0"/>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3.2响应供应商应完整、真实、准确的填写比选文件中规定的所有内容，对响应文件所提供的全部资料的真实性承担法律责任，并无条件接受我院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4A22FAFF">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3.3如果因为供应商响应文件填报的内容不详，或没有提供比选文件中所要求的全部资料及数据，由此造成的后果，其责任由供应商承担。</w:t>
      </w:r>
    </w:p>
    <w:p w14:paraId="4A9581E3">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4、比选报价</w:t>
      </w:r>
    </w:p>
    <w:p w14:paraId="17E0DD9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4.1供应商所提供的货物和服务均应以人民币报价，若同时以人民币及外币报价的，以人民币报价为准。</w:t>
      </w:r>
    </w:p>
    <w:p w14:paraId="1FAF1B25">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4.2供应商应按照采购文件“第二部分 采购项目内容”中规定的内容、责任范围以及合同条款进行报价，并按《报价单》确定的格式报出分项价格和总价。报价中不得包含采购文件要求以外的内容，否则在评审时不予核减。报价中也不得缺漏采购文件所要求的相应内容，否则将导致报价无效。</w:t>
      </w:r>
    </w:p>
    <w:p w14:paraId="7BB61431">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4.3报价应为供应商完成本项目全部内容所需费用的含税价（包括但不限于人工、保险、伴随服务、拟投入工具及材料、各类税费以及采购合同包含的所有风险、责任等各项应有费用）。</w:t>
      </w:r>
    </w:p>
    <w:p w14:paraId="07A95BF7">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5、只允许供应商有一个响应方案，否则将被视为无效响应。（比选文件允许有备选方案的除外）。</w:t>
      </w:r>
    </w:p>
    <w:p w14:paraId="4234E24C">
      <w:pPr>
        <w:pStyle w:val="12"/>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6、本项目不接受联合体比选。</w:t>
      </w:r>
    </w:p>
    <w:p w14:paraId="0F55637D">
      <w:pPr>
        <w:pStyle w:val="12"/>
        <w:tabs>
          <w:tab w:val="left" w:pos="312"/>
        </w:tabs>
        <w:adjustRightInd w:val="0"/>
        <w:snapToGrid w:val="0"/>
        <w:spacing w:line="360" w:lineRule="auto"/>
        <w:ind w:left="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7、供应商资格证明文件</w:t>
      </w:r>
    </w:p>
    <w:p w14:paraId="72F9B11B">
      <w:pPr>
        <w:pStyle w:val="12"/>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7.1供应商应按比选文件的要求，提交证明其有资格参加比选和成交后有履行合同能力的文件，并作为其响应文件的组成部分，包括但不限于《资格性及符合性审查表》中所列要求。</w:t>
      </w:r>
    </w:p>
    <w:p w14:paraId="4526B810">
      <w:pPr>
        <w:pStyle w:val="12"/>
        <w:adjustRightInd w:val="0"/>
        <w:snapToGrid w:val="0"/>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7.2资格证明文件必须真实有效，复印件必须加盖单位印章。</w:t>
      </w:r>
    </w:p>
    <w:p w14:paraId="09C27E21">
      <w:pPr>
        <w:pStyle w:val="12"/>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8、供应商应编制响应文件一式</w:t>
      </w:r>
      <w:r>
        <w:rPr>
          <w:rFonts w:hint="eastAsia" w:ascii="仿宋" w:hAnsi="仿宋" w:eastAsia="仿宋" w:cs="仿宋"/>
          <w:bCs/>
          <w:color w:val="auto"/>
          <w:sz w:val="24"/>
          <w:szCs w:val="24"/>
          <w:highlight w:val="none"/>
          <w:lang w:eastAsia="zh-CN"/>
        </w:rPr>
        <w:t>两</w:t>
      </w:r>
      <w:r>
        <w:rPr>
          <w:rFonts w:hint="eastAsia" w:ascii="仿宋" w:hAnsi="仿宋" w:eastAsia="仿宋" w:cs="仿宋"/>
          <w:bCs/>
          <w:color w:val="auto"/>
          <w:sz w:val="24"/>
          <w:szCs w:val="24"/>
          <w:highlight w:val="none"/>
        </w:rPr>
        <w:t>份，其中正本一份和副本</w:t>
      </w:r>
      <w:r>
        <w:rPr>
          <w:rFonts w:hint="eastAsia" w:ascii="仿宋" w:hAnsi="仿宋" w:eastAsia="仿宋" w:cs="仿宋"/>
          <w:bCs/>
          <w:color w:val="auto"/>
          <w:sz w:val="24"/>
          <w:szCs w:val="24"/>
          <w:highlight w:val="none"/>
          <w:lang w:eastAsia="zh-CN"/>
        </w:rPr>
        <w:t>一</w:t>
      </w:r>
      <w:r>
        <w:rPr>
          <w:rFonts w:hint="eastAsia" w:ascii="仿宋" w:hAnsi="仿宋" w:eastAsia="仿宋" w:cs="仿宋"/>
          <w:bCs/>
          <w:color w:val="auto"/>
          <w:sz w:val="24"/>
          <w:szCs w:val="24"/>
          <w:highlight w:val="none"/>
        </w:rPr>
        <w:t>份，响应文件的副本可采用正本的复印件。每本响应文件须清楚地标明“正本”、“副本”，否则响应无效。若副本与正本不符，以正本为准。响应文件密封在同一个文件袋内，响应的截止时点为</w:t>
      </w:r>
      <w:r>
        <w:rPr>
          <w:rFonts w:hint="eastAsia" w:ascii="仿宋" w:hAnsi="仿宋" w:eastAsia="仿宋" w:cs="仿宋"/>
          <w:color w:val="auto"/>
          <w:sz w:val="24"/>
          <w:highlight w:val="none"/>
          <w:lang w:val="en-US" w:eastAsia="zh-CN"/>
        </w:rPr>
        <w:t>2024年11月21日15分</w:t>
      </w:r>
      <w:bookmarkStart w:id="9" w:name="_GoBack"/>
      <w:bookmarkEnd w:id="9"/>
      <w:r>
        <w:rPr>
          <w:rFonts w:hint="eastAsia" w:ascii="仿宋" w:hAnsi="仿宋" w:eastAsia="仿宋" w:cs="仿宋"/>
          <w:bCs/>
          <w:color w:val="auto"/>
          <w:sz w:val="24"/>
          <w:szCs w:val="24"/>
          <w:highlight w:val="none"/>
        </w:rPr>
        <w:t>（北京时间），超过截止时点后的响应视为响应无效。</w:t>
      </w:r>
    </w:p>
    <w:p w14:paraId="3E6AD9A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9、响应文件由法定代表人或经其正式授权的代表签字。授权代表须出具书面授权证明，法人证明及法人授权证明均应在响应文件中提供（格式见附件）。</w:t>
      </w:r>
    </w:p>
    <w:p w14:paraId="0FBD84B9">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ascii="仿宋" w:hAnsi="仿宋" w:eastAsia="仿宋" w:cs="仿宋"/>
          <w:color w:val="auto"/>
          <w:sz w:val="24"/>
          <w:szCs w:val="24"/>
          <w:highlight w:val="none"/>
        </w:rPr>
        <w:t>响应文件中的任何重要的插字、涂改和增删，必须由法定代表人或经其正式授权的代表在旁边加盖公章或签字才有效。</w:t>
      </w:r>
    </w:p>
    <w:p w14:paraId="59D0966D">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w:t>
      </w:r>
    </w:p>
    <w:p w14:paraId="49163AC7">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1、供应商应将《报价单》单独密封提交，并在信封上清晰标明“报价信封”字样。供应商应将响应文件密封包装。</w:t>
      </w:r>
    </w:p>
    <w:p w14:paraId="65F42FC1">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2、响应的信封袋或者文件袋外包装上应注明采购项目名称、项目编号 “在（比选文件中规定的比选日期和时点）之前不得拆封”字样，封口处加盖公章。未按要求密封和标记的，我院对误投或提前启封概不负责。</w:t>
      </w:r>
    </w:p>
    <w:p w14:paraId="67EAEFF7">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3、采购单位在《比选邀请函》中规定的地点和响应截止时间之前接收响应文件，超过截止时间后的响应为无效响应，采购单位将拒绝接收。</w:t>
      </w:r>
    </w:p>
    <w:p w14:paraId="6A1439C5">
      <w:pPr>
        <w:pStyle w:val="12"/>
        <w:adjustRightInd w:val="0"/>
        <w:snapToGrid w:val="0"/>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31F543F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5、供应商所提交的响应文件在比选结束后，无论成交与否都不予退还。</w:t>
      </w:r>
    </w:p>
    <w:p w14:paraId="3FE738FD">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五、比选和确定成交候选供应商</w:t>
      </w:r>
    </w:p>
    <w:p w14:paraId="60DDB4F4">
      <w:pPr>
        <w:pStyle w:val="12"/>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（一）比选</w:t>
      </w:r>
    </w:p>
    <w:p w14:paraId="39A3AFD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及）并加盖公章，授权委托书必须具有法人签名，未签名无效。如缺少上述资料，按响应无效处理。</w:t>
      </w:r>
    </w:p>
    <w:p w14:paraId="616C94B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787A162B">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1C3517F1">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3、在响应供应商见证下、医院监督代表验证文件的密封性，并由</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工作人员现场宣读响应供应商名称、响应价格等实质内容。</w:t>
      </w:r>
    </w:p>
    <w:p w14:paraId="637FBB73">
      <w:pPr>
        <w:pStyle w:val="12"/>
        <w:adjustRightInd w:val="0"/>
        <w:snapToGrid w:val="0"/>
        <w:spacing w:line="360" w:lineRule="auto"/>
        <w:ind w:right="32"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（二）评审小组的组成</w:t>
      </w:r>
    </w:p>
    <w:p w14:paraId="03B4A3A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1、评审小组按医院规定从专家库中随机抽取三名专家组成。评审小组将本着公平、公正、科学、择优的原则，严格按照医院的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实施细则和比选文件的要求进行评审及推荐成交人。</w:t>
      </w:r>
    </w:p>
    <w:p w14:paraId="35133922">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79EB0BF9">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（三）确定成交候选供应商</w:t>
      </w:r>
    </w:p>
    <w:p w14:paraId="40F5F38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1、评审小组认为比选文件的内容存在违反国家有关强制性规定的，应当停止评审并向</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说明情况。</w:t>
      </w:r>
    </w:p>
    <w:p w14:paraId="0B8F6C3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2、评审小组按照比选文件确定的评审方法、步骤、标准，对响应文件进行评审，提交书面评审报告，按照得分由高到低的顺序对响应供应商进行排名。</w:t>
      </w:r>
    </w:p>
    <w:p w14:paraId="4769AFC4">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3、评审小组按照评审标准在评审报告中确定排名第一的响应供应商为成交供应商，并在评审报告上签字，对自己的评审意见承担法律责任。</w:t>
      </w:r>
    </w:p>
    <w:p w14:paraId="3E52EAC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4、成交供应商确定后，我院</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医院官网上将结果进行公示，同时发出成交通知书，如质疑时间内对成交结果有质疑投诉且成立的，将重新调整公示信息和成交通知书。成交供应商无正当理由不履行采购合同或放弃成交的，采购人可以确定排名第二的响应供应商为成交供应商或者重新比选。成交供应商无故放弃成交的，应当依法承担法律责任。</w:t>
      </w:r>
    </w:p>
    <w:p w14:paraId="4164E815">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5、凡发现成交供应商有下列行为之一的，将移交涉监管部门依法处理。</w:t>
      </w:r>
    </w:p>
    <w:p w14:paraId="7A767CFF">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（1）提供虚假材料谋取成交的；</w:t>
      </w:r>
    </w:p>
    <w:p w14:paraId="79920111">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（2）采取不正当手段诋毁、排挤其他供应商的；</w:t>
      </w:r>
    </w:p>
    <w:p w14:paraId="342867A3">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（3）与采购人、其他供应商或者工作人员恶意串通的；</w:t>
      </w:r>
    </w:p>
    <w:p w14:paraId="0F7A1DB1">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（4）向采购人 、比选工作人员行贿或者提供其他不正当利益的；</w:t>
      </w:r>
    </w:p>
    <w:p w14:paraId="4AC4AFF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（5）拒绝有关部门监督检查或者提供虚假情况的；</w:t>
      </w:r>
    </w:p>
    <w:p w14:paraId="71D1DBF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（6）向评审委员会成员行贿或者提供其他不正当利益；</w:t>
      </w:r>
    </w:p>
    <w:p w14:paraId="6550E64C">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（7）成交后无正当理由拒不与采购人签订采购合同；</w:t>
      </w:r>
    </w:p>
    <w:p w14:paraId="458F1D9D">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（8）未按照采购文件确定的事项签订采购合同；</w:t>
      </w:r>
    </w:p>
    <w:p w14:paraId="6F2B4F70">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（9）将采购合同转包；</w:t>
      </w:r>
    </w:p>
    <w:p w14:paraId="0916009E">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（10）提供假冒伪劣产品；</w:t>
      </w:r>
    </w:p>
    <w:p w14:paraId="4AA42B4F">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（11）擅自变更、中止或者终止采购合同；</w:t>
      </w:r>
    </w:p>
    <w:p w14:paraId="6952C899">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（12）有法律、法规规定的其他损害比选采购机构利益和社会公共利益情形的。</w:t>
      </w:r>
    </w:p>
    <w:p w14:paraId="11D275CD">
      <w:pPr>
        <w:pStyle w:val="12"/>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六、评审</w:t>
      </w:r>
      <w:r>
        <w:rPr>
          <w:rFonts w:hint="eastAsia" w:ascii="仿宋" w:hAnsi="仿宋" w:eastAsia="仿宋" w:cs="仿宋"/>
          <w:b/>
          <w:color w:val="auto"/>
          <w:sz w:val="24"/>
          <w:szCs w:val="24"/>
          <w:highlight w:val="none"/>
        </w:rPr>
        <w:t>方法、步骤及标准</w:t>
      </w:r>
    </w:p>
    <w:p w14:paraId="22AF02E0">
      <w:pPr>
        <w:pStyle w:val="12"/>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42416A6A">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09F1045A">
      <w:pPr>
        <w:pStyle w:val="12"/>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。评审小组依据响应证明文件从商务评审、技术评审、价格评审和服务评审等方面按公正、科学、客观、平等竞争的要求进行综合评审,按评审综合得分由高到低确定成交供应商。</w:t>
      </w:r>
    </w:p>
    <w:p w14:paraId="771435D0">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233014B6">
      <w:pPr>
        <w:pStyle w:val="12"/>
        <w:adjustRightInd w:val="0"/>
        <w:snapToGrid w:val="0"/>
        <w:spacing w:line="360" w:lineRule="auto"/>
        <w:ind w:right="32" w:firstLine="463" w:firstLineChars="19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1、宣读评审纪律。</w:t>
      </w:r>
    </w:p>
    <w:p w14:paraId="2C02158D">
      <w:pPr>
        <w:pStyle w:val="12"/>
        <w:adjustRightInd w:val="0"/>
        <w:snapToGrid w:val="0"/>
        <w:spacing w:line="360" w:lineRule="auto"/>
        <w:ind w:firstLine="460"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评审专家签到，监督代表核对评审专家与随机抽取的专家名单，监督代表核对无误后，</w:t>
      </w:r>
      <w:r>
        <w:rPr>
          <w:rFonts w:hint="eastAsia" w:ascii="仿宋" w:hAnsi="仿宋" w:eastAsia="仿宋" w:cs="仿宋"/>
          <w:color w:val="auto"/>
          <w:sz w:val="24"/>
          <w:szCs w:val="24"/>
          <w:highlight w:val="none"/>
          <w:lang w:eastAsia="zh-CN"/>
        </w:rPr>
        <w:t>招采办</w:t>
      </w:r>
      <w:r>
        <w:rPr>
          <w:rFonts w:hint="eastAsia" w:ascii="仿宋" w:hAnsi="仿宋" w:eastAsia="仿宋" w:cs="仿宋"/>
          <w:color w:val="auto"/>
          <w:sz w:val="24"/>
          <w:szCs w:val="24"/>
          <w:highlight w:val="none"/>
        </w:rPr>
        <w:t>在评审开始前宣读评审纪律及比选文件说明。</w:t>
      </w:r>
    </w:p>
    <w:p w14:paraId="6390F3C5">
      <w:pPr>
        <w:autoSpaceDE w:val="0"/>
        <w:autoSpaceDN w:val="0"/>
        <w:adjustRightInd w:val="0"/>
        <w:snapToGrid w:val="0"/>
        <w:spacing w:line="360" w:lineRule="auto"/>
        <w:ind w:right="32" w:firstLine="460"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7825"/>
      </w:tblGrid>
      <w:tr w14:paraId="4F5C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9" w:type="dxa"/>
            <w:noWrap w:val="0"/>
            <w:vAlign w:val="top"/>
          </w:tcPr>
          <w:p w14:paraId="66B33593">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25" w:type="dxa"/>
            <w:noWrap w:val="0"/>
            <w:vAlign w:val="top"/>
          </w:tcPr>
          <w:p w14:paraId="31622997">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39E6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2AB19B86">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25" w:type="dxa"/>
            <w:noWrap w:val="0"/>
            <w:vAlign w:val="top"/>
          </w:tcPr>
          <w:p w14:paraId="37A64A26">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2B8C3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noWrap w:val="0"/>
            <w:vAlign w:val="center"/>
          </w:tcPr>
          <w:p w14:paraId="4137244F">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25" w:type="dxa"/>
            <w:noWrap w:val="0"/>
            <w:vAlign w:val="top"/>
          </w:tcPr>
          <w:p w14:paraId="32AA1E0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0BB8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66D2EACD">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25" w:type="dxa"/>
            <w:noWrap w:val="0"/>
            <w:vAlign w:val="top"/>
          </w:tcPr>
          <w:p w14:paraId="78281320">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26DA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C47D97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25" w:type="dxa"/>
            <w:noWrap w:val="0"/>
            <w:vAlign w:val="top"/>
          </w:tcPr>
          <w:p w14:paraId="0CBCFFE2">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009E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5BC1C96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25" w:type="dxa"/>
            <w:noWrap w:val="0"/>
            <w:vAlign w:val="top"/>
          </w:tcPr>
          <w:p w14:paraId="2F088F8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2B1A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7BA4BE8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w:t>
            </w:r>
          </w:p>
        </w:tc>
        <w:tc>
          <w:tcPr>
            <w:tcW w:w="7825" w:type="dxa"/>
            <w:noWrap w:val="0"/>
            <w:vAlign w:val="top"/>
          </w:tcPr>
          <w:p w14:paraId="77CAD6DB">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评审小组中，同一任职科室评审专家超过二名的；</w:t>
            </w:r>
          </w:p>
        </w:tc>
      </w:tr>
      <w:tr w14:paraId="6265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3AED4489">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7</w:t>
            </w:r>
          </w:p>
        </w:tc>
        <w:tc>
          <w:tcPr>
            <w:tcW w:w="7825" w:type="dxa"/>
            <w:noWrap w:val="0"/>
            <w:vAlign w:val="top"/>
          </w:tcPr>
          <w:p w14:paraId="6E591BE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参与比选文件或进口产品论证的（不含采购人代表）；</w:t>
            </w:r>
          </w:p>
        </w:tc>
      </w:tr>
      <w:tr w14:paraId="0079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06BAC51F">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w:t>
            </w:r>
          </w:p>
        </w:tc>
        <w:tc>
          <w:tcPr>
            <w:tcW w:w="7825" w:type="dxa"/>
            <w:noWrap w:val="0"/>
            <w:vAlign w:val="top"/>
          </w:tcPr>
          <w:p w14:paraId="35C72BE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436B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noWrap w:val="0"/>
            <w:vAlign w:val="center"/>
          </w:tcPr>
          <w:p w14:paraId="29F8346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w:t>
            </w:r>
          </w:p>
        </w:tc>
        <w:tc>
          <w:tcPr>
            <w:tcW w:w="7825" w:type="dxa"/>
            <w:noWrap w:val="0"/>
            <w:vAlign w:val="top"/>
          </w:tcPr>
          <w:p w14:paraId="5B911C39">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19E99AA2">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p>
    <w:p w14:paraId="2E380A3A">
      <w:pPr>
        <w:autoSpaceDE w:val="0"/>
        <w:autoSpaceDN w:val="0"/>
        <w:adjustRightInd w:val="0"/>
        <w:snapToGrid w:val="0"/>
        <w:spacing w:line="360" w:lineRule="auto"/>
        <w:ind w:right="32" w:firstLine="463" w:firstLineChars="19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3、推荐评审小组组长</w:t>
      </w:r>
    </w:p>
    <w:p w14:paraId="01FA9745">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评审组按照少数服从多数的原则推荐组长。评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19169B7D">
      <w:pPr>
        <w:pStyle w:val="12"/>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4、响应文件的资格性、符合性审查</w:t>
      </w:r>
    </w:p>
    <w:p w14:paraId="7F4A7EDF">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准入条件和响应供应商的合格性、要求实质性响应的服务要求、商务要求及报价的唯一性等，审查不合格者按响应无效处理。只有资格性符合性全部审查合格才能进入后续评审。</w:t>
      </w:r>
    </w:p>
    <w:p w14:paraId="3C04F5D8">
      <w:pPr>
        <w:pStyle w:val="12"/>
        <w:adjustRightInd w:val="0"/>
        <w:snapToGrid w:val="0"/>
        <w:spacing w:line="360" w:lineRule="auto"/>
        <w:ind w:right="32" w:firstLine="458"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委员会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tbl>
      <w:tblPr>
        <w:tblStyle w:val="1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5162D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43E89885">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03547512">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5492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61" w:type="dxa"/>
            <w:vMerge w:val="restart"/>
            <w:noWrap w:val="0"/>
            <w:vAlign w:val="center"/>
          </w:tcPr>
          <w:p w14:paraId="5941DDE4">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5C78A10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13DBB465">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5760" w:type="dxa"/>
            <w:noWrap w:val="0"/>
            <w:vAlign w:val="center"/>
          </w:tcPr>
          <w:p w14:paraId="5DE591B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1.具备《政府采购法》第二十二条规定的条件,且提供以下证明文件：</w:t>
            </w:r>
          </w:p>
          <w:p w14:paraId="38B4A054">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（1）在中华人民共和国境内注册的具有独立承担民事责任能力的法人或其他组织（提供营业执照等证明文件）；</w:t>
            </w:r>
          </w:p>
          <w:p w14:paraId="5CB71DF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Cs w:val="21"/>
                <w:highlight w:val="none"/>
                <w:lang w:eastAsia="zh-CN"/>
              </w:rPr>
              <w:t>响应供应商</w:t>
            </w:r>
            <w:r>
              <w:rPr>
                <w:rFonts w:hint="eastAsia" w:ascii="仿宋" w:hAnsi="仿宋" w:eastAsia="仿宋" w:cs="仿宋"/>
                <w:color w:val="auto"/>
                <w:szCs w:val="21"/>
                <w:highlight w:val="none"/>
              </w:rPr>
              <w:t>人内部的财务报表复印件（新成立公司提供成立至今的月或季度财务报表复印件）；或③截至</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文件递交截止日近</w:t>
            </w:r>
            <w:r>
              <w:rPr>
                <w:rFonts w:hint="eastAsia" w:ascii="仿宋" w:hAnsi="仿宋" w:eastAsia="仿宋" w:cs="仿宋"/>
                <w:color w:val="auto"/>
                <w:szCs w:val="21"/>
                <w:highlight w:val="none"/>
                <w:lang w:eastAsia="zh-CN"/>
              </w:rPr>
              <w:t>12个月内银行</w:t>
            </w:r>
            <w:r>
              <w:rPr>
                <w:rFonts w:hint="eastAsia" w:ascii="仿宋" w:hAnsi="仿宋" w:eastAsia="仿宋" w:cs="仿宋"/>
                <w:color w:val="auto"/>
                <w:szCs w:val="21"/>
                <w:highlight w:val="none"/>
              </w:rPr>
              <w:t>出具的资信证明（复印件）</w:t>
            </w:r>
            <w:r>
              <w:rPr>
                <w:rFonts w:hint="eastAsia" w:ascii="仿宋" w:hAnsi="仿宋" w:eastAsia="仿宋" w:cs="仿宋"/>
                <w:color w:val="auto"/>
                <w:szCs w:val="21"/>
                <w:highlight w:val="none"/>
                <w:lang w:eastAsia="zh-CN"/>
              </w:rPr>
              <w:t>；</w:t>
            </w:r>
          </w:p>
          <w:p w14:paraId="1491280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（3）比选截止时间近12个月内任意一个月的依法缴纳税收证明材料（如依法免税，则须提供相应文件证明其依法免税）；</w:t>
            </w:r>
          </w:p>
          <w:p w14:paraId="5D67F016">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（4）比选截止时间近12个月内任意一个月的依法缴纳社会保险凭据（如依法不需要缴纳社保，则须提供相应文件证明其依法不需要缴纳）；</w:t>
            </w:r>
          </w:p>
          <w:p w14:paraId="4A92CD3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（5）履行合同所必需的设备和专业技术能力的证明材料或书面声明；</w:t>
            </w:r>
          </w:p>
          <w:p w14:paraId="7BB0FD0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（6）参加政府采购活动前3年内在经营活动中没有重大违法记录的书面声明。</w:t>
            </w:r>
          </w:p>
          <w:p w14:paraId="6051900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33A02EA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3.单位负责人为同一人或者存在直接控股、管理关系的不同供应商，不得参加同一包号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p w14:paraId="6213CF8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4.为本采购项目提供整体设计、规范编制或者项目管理、监理、检测等服务的供应商，不得再参加本采购项目的采购活动。(供应商出具声明函)</w:t>
            </w:r>
          </w:p>
          <w:p w14:paraId="2F5463A5">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rPr>
              <w:t>5.</w:t>
            </w: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p w14:paraId="59BEDF29">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6.本项目是专门面向中小企业采购的项目。（提供《中小企业声明函》，具体格式文件见比选文件P60中小企业声明函（工程、服务），未按要求提供声明函的将导致响应无效）。本项目中小企业划分标准所属行业为：软件和信息技术服务业。7.已在招采办报名。</w:t>
            </w:r>
          </w:p>
        </w:tc>
      </w:tr>
      <w:tr w14:paraId="20667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4F5BD1F">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4E42DA5">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其他要求</w:t>
            </w:r>
          </w:p>
        </w:tc>
        <w:tc>
          <w:tcPr>
            <w:tcW w:w="5760" w:type="dxa"/>
            <w:noWrap w:val="0"/>
            <w:vAlign w:val="top"/>
          </w:tcPr>
          <w:p w14:paraId="3E6B3083">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r>
      <w:tr w14:paraId="3489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44C5F275">
            <w:pPr>
              <w:spacing w:line="380" w:lineRule="exact"/>
              <w:ind w:left="40" w:leftChars="19"/>
              <w:jc w:val="center"/>
              <w:rPr>
                <w:rFonts w:hint="eastAsia" w:ascii="仿宋" w:hAnsi="仿宋" w:eastAsia="仿宋" w:cs="仿宋"/>
                <w:color w:val="FF0000"/>
                <w:szCs w:val="21"/>
                <w:highlight w:val="none"/>
              </w:rPr>
            </w:pPr>
            <w:r>
              <w:rPr>
                <w:rFonts w:hint="eastAsia" w:ascii="仿宋" w:hAnsi="仿宋" w:eastAsia="仿宋" w:cs="仿宋"/>
                <w:color w:val="FF0000"/>
                <w:szCs w:val="21"/>
                <w:highlight w:val="none"/>
              </w:rPr>
              <w:t>符合性审查</w:t>
            </w:r>
          </w:p>
        </w:tc>
        <w:tc>
          <w:tcPr>
            <w:tcW w:w="2032" w:type="dxa"/>
            <w:noWrap w:val="0"/>
            <w:vAlign w:val="center"/>
          </w:tcPr>
          <w:p w14:paraId="2B31FEF6">
            <w:pPr>
              <w:ind w:left="40" w:leftChars="19"/>
              <w:jc w:val="center"/>
              <w:rPr>
                <w:rFonts w:hint="eastAsia" w:ascii="仿宋" w:hAnsi="仿宋" w:eastAsia="仿宋" w:cs="仿宋"/>
                <w:color w:val="FF0000"/>
                <w:szCs w:val="21"/>
                <w:highlight w:val="none"/>
                <w:lang w:eastAsia="zh-CN"/>
              </w:rPr>
            </w:pPr>
            <w:r>
              <w:rPr>
                <w:rFonts w:hint="eastAsia" w:ascii="仿宋" w:hAnsi="仿宋" w:eastAsia="仿宋" w:cs="仿宋"/>
                <w:color w:val="FF0000"/>
                <w:szCs w:val="21"/>
                <w:highlight w:val="none"/>
                <w:lang w:eastAsia="zh-CN"/>
              </w:rPr>
              <w:t>文件签署</w:t>
            </w:r>
          </w:p>
        </w:tc>
        <w:tc>
          <w:tcPr>
            <w:tcW w:w="5760" w:type="dxa"/>
            <w:tcBorders>
              <w:bottom w:val="single" w:color="auto" w:sz="4" w:space="0"/>
            </w:tcBorders>
            <w:noWrap w:val="0"/>
            <w:vAlign w:val="center"/>
          </w:tcPr>
          <w:p w14:paraId="4CC811AB">
            <w:pPr>
              <w:tabs>
                <w:tab w:val="left" w:pos="2880"/>
              </w:tabs>
              <w:spacing w:line="380" w:lineRule="exact"/>
              <w:jc w:val="left"/>
              <w:rPr>
                <w:rFonts w:hint="eastAsia" w:ascii="仿宋" w:hAnsi="仿宋" w:eastAsia="仿宋" w:cs="仿宋"/>
                <w:color w:val="FF0000"/>
                <w:szCs w:val="21"/>
                <w:highlight w:val="none"/>
                <w:lang w:eastAsia="zh-CN"/>
              </w:rPr>
            </w:pPr>
            <w:r>
              <w:rPr>
                <w:rFonts w:hint="eastAsia" w:ascii="仿宋" w:hAnsi="仿宋" w:eastAsia="仿宋" w:cs="仿宋"/>
                <w:color w:val="FF0000"/>
                <w:szCs w:val="21"/>
                <w:highlight w:val="none"/>
                <w:lang w:eastAsia="zh-CN"/>
              </w:rPr>
              <w:t>按照比选文件规定要求签署、盖章且响应文件有法定代表人签字或盖个人名章（或签字人有法定代表人有效授权书）的。</w:t>
            </w:r>
          </w:p>
        </w:tc>
      </w:tr>
      <w:tr w14:paraId="7D78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357F9311">
            <w:pPr>
              <w:spacing w:line="380" w:lineRule="exact"/>
              <w:ind w:left="40" w:leftChars="19"/>
              <w:jc w:val="center"/>
              <w:rPr>
                <w:rFonts w:hint="eastAsia" w:ascii="仿宋" w:hAnsi="仿宋" w:eastAsia="仿宋" w:cs="仿宋"/>
                <w:color w:val="FF0000"/>
                <w:szCs w:val="21"/>
                <w:highlight w:val="none"/>
              </w:rPr>
            </w:pPr>
          </w:p>
        </w:tc>
        <w:tc>
          <w:tcPr>
            <w:tcW w:w="2032" w:type="dxa"/>
            <w:noWrap w:val="0"/>
            <w:vAlign w:val="center"/>
          </w:tcPr>
          <w:p w14:paraId="76640BD6">
            <w:pPr>
              <w:ind w:left="40" w:leftChars="19"/>
              <w:jc w:val="center"/>
              <w:rPr>
                <w:rFonts w:hint="eastAsia" w:ascii="仿宋" w:hAnsi="仿宋" w:eastAsia="仿宋" w:cs="仿宋"/>
                <w:color w:val="FF0000"/>
                <w:szCs w:val="21"/>
                <w:highlight w:val="none"/>
              </w:rPr>
            </w:pPr>
            <w:r>
              <w:rPr>
                <w:rFonts w:hint="eastAsia" w:ascii="仿宋" w:hAnsi="仿宋" w:eastAsia="仿宋" w:cs="仿宋"/>
                <w:color w:val="FF0000"/>
                <w:szCs w:val="21"/>
                <w:highlight w:val="none"/>
                <w:lang w:eastAsia="zh-CN"/>
              </w:rPr>
              <w:t>响应有效期</w:t>
            </w:r>
          </w:p>
        </w:tc>
        <w:tc>
          <w:tcPr>
            <w:tcW w:w="5760" w:type="dxa"/>
            <w:noWrap w:val="0"/>
            <w:vAlign w:val="center"/>
          </w:tcPr>
          <w:p w14:paraId="3F45340B">
            <w:pPr>
              <w:tabs>
                <w:tab w:val="left" w:pos="2880"/>
              </w:tabs>
              <w:spacing w:line="380" w:lineRule="exact"/>
              <w:jc w:val="left"/>
              <w:rPr>
                <w:rFonts w:hint="eastAsia" w:ascii="仿宋" w:hAnsi="仿宋" w:eastAsia="仿宋" w:cs="仿宋"/>
                <w:color w:val="FF0000"/>
                <w:szCs w:val="21"/>
                <w:highlight w:val="none"/>
                <w:lang w:eastAsia="zh-CN"/>
              </w:rPr>
            </w:pPr>
            <w:r>
              <w:rPr>
                <w:rFonts w:hint="eastAsia" w:ascii="仿宋" w:hAnsi="仿宋" w:eastAsia="仿宋" w:cs="仿宋"/>
                <w:color w:val="FF0000"/>
                <w:szCs w:val="21"/>
                <w:highlight w:val="none"/>
                <w:lang w:eastAsia="zh-CN"/>
              </w:rPr>
              <w:t>响应函已提交并符合比选文件要求的，且响应有效期不少于比选文件中载明的响应有效期限；</w:t>
            </w:r>
          </w:p>
        </w:tc>
      </w:tr>
      <w:tr w14:paraId="0F41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61" w:type="dxa"/>
            <w:vMerge w:val="continue"/>
            <w:noWrap w:val="0"/>
            <w:vAlign w:val="top"/>
          </w:tcPr>
          <w:p w14:paraId="235140D0">
            <w:pPr>
              <w:spacing w:line="380" w:lineRule="exact"/>
              <w:ind w:left="40" w:leftChars="19"/>
              <w:jc w:val="center"/>
              <w:rPr>
                <w:rFonts w:hint="eastAsia" w:ascii="仿宋" w:hAnsi="仿宋" w:eastAsia="仿宋" w:cs="仿宋"/>
                <w:color w:val="FF0000"/>
                <w:szCs w:val="21"/>
                <w:highlight w:val="none"/>
              </w:rPr>
            </w:pPr>
          </w:p>
        </w:tc>
        <w:tc>
          <w:tcPr>
            <w:tcW w:w="2032" w:type="dxa"/>
            <w:noWrap w:val="0"/>
            <w:vAlign w:val="center"/>
          </w:tcPr>
          <w:p w14:paraId="25E106EF">
            <w:pPr>
              <w:ind w:left="40" w:leftChars="19"/>
              <w:jc w:val="center"/>
              <w:rPr>
                <w:rFonts w:hint="eastAsia" w:ascii="仿宋" w:hAnsi="仿宋" w:eastAsia="仿宋" w:cs="仿宋"/>
                <w:color w:val="FF0000"/>
                <w:szCs w:val="21"/>
                <w:highlight w:val="none"/>
              </w:rPr>
            </w:pPr>
            <w:r>
              <w:rPr>
                <w:rFonts w:hint="eastAsia" w:ascii="仿宋" w:hAnsi="仿宋" w:eastAsia="仿宋" w:cs="仿宋"/>
                <w:color w:val="FF0000"/>
                <w:szCs w:val="21"/>
                <w:highlight w:val="none"/>
              </w:rPr>
              <w:t>商务要求评审</w:t>
            </w:r>
          </w:p>
        </w:tc>
        <w:tc>
          <w:tcPr>
            <w:tcW w:w="5760" w:type="dxa"/>
            <w:noWrap w:val="0"/>
            <w:vAlign w:val="center"/>
          </w:tcPr>
          <w:p w14:paraId="72DC0843">
            <w:pPr>
              <w:tabs>
                <w:tab w:val="left" w:pos="2880"/>
              </w:tabs>
              <w:spacing w:line="380" w:lineRule="exact"/>
              <w:jc w:val="left"/>
              <w:rPr>
                <w:rFonts w:hint="eastAsia" w:ascii="仿宋" w:hAnsi="仿宋" w:eastAsia="仿宋" w:cs="仿宋"/>
                <w:color w:val="FF0000"/>
                <w:szCs w:val="21"/>
                <w:highlight w:val="none"/>
                <w:lang w:eastAsia="zh-CN"/>
              </w:rPr>
            </w:pPr>
            <w:r>
              <w:rPr>
                <w:rFonts w:hint="eastAsia" w:ascii="仿宋" w:hAnsi="仿宋" w:eastAsia="仿宋" w:cs="仿宋"/>
                <w:color w:val="FF0000"/>
                <w:szCs w:val="21"/>
                <w:highlight w:val="none"/>
                <w:lang w:eastAsia="zh-CN"/>
              </w:rPr>
              <w:t>实质性（“★”项）商务条款是否全部完全响应；</w:t>
            </w:r>
          </w:p>
        </w:tc>
      </w:tr>
      <w:tr w14:paraId="4C38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61" w:type="dxa"/>
            <w:vMerge w:val="continue"/>
            <w:noWrap w:val="0"/>
            <w:vAlign w:val="top"/>
          </w:tcPr>
          <w:p w14:paraId="21D3BCCE">
            <w:pPr>
              <w:spacing w:line="380" w:lineRule="exact"/>
              <w:ind w:left="40" w:leftChars="19"/>
              <w:jc w:val="center"/>
              <w:rPr>
                <w:rFonts w:hint="eastAsia" w:ascii="仿宋" w:hAnsi="仿宋" w:eastAsia="仿宋" w:cs="仿宋"/>
                <w:color w:val="FF0000"/>
                <w:szCs w:val="21"/>
                <w:highlight w:val="none"/>
              </w:rPr>
            </w:pPr>
          </w:p>
        </w:tc>
        <w:tc>
          <w:tcPr>
            <w:tcW w:w="2032" w:type="dxa"/>
            <w:noWrap w:val="0"/>
            <w:vAlign w:val="center"/>
          </w:tcPr>
          <w:p w14:paraId="18107934">
            <w:pPr>
              <w:ind w:left="40" w:leftChars="19"/>
              <w:jc w:val="center"/>
              <w:rPr>
                <w:rFonts w:hint="eastAsia" w:ascii="仿宋" w:hAnsi="仿宋" w:eastAsia="仿宋" w:cs="仿宋"/>
                <w:color w:val="FF0000"/>
                <w:szCs w:val="21"/>
                <w:highlight w:val="none"/>
              </w:rPr>
            </w:pPr>
            <w:r>
              <w:rPr>
                <w:rFonts w:hint="eastAsia" w:ascii="仿宋" w:hAnsi="仿宋" w:eastAsia="仿宋" w:cs="仿宋"/>
                <w:color w:val="FF0000"/>
                <w:szCs w:val="21"/>
                <w:highlight w:val="none"/>
                <w:lang w:eastAsia="zh-CN"/>
              </w:rPr>
              <w:t>技术</w:t>
            </w:r>
            <w:r>
              <w:rPr>
                <w:rFonts w:hint="eastAsia" w:ascii="仿宋" w:hAnsi="仿宋" w:eastAsia="仿宋" w:cs="仿宋"/>
                <w:color w:val="FF0000"/>
                <w:szCs w:val="21"/>
                <w:highlight w:val="none"/>
              </w:rPr>
              <w:t>要求评审</w:t>
            </w:r>
          </w:p>
        </w:tc>
        <w:tc>
          <w:tcPr>
            <w:tcW w:w="5760" w:type="dxa"/>
            <w:noWrap w:val="0"/>
            <w:vAlign w:val="center"/>
          </w:tcPr>
          <w:p w14:paraId="5F559926">
            <w:pPr>
              <w:tabs>
                <w:tab w:val="left" w:pos="2880"/>
              </w:tabs>
              <w:spacing w:line="380" w:lineRule="exact"/>
              <w:jc w:val="left"/>
              <w:rPr>
                <w:rFonts w:hint="eastAsia" w:ascii="仿宋" w:hAnsi="仿宋" w:eastAsia="仿宋" w:cs="仿宋"/>
                <w:color w:val="FF0000"/>
                <w:szCs w:val="21"/>
                <w:highlight w:val="none"/>
                <w:lang w:eastAsia="zh-CN"/>
              </w:rPr>
            </w:pPr>
            <w:r>
              <w:rPr>
                <w:rFonts w:hint="eastAsia" w:ascii="仿宋" w:hAnsi="仿宋" w:eastAsia="仿宋" w:cs="仿宋"/>
                <w:color w:val="FF0000"/>
                <w:szCs w:val="21"/>
                <w:highlight w:val="none"/>
                <w:lang w:eastAsia="zh-CN"/>
              </w:rPr>
              <w:t>实质性（“★”项）技术要求条款是否全部完全响应；</w:t>
            </w:r>
          </w:p>
        </w:tc>
      </w:tr>
      <w:tr w14:paraId="5F99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6E2FF1E8">
            <w:pPr>
              <w:spacing w:line="380" w:lineRule="exact"/>
              <w:ind w:left="40" w:leftChars="19"/>
              <w:jc w:val="center"/>
              <w:rPr>
                <w:rFonts w:hint="eastAsia" w:ascii="仿宋" w:hAnsi="仿宋" w:eastAsia="仿宋" w:cs="仿宋"/>
                <w:color w:val="FF0000"/>
                <w:szCs w:val="21"/>
                <w:highlight w:val="none"/>
              </w:rPr>
            </w:pPr>
          </w:p>
        </w:tc>
        <w:tc>
          <w:tcPr>
            <w:tcW w:w="2032" w:type="dxa"/>
            <w:noWrap w:val="0"/>
            <w:vAlign w:val="center"/>
          </w:tcPr>
          <w:p w14:paraId="2DED5C67">
            <w:pPr>
              <w:ind w:left="40" w:leftChars="19"/>
              <w:jc w:val="center"/>
              <w:rPr>
                <w:rFonts w:hint="eastAsia" w:ascii="仿宋" w:hAnsi="仿宋" w:eastAsia="仿宋" w:cs="仿宋"/>
                <w:color w:val="FF0000"/>
                <w:szCs w:val="21"/>
                <w:highlight w:val="none"/>
              </w:rPr>
            </w:pPr>
            <w:r>
              <w:rPr>
                <w:rFonts w:hint="eastAsia" w:ascii="仿宋" w:hAnsi="仿宋" w:eastAsia="仿宋" w:cs="仿宋"/>
                <w:color w:val="FF0000"/>
                <w:szCs w:val="21"/>
                <w:highlight w:val="none"/>
              </w:rPr>
              <w:t>报价合理性</w:t>
            </w:r>
          </w:p>
        </w:tc>
        <w:tc>
          <w:tcPr>
            <w:tcW w:w="5760" w:type="dxa"/>
            <w:noWrap w:val="0"/>
            <w:vAlign w:val="center"/>
          </w:tcPr>
          <w:p w14:paraId="6B64370C">
            <w:pPr>
              <w:tabs>
                <w:tab w:val="left" w:pos="2880"/>
              </w:tabs>
              <w:spacing w:line="380" w:lineRule="exact"/>
              <w:jc w:val="left"/>
              <w:rPr>
                <w:rFonts w:hint="eastAsia" w:ascii="仿宋" w:hAnsi="仿宋" w:eastAsia="仿宋" w:cs="仿宋"/>
                <w:color w:val="FF0000"/>
                <w:szCs w:val="21"/>
                <w:highlight w:val="none"/>
                <w:lang w:eastAsia="zh-CN"/>
              </w:rPr>
            </w:pPr>
            <w:r>
              <w:rPr>
                <w:rFonts w:hint="eastAsia" w:ascii="仿宋" w:hAnsi="仿宋" w:eastAsia="仿宋" w:cs="仿宋"/>
                <w:color w:val="FF0000"/>
                <w:szCs w:val="21"/>
                <w:highlight w:val="none"/>
                <w:lang w:eastAsia="zh-CN"/>
              </w:rPr>
              <w:t>报价方案是唯一确定、报价合理。</w:t>
            </w:r>
            <w:r>
              <w:rPr>
                <w:rFonts w:hint="eastAsia" w:ascii="仿宋" w:hAnsi="仿宋" w:eastAsia="仿宋" w:cs="仿宋"/>
                <w:color w:val="FF0000"/>
                <w:szCs w:val="21"/>
                <w:highlight w:val="none"/>
                <w:lang w:val="en-US" w:eastAsia="zh-CN"/>
              </w:rPr>
              <w:t xml:space="preserve"> </w:t>
            </w:r>
            <w:r>
              <w:rPr>
                <w:rFonts w:hint="eastAsia" w:ascii="仿宋" w:hAnsi="仿宋" w:eastAsia="仿宋" w:cs="仿宋"/>
                <w:color w:val="FF0000"/>
                <w:szCs w:val="21"/>
                <w:highlight w:val="none"/>
                <w:lang w:eastAsia="zh-CN"/>
              </w:rPr>
              <w:t>如有分项报价要求，各分项报价不得高于各分项最高预算单价，合计总报价是固定唯一价且无超出采购预算或最高限价；</w:t>
            </w:r>
          </w:p>
        </w:tc>
      </w:tr>
      <w:tr w14:paraId="4CB8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36F00E82">
            <w:pPr>
              <w:spacing w:line="380" w:lineRule="exact"/>
              <w:ind w:left="40" w:leftChars="19"/>
              <w:jc w:val="center"/>
              <w:rPr>
                <w:rFonts w:hint="eastAsia" w:ascii="仿宋" w:hAnsi="仿宋" w:eastAsia="仿宋" w:cs="仿宋"/>
                <w:color w:val="FF0000"/>
                <w:szCs w:val="21"/>
                <w:highlight w:val="none"/>
              </w:rPr>
            </w:pPr>
          </w:p>
        </w:tc>
        <w:tc>
          <w:tcPr>
            <w:tcW w:w="2032" w:type="dxa"/>
            <w:noWrap w:val="0"/>
            <w:vAlign w:val="center"/>
          </w:tcPr>
          <w:p w14:paraId="5EBE63FD">
            <w:pPr>
              <w:ind w:left="40" w:leftChars="19"/>
              <w:jc w:val="center"/>
              <w:rPr>
                <w:rFonts w:hint="eastAsia" w:ascii="仿宋" w:hAnsi="仿宋" w:eastAsia="仿宋" w:cs="仿宋"/>
                <w:color w:val="FF0000"/>
                <w:szCs w:val="21"/>
                <w:highlight w:val="none"/>
              </w:rPr>
            </w:pPr>
            <w:r>
              <w:rPr>
                <w:rFonts w:hint="eastAsia" w:ascii="仿宋" w:hAnsi="仿宋" w:eastAsia="仿宋" w:cs="仿宋"/>
                <w:color w:val="FF0000"/>
                <w:szCs w:val="21"/>
                <w:highlight w:val="none"/>
                <w:lang w:eastAsia="zh-CN"/>
              </w:rPr>
              <w:t>其他</w:t>
            </w:r>
          </w:p>
        </w:tc>
        <w:tc>
          <w:tcPr>
            <w:tcW w:w="5760" w:type="dxa"/>
            <w:noWrap w:val="0"/>
            <w:vAlign w:val="center"/>
          </w:tcPr>
          <w:p w14:paraId="76695756">
            <w:pPr>
              <w:tabs>
                <w:tab w:val="left" w:pos="2880"/>
              </w:tabs>
              <w:spacing w:line="380" w:lineRule="exact"/>
              <w:jc w:val="left"/>
              <w:rPr>
                <w:rFonts w:hint="eastAsia" w:ascii="仿宋" w:hAnsi="仿宋" w:eastAsia="仿宋" w:cs="仿宋"/>
                <w:color w:val="FF0000"/>
                <w:szCs w:val="21"/>
                <w:highlight w:val="none"/>
                <w:lang w:eastAsia="zh-CN"/>
              </w:rPr>
            </w:pPr>
            <w:r>
              <w:rPr>
                <w:rFonts w:hint="eastAsia" w:ascii="仿宋" w:hAnsi="仿宋" w:eastAsia="仿宋" w:cs="仿宋"/>
                <w:color w:val="FF0000"/>
                <w:szCs w:val="21"/>
                <w:highlight w:val="none"/>
                <w:lang w:eastAsia="zh-CN"/>
              </w:rPr>
              <w:t>按有关法律、法规、规章和比选文件中规定的其他无效投标情形。</w:t>
            </w:r>
          </w:p>
        </w:tc>
      </w:tr>
      <w:tr w14:paraId="0AE9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6DEA6BAE">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4C19BC1F">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42E0BE37">
      <w:pPr>
        <w:pStyle w:val="12"/>
        <w:adjustRightInd w:val="0"/>
        <w:snapToGrid w:val="0"/>
        <w:spacing w:line="360" w:lineRule="auto"/>
        <w:ind w:right="32"/>
        <w:rPr>
          <w:rFonts w:hint="eastAsia" w:ascii="仿宋" w:hAnsi="仿宋" w:eastAsia="仿宋" w:cs="仿宋"/>
          <w:bCs/>
          <w:color w:val="auto"/>
          <w:sz w:val="24"/>
          <w:szCs w:val="24"/>
          <w:highlight w:val="none"/>
        </w:rPr>
      </w:pPr>
    </w:p>
    <w:p w14:paraId="3103A687">
      <w:pPr>
        <w:pStyle w:val="12"/>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5、响应文件的比较和评价</w:t>
      </w:r>
    </w:p>
    <w:p w14:paraId="30F71EF8">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064523C1">
      <w:pPr>
        <w:autoSpaceDE w:val="0"/>
        <w:autoSpaceDN w:val="0"/>
        <w:adjustRightInd w:val="0"/>
        <w:snapToGrid w:val="0"/>
        <w:spacing w:line="360" w:lineRule="auto"/>
        <w:ind w:right="32" w:firstLine="458"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7"/>
        <w:tblW w:w="9733" w:type="dxa"/>
        <w:jc w:val="center"/>
        <w:tblLayout w:type="fixed"/>
        <w:tblCellMar>
          <w:top w:w="15" w:type="dxa"/>
          <w:left w:w="15" w:type="dxa"/>
          <w:bottom w:w="15" w:type="dxa"/>
          <w:right w:w="15" w:type="dxa"/>
        </w:tblCellMar>
      </w:tblPr>
      <w:tblGrid>
        <w:gridCol w:w="2330"/>
        <w:gridCol w:w="1211"/>
        <w:gridCol w:w="6192"/>
      </w:tblGrid>
      <w:tr w14:paraId="2BE55FFE">
        <w:tblPrEx>
          <w:tblCellMar>
            <w:top w:w="15" w:type="dxa"/>
            <w:left w:w="15" w:type="dxa"/>
            <w:bottom w:w="15" w:type="dxa"/>
            <w:right w:w="15" w:type="dxa"/>
          </w:tblCellMar>
        </w:tblPrEx>
        <w:trPr>
          <w:trHeight w:val="104" w:hRule="atLeast"/>
          <w:tblHeader/>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29CC49AA">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评分项目</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7C133681">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分值(分)</w:t>
            </w:r>
          </w:p>
        </w:tc>
        <w:tc>
          <w:tcPr>
            <w:tcW w:w="6192" w:type="dxa"/>
            <w:tcBorders>
              <w:top w:val="single" w:color="000000" w:sz="4" w:space="0"/>
              <w:left w:val="single" w:color="000000" w:sz="4" w:space="0"/>
              <w:bottom w:val="single" w:color="000000" w:sz="4" w:space="0"/>
              <w:right w:val="single" w:color="000000" w:sz="4" w:space="0"/>
            </w:tcBorders>
            <w:noWrap w:val="0"/>
            <w:vAlign w:val="center"/>
          </w:tcPr>
          <w:p w14:paraId="12D1CDB6">
            <w:pPr>
              <w:widowControl/>
              <w:spacing w:line="360" w:lineRule="auto"/>
              <w:jc w:val="center"/>
              <w:textAlignment w:val="center"/>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lang w:bidi="ar"/>
              </w:rPr>
              <w:t>评分细则</w:t>
            </w:r>
          </w:p>
        </w:tc>
      </w:tr>
      <w:tr w14:paraId="2E3AD9C2">
        <w:tblPrEx>
          <w:tblCellMar>
            <w:top w:w="15" w:type="dxa"/>
            <w:left w:w="15" w:type="dxa"/>
            <w:bottom w:w="15" w:type="dxa"/>
            <w:right w:w="15" w:type="dxa"/>
          </w:tblCellMar>
        </w:tblPrEx>
        <w:trPr>
          <w:trHeight w:val="1417" w:hRule="atLeast"/>
          <w:jc w:val="center"/>
        </w:trPr>
        <w:tc>
          <w:tcPr>
            <w:tcW w:w="2330" w:type="dxa"/>
            <w:tcBorders>
              <w:top w:val="single" w:color="000000" w:sz="4" w:space="0"/>
              <w:left w:val="single" w:color="000000" w:sz="4" w:space="0"/>
              <w:bottom w:val="single" w:color="000000" w:sz="4" w:space="0"/>
              <w:right w:val="single" w:color="000000" w:sz="4" w:space="0"/>
            </w:tcBorders>
            <w:noWrap w:val="0"/>
            <w:vAlign w:val="center"/>
          </w:tcPr>
          <w:p w14:paraId="354DC5C2">
            <w:pPr>
              <w:pStyle w:val="20"/>
              <w:autoSpaceDE w:val="0"/>
              <w:autoSpaceDN w:val="0"/>
              <w:adjustRightInd w:val="0"/>
              <w:snapToGrid w:val="0"/>
              <w:spacing w:line="240" w:lineRule="auto"/>
              <w:ind w:right="32"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bidi="ar"/>
              </w:rPr>
              <w:t>价格</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14:paraId="2383D1FE">
            <w:pPr>
              <w:pStyle w:val="20"/>
              <w:autoSpaceDE w:val="0"/>
              <w:autoSpaceDN w:val="0"/>
              <w:adjustRightInd w:val="0"/>
              <w:snapToGrid w:val="0"/>
              <w:spacing w:line="240" w:lineRule="auto"/>
              <w:ind w:right="32" w:right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ar"/>
              </w:rPr>
              <w:t>30</w:t>
            </w:r>
          </w:p>
        </w:tc>
        <w:tc>
          <w:tcPr>
            <w:tcW w:w="6192" w:type="dxa"/>
            <w:tcBorders>
              <w:top w:val="single" w:color="000000" w:sz="4" w:space="0"/>
              <w:left w:val="single" w:color="000000" w:sz="4" w:space="0"/>
              <w:bottom w:val="single" w:color="000000" w:sz="4" w:space="0"/>
              <w:right w:val="single" w:color="000000" w:sz="4" w:space="0"/>
            </w:tcBorders>
            <w:noWrap w:val="0"/>
            <w:vAlign w:val="center"/>
          </w:tcPr>
          <w:p w14:paraId="45BE0EB0">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对</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lang w:val="en-GB"/>
              </w:rPr>
              <w:t>文件做出实质性响应的所有合格</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价格评估得分采用低价优先法计算，即通过初审且</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价格最低的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报价为评标基准价，其</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报价得分为满分；其他</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lang w:val="en-GB"/>
              </w:rPr>
              <w:t>的</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报价得分按如下公式计算：</w:t>
            </w:r>
          </w:p>
          <w:p w14:paraId="33104403">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报价得分=（评标基准价/</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报价）×价格权值；</w:t>
            </w:r>
          </w:p>
          <w:p w14:paraId="0BBE6503">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备注：</w:t>
            </w:r>
          </w:p>
          <w:p w14:paraId="4562A08D">
            <w:pPr>
              <w:adjustRightInd w:val="0"/>
              <w:snapToGrid w:val="0"/>
              <w:spacing w:line="360" w:lineRule="auto"/>
              <w:jc w:val="left"/>
              <w:rPr>
                <w:rFonts w:hint="eastAsia" w:ascii="仿宋" w:hAnsi="仿宋" w:eastAsia="仿宋" w:cs="仿宋"/>
                <w:color w:val="auto"/>
                <w:sz w:val="24"/>
                <w:szCs w:val="24"/>
                <w:highlight w:val="none"/>
                <w:lang w:val="en-GB"/>
              </w:rPr>
            </w:pPr>
            <w:r>
              <w:rPr>
                <w:rFonts w:hint="eastAsia" w:ascii="仿宋" w:hAnsi="仿宋" w:eastAsia="仿宋" w:cs="仿宋"/>
                <w:color w:val="auto"/>
                <w:sz w:val="24"/>
                <w:szCs w:val="24"/>
                <w:highlight w:val="none"/>
                <w:lang w:val="en-GB"/>
              </w:rPr>
              <w:t>1、因落实政府采购政策进行价格调整的，以调整后的价格计算评标基准价和</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报价，详见《价格扣除》；</w:t>
            </w:r>
          </w:p>
          <w:p w14:paraId="38186BAB">
            <w:pPr>
              <w:pStyle w:val="20"/>
              <w:autoSpaceDE w:val="0"/>
              <w:autoSpaceDN w:val="0"/>
              <w:adjustRightInd w:val="0"/>
              <w:snapToGrid w:val="0"/>
              <w:spacing w:line="240" w:lineRule="auto"/>
              <w:ind w:right="32" w:right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GB"/>
              </w:rPr>
              <w:t>2、</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lang w:val="en-GB"/>
              </w:rPr>
              <w:t>报价得分四舍五入后，小数点后保留两位有效数。</w:t>
            </w:r>
          </w:p>
        </w:tc>
      </w:tr>
    </w:tbl>
    <w:p w14:paraId="34A3F31E">
      <w:pPr>
        <w:rPr>
          <w:highlight w:val="none"/>
        </w:rPr>
      </w:pPr>
    </w:p>
    <w:tbl>
      <w:tblPr>
        <w:tblStyle w:val="17"/>
        <w:tblW w:w="9733" w:type="dxa"/>
        <w:jc w:val="center"/>
        <w:tblLayout w:type="fixed"/>
        <w:tblCellMar>
          <w:top w:w="15" w:type="dxa"/>
          <w:left w:w="15" w:type="dxa"/>
          <w:bottom w:w="15" w:type="dxa"/>
          <w:right w:w="15" w:type="dxa"/>
        </w:tblCellMar>
      </w:tblPr>
      <w:tblGrid>
        <w:gridCol w:w="843"/>
        <w:gridCol w:w="1487"/>
        <w:gridCol w:w="1226"/>
        <w:gridCol w:w="6177"/>
      </w:tblGrid>
      <w:tr w14:paraId="29E687E9">
        <w:tblPrEx>
          <w:tblCellMar>
            <w:top w:w="15" w:type="dxa"/>
            <w:left w:w="15" w:type="dxa"/>
            <w:bottom w:w="15" w:type="dxa"/>
            <w:right w:w="15" w:type="dxa"/>
          </w:tblCellMar>
        </w:tblPrEx>
        <w:trPr>
          <w:trHeight w:val="467" w:hRule="atLeast"/>
          <w:jc w:val="center"/>
        </w:trPr>
        <w:tc>
          <w:tcPr>
            <w:tcW w:w="843" w:type="dxa"/>
            <w:vMerge w:val="restart"/>
            <w:tcBorders>
              <w:top w:val="single" w:color="auto" w:sz="4" w:space="0"/>
              <w:left w:val="single" w:color="auto" w:sz="4" w:space="0"/>
              <w:bottom w:val="single" w:color="auto" w:sz="4" w:space="0"/>
              <w:right w:val="single" w:color="auto" w:sz="4" w:space="0"/>
            </w:tcBorders>
            <w:noWrap w:val="0"/>
            <w:vAlign w:val="center"/>
          </w:tcPr>
          <w:p w14:paraId="14021B0E">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技术</w:t>
            </w:r>
          </w:p>
        </w:tc>
        <w:tc>
          <w:tcPr>
            <w:tcW w:w="1487" w:type="dxa"/>
            <w:tcBorders>
              <w:top w:val="single" w:color="auto" w:sz="4" w:space="0"/>
              <w:left w:val="single" w:color="auto" w:sz="4" w:space="0"/>
              <w:bottom w:val="single" w:color="auto" w:sz="4" w:space="0"/>
              <w:right w:val="single" w:color="auto" w:sz="4" w:space="0"/>
            </w:tcBorders>
            <w:noWrap w:val="0"/>
            <w:vAlign w:val="center"/>
          </w:tcPr>
          <w:p w14:paraId="675CDD58">
            <w:pPr>
              <w:widowControl/>
              <w:spacing w:line="360" w:lineRule="auto"/>
              <w:jc w:val="center"/>
              <w:textAlignment w:val="center"/>
              <w:rPr>
                <w:rFonts w:hint="eastAsia" w:ascii="仿宋" w:hAnsi="仿宋" w:eastAsia="仿宋" w:cs="仿宋"/>
                <w:b w:val="0"/>
                <w:bCs w:val="0"/>
                <w:color w:val="auto"/>
                <w:kern w:val="0"/>
                <w:sz w:val="24"/>
                <w:szCs w:val="24"/>
                <w:highlight w:val="none"/>
                <w:shd w:val="clear" w:color="auto" w:fill="auto"/>
                <w:lang w:bidi="ar"/>
              </w:rPr>
            </w:pPr>
            <w:r>
              <w:rPr>
                <w:rFonts w:hint="eastAsia" w:ascii="仿宋" w:hAnsi="仿宋" w:eastAsia="仿宋" w:cs="仿宋"/>
                <w:b w:val="0"/>
                <w:bCs w:val="0"/>
                <w:color w:val="auto"/>
                <w:kern w:val="0"/>
                <w:sz w:val="24"/>
                <w:szCs w:val="24"/>
                <w:highlight w:val="none"/>
                <w:shd w:val="clear" w:color="auto" w:fill="auto"/>
                <w:lang w:val="en-US" w:eastAsia="zh-CN" w:bidi="ar"/>
              </w:rPr>
              <w:t>对“</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”的响应程度（▲号条款）</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8799161">
            <w:pPr>
              <w:pStyle w:val="21"/>
              <w:spacing w:after="0" w:line="360" w:lineRule="auto"/>
              <w:jc w:val="center"/>
              <w:rPr>
                <w:rFonts w:hint="default" w:ascii="仿宋" w:hAnsi="仿宋" w:eastAsia="仿宋" w:cs="仿宋"/>
                <w:b w:val="0"/>
                <w:bCs w:val="0"/>
                <w:spacing w:val="10"/>
                <w:kern w:val="0"/>
                <w:sz w:val="24"/>
                <w:szCs w:val="24"/>
                <w:highlight w:val="none"/>
                <w:lang w:val="en-US" w:eastAsia="zh-CN" w:bidi="ar-SA"/>
              </w:rPr>
            </w:pPr>
            <w:r>
              <w:rPr>
                <w:rFonts w:hint="eastAsia" w:ascii="仿宋" w:hAnsi="仿宋" w:eastAsia="仿宋" w:cs="仿宋"/>
                <w:b w:val="0"/>
                <w:bCs w:val="0"/>
                <w:spacing w:val="10"/>
                <w:kern w:val="0"/>
                <w:sz w:val="24"/>
                <w:szCs w:val="24"/>
                <w:highlight w:val="none"/>
                <w:lang w:val="en-US" w:eastAsia="zh-CN" w:bidi="ar-SA"/>
              </w:rPr>
              <w:t>18</w:t>
            </w:r>
          </w:p>
        </w:tc>
        <w:tc>
          <w:tcPr>
            <w:tcW w:w="6177" w:type="dxa"/>
            <w:tcBorders>
              <w:top w:val="single" w:color="auto" w:sz="4" w:space="0"/>
              <w:left w:val="single" w:color="auto" w:sz="4" w:space="0"/>
              <w:bottom w:val="single" w:color="auto" w:sz="4" w:space="0"/>
              <w:right w:val="single" w:color="auto" w:sz="4" w:space="0"/>
            </w:tcBorders>
            <w:noWrap w:val="0"/>
            <w:vAlign w:val="center"/>
          </w:tcPr>
          <w:p w14:paraId="625C1763">
            <w:pPr>
              <w:widowControl/>
              <w:tabs>
                <w:tab w:val="left" w:pos="274"/>
                <w:tab w:val="center" w:pos="570"/>
              </w:tabs>
              <w:spacing w:line="360" w:lineRule="auto"/>
              <w:jc w:val="center"/>
              <w:textAlignment w:val="center"/>
              <w:rPr>
                <w:rFonts w:hint="eastAsia" w:ascii="仿宋" w:hAnsi="仿宋" w:eastAsia="仿宋" w:cs="仿宋"/>
                <w:b w:val="0"/>
                <w:bCs w:val="0"/>
                <w:color w:val="auto"/>
                <w:kern w:val="0"/>
                <w:sz w:val="24"/>
                <w:szCs w:val="24"/>
                <w:highlight w:val="none"/>
                <w:shd w:val="clear" w:color="auto" w:fill="auto"/>
                <w:lang w:val="en-US" w:eastAsia="zh-CN" w:bidi="ar"/>
              </w:rPr>
            </w:pPr>
            <w:r>
              <w:rPr>
                <w:rFonts w:hint="eastAsia" w:ascii="仿宋" w:hAnsi="仿宋" w:eastAsia="仿宋" w:cs="仿宋"/>
                <w:b w:val="0"/>
                <w:bCs w:val="0"/>
                <w:color w:val="auto"/>
                <w:kern w:val="0"/>
                <w:sz w:val="24"/>
                <w:szCs w:val="24"/>
                <w:highlight w:val="none"/>
                <w:shd w:val="clear" w:color="auto" w:fill="auto"/>
                <w:lang w:val="en-US" w:eastAsia="zh-CN" w:bidi="ar"/>
              </w:rPr>
              <w:t>所投产品参数全部满足“</w:t>
            </w:r>
            <w:r>
              <w:rPr>
                <w:rFonts w:hint="eastAsia" w:ascii="仿宋" w:hAnsi="仿宋" w:eastAsia="仿宋" w:cs="仿宋"/>
                <w:b w:val="0"/>
                <w:bCs w:val="0"/>
                <w:color w:val="auto"/>
                <w:sz w:val="24"/>
                <w:highlight w:val="none"/>
                <w:u w:val="none" w:color="auto"/>
                <w:lang w:val="en-US" w:eastAsia="zh-CN"/>
              </w:rPr>
              <w:t>服务要求</w:t>
            </w:r>
            <w:r>
              <w:rPr>
                <w:rFonts w:hint="eastAsia" w:ascii="仿宋" w:hAnsi="仿宋" w:eastAsia="仿宋" w:cs="仿宋"/>
                <w:b w:val="0"/>
                <w:bCs w:val="0"/>
                <w:color w:val="auto"/>
                <w:kern w:val="0"/>
                <w:sz w:val="24"/>
                <w:szCs w:val="24"/>
                <w:highlight w:val="none"/>
                <w:shd w:val="clear" w:color="auto" w:fill="auto"/>
                <w:lang w:val="en-US" w:eastAsia="zh-CN" w:bidi="ar"/>
              </w:rPr>
              <w:t>”中带▲的重要参数，得18分； ①有一项不满足带▲的重要参数的得16分； ②有二项不满足带▲的重要参数的得14分； ③有三项不满足带▲的重要参数的得12分； 以此类推，当带▲号条款负偏离达到9项（含）以上时，视为严重偏离此评分项不得分。</w:t>
            </w:r>
          </w:p>
          <w:p w14:paraId="1B666041">
            <w:pPr>
              <w:pStyle w:val="2"/>
              <w:numPr>
                <w:ilvl w:val="0"/>
                <w:numId w:val="0"/>
              </w:numPr>
              <w:ind w:leftChars="0"/>
              <w:jc w:val="center"/>
              <w:rPr>
                <w:rFonts w:hint="eastAsia"/>
                <w:b w:val="0"/>
                <w:bCs w:val="0"/>
                <w:highlight w:val="none"/>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bidi="ar"/>
              </w:rPr>
              <w:t>响应文件未要求提供证明材料的技术参数，以投标文件格式技术和服务要求响应表为准。。</w:t>
            </w:r>
          </w:p>
        </w:tc>
      </w:tr>
      <w:tr w14:paraId="4E94BFF0">
        <w:tblPrEx>
          <w:tblCellMar>
            <w:top w:w="15" w:type="dxa"/>
            <w:left w:w="15" w:type="dxa"/>
            <w:bottom w:w="15" w:type="dxa"/>
            <w:right w:w="15" w:type="dxa"/>
          </w:tblCellMar>
        </w:tblPrEx>
        <w:trPr>
          <w:trHeight w:val="467" w:hRule="atLeast"/>
          <w:jc w:val="center"/>
        </w:trPr>
        <w:tc>
          <w:tcPr>
            <w:tcW w:w="843" w:type="dxa"/>
            <w:vMerge w:val="continue"/>
            <w:tcBorders>
              <w:top w:val="single" w:color="auto" w:sz="4" w:space="0"/>
              <w:left w:val="single" w:color="auto" w:sz="4" w:space="0"/>
              <w:bottom w:val="single" w:color="auto" w:sz="4" w:space="0"/>
              <w:right w:val="single" w:color="auto" w:sz="4" w:space="0"/>
            </w:tcBorders>
            <w:noWrap w:val="0"/>
            <w:vAlign w:val="center"/>
          </w:tcPr>
          <w:p w14:paraId="3595EFD2">
            <w:pPr>
              <w:widowControl/>
              <w:spacing w:line="360" w:lineRule="auto"/>
              <w:jc w:val="center"/>
              <w:textAlignment w:val="center"/>
              <w:rPr>
                <w:rFonts w:hint="eastAsia" w:ascii="仿宋" w:hAnsi="仿宋" w:eastAsia="仿宋" w:cs="仿宋"/>
                <w:color w:val="auto"/>
                <w:sz w:val="24"/>
                <w:szCs w:val="24"/>
                <w:highlight w:val="none"/>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14:paraId="426D8190">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对本项目的熟悉程度</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AD79685">
            <w:pPr>
              <w:widowControl/>
              <w:tabs>
                <w:tab w:val="left" w:pos="274"/>
                <w:tab w:val="center" w:pos="570"/>
              </w:tabs>
              <w:spacing w:line="360" w:lineRule="auto"/>
              <w:jc w:val="center"/>
              <w:textAlignment w:val="center"/>
              <w:rPr>
                <w:rFonts w:hint="default"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10</w:t>
            </w:r>
          </w:p>
        </w:tc>
        <w:tc>
          <w:tcPr>
            <w:tcW w:w="6177" w:type="dxa"/>
            <w:tcBorders>
              <w:top w:val="single" w:color="auto" w:sz="4" w:space="0"/>
              <w:left w:val="single" w:color="auto" w:sz="4" w:space="0"/>
              <w:bottom w:val="single" w:color="auto" w:sz="4" w:space="0"/>
              <w:right w:val="single" w:color="auto" w:sz="4" w:space="0"/>
            </w:tcBorders>
            <w:noWrap w:val="0"/>
            <w:vAlign w:val="center"/>
          </w:tcPr>
          <w:p w14:paraId="7DD3B29F">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根据响应供应商对本项目的熟悉程度（包括但不限于对本项目维护系统的熟悉程度、技术要点的了解和工作思路等）进行评分：</w:t>
            </w:r>
          </w:p>
          <w:p w14:paraId="5166C762">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对本项目维护系统的熟悉程度高、技术要点的了解程度高、工作思路清晰的得10分；</w:t>
            </w:r>
          </w:p>
          <w:p w14:paraId="18F1AC9B">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对本项目维护系统的熟悉程度较高、技术要点的了解程度较高、工作思路较清晰的得7分；</w:t>
            </w:r>
          </w:p>
          <w:p w14:paraId="67C63872">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对本项目维护系统的熟悉程度一般、技术要点的了解程度一般、工作思路基本清晰的得4分；</w:t>
            </w:r>
          </w:p>
          <w:p w14:paraId="23DE5E06">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无提供不得分。</w:t>
            </w:r>
          </w:p>
        </w:tc>
      </w:tr>
      <w:tr w14:paraId="6A6A0875">
        <w:tblPrEx>
          <w:tblCellMar>
            <w:top w:w="15" w:type="dxa"/>
            <w:left w:w="15" w:type="dxa"/>
            <w:bottom w:w="15" w:type="dxa"/>
            <w:right w:w="15" w:type="dxa"/>
          </w:tblCellMar>
        </w:tblPrEx>
        <w:trPr>
          <w:trHeight w:val="1417" w:hRule="atLeast"/>
          <w:jc w:val="center"/>
        </w:trPr>
        <w:tc>
          <w:tcPr>
            <w:tcW w:w="843" w:type="dxa"/>
            <w:vMerge w:val="continue"/>
            <w:tcBorders>
              <w:top w:val="single" w:color="auto" w:sz="4" w:space="0"/>
              <w:left w:val="single" w:color="auto" w:sz="4" w:space="0"/>
              <w:right w:val="single" w:color="000000" w:sz="4" w:space="0"/>
            </w:tcBorders>
            <w:noWrap w:val="0"/>
            <w:vAlign w:val="center"/>
          </w:tcPr>
          <w:p w14:paraId="5C6564DD">
            <w:pPr>
              <w:spacing w:line="360" w:lineRule="auto"/>
              <w:jc w:val="center"/>
              <w:rPr>
                <w:rFonts w:hint="eastAsia" w:ascii="仿宋" w:hAnsi="仿宋" w:eastAsia="仿宋" w:cs="仿宋"/>
                <w:color w:val="auto"/>
                <w:sz w:val="24"/>
                <w:szCs w:val="24"/>
                <w:highlight w:val="none"/>
              </w:rPr>
            </w:pPr>
          </w:p>
        </w:tc>
        <w:tc>
          <w:tcPr>
            <w:tcW w:w="1487" w:type="dxa"/>
            <w:tcBorders>
              <w:top w:val="single" w:color="auto" w:sz="4" w:space="0"/>
              <w:left w:val="single" w:color="000000" w:sz="4" w:space="0"/>
              <w:bottom w:val="single" w:color="000000" w:sz="4" w:space="0"/>
              <w:right w:val="single" w:color="000000" w:sz="4" w:space="0"/>
            </w:tcBorders>
            <w:noWrap w:val="0"/>
            <w:vAlign w:val="center"/>
          </w:tcPr>
          <w:p w14:paraId="3C2103AF">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项目组织计划</w:t>
            </w:r>
          </w:p>
        </w:tc>
        <w:tc>
          <w:tcPr>
            <w:tcW w:w="1226" w:type="dxa"/>
            <w:tcBorders>
              <w:top w:val="single" w:color="auto" w:sz="4" w:space="0"/>
              <w:left w:val="single" w:color="000000" w:sz="4" w:space="0"/>
              <w:bottom w:val="single" w:color="000000" w:sz="4" w:space="0"/>
              <w:right w:val="single" w:color="000000" w:sz="4" w:space="0"/>
            </w:tcBorders>
            <w:noWrap w:val="0"/>
            <w:vAlign w:val="center"/>
          </w:tcPr>
          <w:p w14:paraId="589BE459">
            <w:pPr>
              <w:widowControl/>
              <w:tabs>
                <w:tab w:val="left" w:pos="274"/>
                <w:tab w:val="center" w:pos="570"/>
              </w:tabs>
              <w:spacing w:line="360" w:lineRule="auto"/>
              <w:jc w:val="center"/>
              <w:textAlignment w:val="center"/>
              <w:rPr>
                <w:rFonts w:hint="default"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10</w:t>
            </w:r>
          </w:p>
        </w:tc>
        <w:tc>
          <w:tcPr>
            <w:tcW w:w="6177" w:type="dxa"/>
            <w:tcBorders>
              <w:top w:val="single" w:color="auto" w:sz="4" w:space="0"/>
              <w:left w:val="single" w:color="000000" w:sz="4" w:space="0"/>
              <w:bottom w:val="single" w:color="000000" w:sz="4" w:space="0"/>
              <w:right w:val="single" w:color="000000" w:sz="4" w:space="0"/>
            </w:tcBorders>
            <w:noWrap w:val="0"/>
            <w:vAlign w:val="center"/>
          </w:tcPr>
          <w:p w14:paraId="6A577A9C">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zh-CN" w:eastAsia="zh-CN" w:bidi="ar"/>
              </w:rPr>
            </w:pPr>
            <w:r>
              <w:rPr>
                <w:rFonts w:hint="eastAsia" w:ascii="仿宋" w:hAnsi="仿宋" w:eastAsia="仿宋" w:cs="仿宋"/>
                <w:color w:val="auto"/>
                <w:kern w:val="0"/>
                <w:sz w:val="24"/>
                <w:szCs w:val="24"/>
                <w:highlight w:val="none"/>
                <w:shd w:val="clear" w:color="auto" w:fill="auto"/>
                <w:lang w:val="zh-CN" w:eastAsia="zh-CN" w:bidi="ar"/>
              </w:rPr>
              <w:t>根据响应供应商提供的</w:t>
            </w:r>
            <w:r>
              <w:rPr>
                <w:rFonts w:hint="eastAsia" w:ascii="仿宋" w:hAnsi="仿宋" w:eastAsia="仿宋" w:cs="仿宋"/>
                <w:color w:val="auto"/>
                <w:kern w:val="0"/>
                <w:sz w:val="24"/>
                <w:szCs w:val="24"/>
                <w:highlight w:val="none"/>
                <w:shd w:val="clear" w:color="auto" w:fill="auto"/>
                <w:lang w:val="en-US" w:eastAsia="zh-CN" w:bidi="ar"/>
              </w:rPr>
              <w:t>维保</w:t>
            </w:r>
            <w:r>
              <w:rPr>
                <w:rFonts w:hint="eastAsia" w:ascii="仿宋" w:hAnsi="仿宋" w:eastAsia="仿宋" w:cs="仿宋"/>
                <w:color w:val="auto"/>
                <w:kern w:val="0"/>
                <w:sz w:val="24"/>
                <w:szCs w:val="24"/>
                <w:highlight w:val="none"/>
                <w:shd w:val="clear" w:color="auto" w:fill="auto"/>
                <w:lang w:val="zh-CN" w:eastAsia="zh-CN" w:bidi="ar"/>
              </w:rPr>
              <w:t>服务组织计划（包括但不限于技术人员安排、流程规定等因素）进行评分：</w:t>
            </w:r>
          </w:p>
          <w:p w14:paraId="62E3F35B">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zh-CN" w:eastAsia="zh-CN" w:bidi="ar"/>
              </w:rPr>
            </w:pPr>
            <w:r>
              <w:rPr>
                <w:rFonts w:hint="eastAsia" w:ascii="仿宋" w:hAnsi="仿宋" w:eastAsia="仿宋" w:cs="仿宋"/>
                <w:color w:val="auto"/>
                <w:kern w:val="0"/>
                <w:sz w:val="24"/>
                <w:szCs w:val="24"/>
                <w:highlight w:val="none"/>
                <w:shd w:val="clear" w:color="auto" w:fill="auto"/>
                <w:lang w:val="zh-CN" w:eastAsia="zh-CN" w:bidi="ar"/>
              </w:rPr>
              <w:t>提供优质的服务，制定的</w:t>
            </w:r>
            <w:r>
              <w:rPr>
                <w:rFonts w:hint="eastAsia" w:ascii="仿宋" w:hAnsi="仿宋" w:eastAsia="仿宋" w:cs="仿宋"/>
                <w:color w:val="auto"/>
                <w:kern w:val="0"/>
                <w:sz w:val="24"/>
                <w:szCs w:val="24"/>
                <w:highlight w:val="none"/>
                <w:shd w:val="clear" w:color="auto" w:fill="auto"/>
                <w:lang w:val="en-US" w:eastAsia="zh-CN" w:bidi="ar"/>
              </w:rPr>
              <w:t>维保</w:t>
            </w:r>
            <w:r>
              <w:rPr>
                <w:rFonts w:hint="eastAsia" w:ascii="仿宋" w:hAnsi="仿宋" w:eastAsia="仿宋" w:cs="仿宋"/>
                <w:color w:val="auto"/>
                <w:kern w:val="0"/>
                <w:sz w:val="24"/>
                <w:szCs w:val="24"/>
                <w:highlight w:val="none"/>
                <w:shd w:val="clear" w:color="auto" w:fill="auto"/>
                <w:lang w:val="zh-CN" w:eastAsia="zh-CN" w:bidi="ar"/>
              </w:rPr>
              <w:t>服务组织计划非常合理完整的，得</w:t>
            </w:r>
            <w:r>
              <w:rPr>
                <w:rFonts w:hint="eastAsia" w:ascii="仿宋" w:hAnsi="仿宋" w:eastAsia="仿宋" w:cs="仿宋"/>
                <w:color w:val="auto"/>
                <w:kern w:val="0"/>
                <w:sz w:val="24"/>
                <w:szCs w:val="24"/>
                <w:highlight w:val="none"/>
                <w:shd w:val="clear" w:color="auto" w:fill="auto"/>
                <w:lang w:val="en-US" w:eastAsia="zh-CN" w:bidi="ar"/>
              </w:rPr>
              <w:t>10</w:t>
            </w:r>
            <w:r>
              <w:rPr>
                <w:rFonts w:hint="eastAsia" w:ascii="仿宋" w:hAnsi="仿宋" w:eastAsia="仿宋" w:cs="仿宋"/>
                <w:color w:val="auto"/>
                <w:kern w:val="0"/>
                <w:sz w:val="24"/>
                <w:szCs w:val="24"/>
                <w:highlight w:val="none"/>
                <w:shd w:val="clear" w:color="auto" w:fill="auto"/>
                <w:lang w:val="zh-CN" w:eastAsia="zh-CN" w:bidi="ar"/>
              </w:rPr>
              <w:t>分；</w:t>
            </w:r>
          </w:p>
          <w:p w14:paraId="2C7D2D28">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zh-CN" w:eastAsia="zh-CN" w:bidi="ar"/>
              </w:rPr>
            </w:pPr>
            <w:r>
              <w:rPr>
                <w:rFonts w:hint="eastAsia" w:ascii="仿宋" w:hAnsi="仿宋" w:eastAsia="仿宋" w:cs="仿宋"/>
                <w:color w:val="auto"/>
                <w:kern w:val="0"/>
                <w:sz w:val="24"/>
                <w:szCs w:val="24"/>
                <w:highlight w:val="none"/>
                <w:shd w:val="clear" w:color="auto" w:fill="auto"/>
                <w:lang w:val="zh-CN" w:eastAsia="zh-CN" w:bidi="ar"/>
              </w:rPr>
              <w:t>提供良好的服务，制定的</w:t>
            </w:r>
            <w:r>
              <w:rPr>
                <w:rFonts w:hint="eastAsia" w:ascii="仿宋" w:hAnsi="仿宋" w:eastAsia="仿宋" w:cs="仿宋"/>
                <w:color w:val="auto"/>
                <w:kern w:val="0"/>
                <w:sz w:val="24"/>
                <w:szCs w:val="24"/>
                <w:highlight w:val="none"/>
                <w:shd w:val="clear" w:color="auto" w:fill="auto"/>
                <w:lang w:val="en-US" w:eastAsia="zh-CN" w:bidi="ar"/>
              </w:rPr>
              <w:t>维保</w:t>
            </w:r>
            <w:r>
              <w:rPr>
                <w:rFonts w:hint="eastAsia" w:ascii="仿宋" w:hAnsi="仿宋" w:eastAsia="仿宋" w:cs="仿宋"/>
                <w:color w:val="auto"/>
                <w:kern w:val="0"/>
                <w:sz w:val="24"/>
                <w:szCs w:val="24"/>
                <w:highlight w:val="none"/>
                <w:shd w:val="clear" w:color="auto" w:fill="auto"/>
                <w:lang w:val="zh-CN" w:eastAsia="zh-CN" w:bidi="ar"/>
              </w:rPr>
              <w:t>服务组织计划合理完整的，得</w:t>
            </w:r>
            <w:r>
              <w:rPr>
                <w:rFonts w:hint="eastAsia" w:ascii="仿宋" w:hAnsi="仿宋" w:eastAsia="仿宋" w:cs="仿宋"/>
                <w:color w:val="auto"/>
                <w:kern w:val="0"/>
                <w:sz w:val="24"/>
                <w:szCs w:val="24"/>
                <w:highlight w:val="none"/>
                <w:shd w:val="clear" w:color="auto" w:fill="auto"/>
                <w:lang w:val="en-US" w:eastAsia="zh-CN" w:bidi="ar"/>
              </w:rPr>
              <w:t>7</w:t>
            </w:r>
            <w:r>
              <w:rPr>
                <w:rFonts w:hint="eastAsia" w:ascii="仿宋" w:hAnsi="仿宋" w:eastAsia="仿宋" w:cs="仿宋"/>
                <w:color w:val="auto"/>
                <w:kern w:val="0"/>
                <w:sz w:val="24"/>
                <w:szCs w:val="24"/>
                <w:highlight w:val="none"/>
                <w:shd w:val="clear" w:color="auto" w:fill="auto"/>
                <w:lang w:val="zh-CN" w:eastAsia="zh-CN" w:bidi="ar"/>
              </w:rPr>
              <w:t>分；</w:t>
            </w:r>
          </w:p>
          <w:p w14:paraId="5B084798">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zh-CN" w:eastAsia="zh-CN" w:bidi="ar"/>
              </w:rPr>
            </w:pPr>
            <w:r>
              <w:rPr>
                <w:rFonts w:hint="eastAsia" w:ascii="仿宋" w:hAnsi="仿宋" w:eastAsia="仿宋" w:cs="仿宋"/>
                <w:color w:val="auto"/>
                <w:kern w:val="0"/>
                <w:sz w:val="24"/>
                <w:szCs w:val="24"/>
                <w:highlight w:val="none"/>
                <w:shd w:val="clear" w:color="auto" w:fill="auto"/>
                <w:lang w:val="zh-CN" w:eastAsia="zh-CN" w:bidi="ar"/>
              </w:rPr>
              <w:t>提供的服务一般，制定的</w:t>
            </w:r>
            <w:r>
              <w:rPr>
                <w:rFonts w:hint="eastAsia" w:ascii="仿宋" w:hAnsi="仿宋" w:eastAsia="仿宋" w:cs="仿宋"/>
                <w:color w:val="auto"/>
                <w:kern w:val="0"/>
                <w:sz w:val="24"/>
                <w:szCs w:val="24"/>
                <w:highlight w:val="none"/>
                <w:shd w:val="clear" w:color="auto" w:fill="auto"/>
                <w:lang w:val="en-US" w:eastAsia="zh-CN" w:bidi="ar"/>
              </w:rPr>
              <w:t>维保</w:t>
            </w:r>
            <w:r>
              <w:rPr>
                <w:rFonts w:hint="eastAsia" w:ascii="仿宋" w:hAnsi="仿宋" w:eastAsia="仿宋" w:cs="仿宋"/>
                <w:color w:val="auto"/>
                <w:kern w:val="0"/>
                <w:sz w:val="24"/>
                <w:szCs w:val="24"/>
                <w:highlight w:val="none"/>
                <w:shd w:val="clear" w:color="auto" w:fill="auto"/>
                <w:lang w:val="zh-CN" w:eastAsia="zh-CN" w:bidi="ar"/>
              </w:rPr>
              <w:t>服务组织计划较合理完整的，得</w:t>
            </w:r>
            <w:r>
              <w:rPr>
                <w:rFonts w:hint="eastAsia" w:ascii="仿宋" w:hAnsi="仿宋" w:eastAsia="仿宋" w:cs="仿宋"/>
                <w:color w:val="auto"/>
                <w:kern w:val="0"/>
                <w:sz w:val="24"/>
                <w:szCs w:val="24"/>
                <w:highlight w:val="none"/>
                <w:shd w:val="clear" w:color="auto" w:fill="auto"/>
                <w:lang w:val="en-US" w:eastAsia="zh-CN" w:bidi="ar"/>
              </w:rPr>
              <w:t>4</w:t>
            </w:r>
            <w:r>
              <w:rPr>
                <w:rFonts w:hint="eastAsia" w:ascii="仿宋" w:hAnsi="仿宋" w:eastAsia="仿宋" w:cs="仿宋"/>
                <w:color w:val="auto"/>
                <w:kern w:val="0"/>
                <w:sz w:val="24"/>
                <w:szCs w:val="24"/>
                <w:highlight w:val="none"/>
                <w:shd w:val="clear" w:color="auto" w:fill="auto"/>
                <w:lang w:val="zh-CN" w:eastAsia="zh-CN" w:bidi="ar"/>
              </w:rPr>
              <w:t>分；</w:t>
            </w:r>
          </w:p>
          <w:p w14:paraId="16E7C7CF">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zh-CN" w:eastAsia="zh-CN" w:bidi="ar"/>
              </w:rPr>
              <w:t xml:space="preserve">无提供不得分。 </w:t>
            </w:r>
          </w:p>
        </w:tc>
      </w:tr>
      <w:tr w14:paraId="6612938F">
        <w:tblPrEx>
          <w:tblCellMar>
            <w:top w:w="15" w:type="dxa"/>
            <w:left w:w="15" w:type="dxa"/>
            <w:bottom w:w="15" w:type="dxa"/>
            <w:right w:w="15" w:type="dxa"/>
          </w:tblCellMar>
        </w:tblPrEx>
        <w:trPr>
          <w:trHeight w:val="1417" w:hRule="atLeast"/>
          <w:jc w:val="center"/>
        </w:trPr>
        <w:tc>
          <w:tcPr>
            <w:tcW w:w="843" w:type="dxa"/>
            <w:vMerge w:val="continue"/>
            <w:tcBorders>
              <w:left w:val="single" w:color="auto" w:sz="4" w:space="0"/>
              <w:right w:val="single" w:color="000000" w:sz="4" w:space="0"/>
            </w:tcBorders>
            <w:noWrap w:val="0"/>
            <w:vAlign w:val="center"/>
          </w:tcPr>
          <w:p w14:paraId="5AD46D84">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0141A1C7">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质量保证措施</w:t>
            </w:r>
            <w:r>
              <w:rPr>
                <w:rFonts w:hint="eastAsia" w:ascii="仿宋" w:hAnsi="仿宋" w:eastAsia="仿宋" w:cs="仿宋"/>
                <w:color w:val="auto"/>
                <w:kern w:val="0"/>
                <w:sz w:val="24"/>
                <w:szCs w:val="24"/>
                <w:highlight w:val="none"/>
                <w:shd w:val="clear" w:color="auto" w:fill="auto"/>
                <w:lang w:val="zh-CN" w:eastAsia="zh-CN" w:bidi="ar"/>
              </w:rPr>
              <w:t>方案</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18BC67A9">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6</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1C8AF1C7">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根据响应供应商提供的质量保证措施方案进行评分：</w:t>
            </w:r>
          </w:p>
          <w:p w14:paraId="2789EE24">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质量保证措施方案详细、具体、可行性强，得6分；</w:t>
            </w:r>
          </w:p>
          <w:p w14:paraId="15F73AD5">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质量保证措施方案较详细、较具体、具有可行性，得4分；</w:t>
            </w:r>
          </w:p>
          <w:p w14:paraId="31654B6E">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质量保证措施方案一般，可行性一般，得2分；</w:t>
            </w:r>
          </w:p>
          <w:p w14:paraId="10D4AB6D">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无提供不得分。</w:t>
            </w:r>
          </w:p>
        </w:tc>
      </w:tr>
      <w:tr w14:paraId="07A8F6ED">
        <w:tblPrEx>
          <w:tblCellMar>
            <w:top w:w="15" w:type="dxa"/>
            <w:left w:w="15" w:type="dxa"/>
            <w:bottom w:w="15" w:type="dxa"/>
            <w:right w:w="15" w:type="dxa"/>
          </w:tblCellMar>
        </w:tblPrEx>
        <w:trPr>
          <w:trHeight w:val="1417" w:hRule="atLeast"/>
          <w:jc w:val="center"/>
        </w:trPr>
        <w:tc>
          <w:tcPr>
            <w:tcW w:w="843" w:type="dxa"/>
            <w:vMerge w:val="continue"/>
            <w:tcBorders>
              <w:left w:val="single" w:color="auto" w:sz="4" w:space="0"/>
              <w:right w:val="single" w:color="000000" w:sz="4" w:space="0"/>
            </w:tcBorders>
            <w:noWrap w:val="0"/>
            <w:vAlign w:val="center"/>
          </w:tcPr>
          <w:p w14:paraId="2B78B2E0">
            <w:pPr>
              <w:spacing w:line="360" w:lineRule="auto"/>
              <w:jc w:val="center"/>
              <w:rPr>
                <w:rFonts w:hint="eastAsia" w:ascii="仿宋" w:hAnsi="仿宋" w:eastAsia="仿宋" w:cs="仿宋"/>
                <w:color w:val="auto"/>
                <w:sz w:val="24"/>
                <w:szCs w:val="24"/>
                <w:highlight w:val="none"/>
                <w:lang w:val="en-US" w:eastAsia="zh-CN"/>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265D7B3F">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安全保证措施</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6D612EC3">
            <w:pPr>
              <w:widowControl/>
              <w:tabs>
                <w:tab w:val="left" w:pos="274"/>
                <w:tab w:val="center" w:pos="570"/>
              </w:tabs>
              <w:spacing w:line="360" w:lineRule="auto"/>
              <w:jc w:val="center"/>
              <w:textAlignment w:val="center"/>
              <w:rPr>
                <w:rFonts w:hint="default"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8</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3F158B0C">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根据响应供应商提供的安全保障措施方案进行评分：</w:t>
            </w:r>
          </w:p>
          <w:p w14:paraId="1A1175D9">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安全保障措施方案科学合理，可操作性强，针对性强，得8分；</w:t>
            </w:r>
          </w:p>
          <w:p w14:paraId="0F4A1DAC">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安全保障措施方案科学较合理，可操作性较强，针对性较强，得5分；</w:t>
            </w:r>
          </w:p>
          <w:p w14:paraId="3DE58596">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安全保障措施方案科学基本合理，可操作性一般，针对性一般，得2分；</w:t>
            </w:r>
          </w:p>
          <w:p w14:paraId="29AA4FFE">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无提供不得分。</w:t>
            </w:r>
          </w:p>
        </w:tc>
      </w:tr>
      <w:tr w14:paraId="149B79C1">
        <w:tblPrEx>
          <w:tblCellMar>
            <w:top w:w="15" w:type="dxa"/>
            <w:left w:w="15" w:type="dxa"/>
            <w:bottom w:w="15" w:type="dxa"/>
            <w:right w:w="15" w:type="dxa"/>
          </w:tblCellMar>
        </w:tblPrEx>
        <w:trPr>
          <w:trHeight w:val="482" w:hRule="atLeast"/>
          <w:jc w:val="center"/>
        </w:trPr>
        <w:tc>
          <w:tcPr>
            <w:tcW w:w="843" w:type="dxa"/>
            <w:vMerge w:val="continue"/>
            <w:tcBorders>
              <w:left w:val="single" w:color="auto" w:sz="4" w:space="0"/>
              <w:right w:val="single" w:color="000000" w:sz="4" w:space="0"/>
            </w:tcBorders>
            <w:noWrap w:val="0"/>
            <w:vAlign w:val="center"/>
          </w:tcPr>
          <w:p w14:paraId="637168FC">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04FCB763">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应急措施</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23F7B63D">
            <w:pPr>
              <w:widowControl/>
              <w:tabs>
                <w:tab w:val="left" w:pos="274"/>
                <w:tab w:val="center" w:pos="570"/>
              </w:tabs>
              <w:spacing w:line="360" w:lineRule="auto"/>
              <w:jc w:val="center"/>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8</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3D2600BA">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根据响应供应商提供的应急保障措施进行评分：</w:t>
            </w:r>
          </w:p>
          <w:p w14:paraId="31EDBAEA">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应急保障措施科学完整合理，可操作性强，针对性强，得8分；</w:t>
            </w:r>
          </w:p>
          <w:p w14:paraId="759693B7">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应急保障措施较科学完整合理，可操作性较强，针对性较强，得5分；</w:t>
            </w:r>
          </w:p>
          <w:p w14:paraId="556C50D6">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应急保障措施一般，可操作性一般，针对性一般，得2分；</w:t>
            </w:r>
          </w:p>
          <w:p w14:paraId="562AB4D3">
            <w:pPr>
              <w:widowControl/>
              <w:tabs>
                <w:tab w:val="left" w:pos="274"/>
                <w:tab w:val="center" w:pos="570"/>
              </w:tabs>
              <w:spacing w:line="360" w:lineRule="auto"/>
              <w:jc w:val="left"/>
              <w:textAlignment w:val="center"/>
              <w:rPr>
                <w:rFonts w:hint="eastAsia" w:ascii="仿宋" w:hAnsi="仿宋" w:eastAsia="仿宋" w:cs="仿宋"/>
                <w:color w:val="auto"/>
                <w:kern w:val="0"/>
                <w:sz w:val="24"/>
                <w:szCs w:val="24"/>
                <w:highlight w:val="none"/>
                <w:shd w:val="clear" w:color="auto" w:fill="auto"/>
                <w:lang w:val="en-US" w:eastAsia="zh-CN" w:bidi="ar"/>
              </w:rPr>
            </w:pPr>
            <w:r>
              <w:rPr>
                <w:rFonts w:hint="eastAsia" w:ascii="仿宋" w:hAnsi="仿宋" w:eastAsia="仿宋" w:cs="仿宋"/>
                <w:color w:val="auto"/>
                <w:kern w:val="0"/>
                <w:sz w:val="24"/>
                <w:szCs w:val="24"/>
                <w:highlight w:val="none"/>
                <w:shd w:val="clear" w:color="auto" w:fill="auto"/>
                <w:lang w:val="en-US" w:eastAsia="zh-CN" w:bidi="ar"/>
              </w:rPr>
              <w:t>无提供不得分。</w:t>
            </w:r>
          </w:p>
        </w:tc>
      </w:tr>
      <w:tr w14:paraId="16B63F4C">
        <w:tblPrEx>
          <w:tblCellMar>
            <w:top w:w="15" w:type="dxa"/>
            <w:left w:w="15" w:type="dxa"/>
            <w:bottom w:w="15" w:type="dxa"/>
            <w:right w:w="15" w:type="dxa"/>
          </w:tblCellMar>
        </w:tblPrEx>
        <w:trPr>
          <w:trHeight w:val="482" w:hRule="atLeast"/>
          <w:jc w:val="center"/>
        </w:trPr>
        <w:tc>
          <w:tcPr>
            <w:tcW w:w="843" w:type="dxa"/>
            <w:vMerge w:val="continue"/>
            <w:tcBorders>
              <w:left w:val="single" w:color="auto" w:sz="4" w:space="0"/>
              <w:right w:val="single" w:color="000000" w:sz="4" w:space="0"/>
            </w:tcBorders>
            <w:noWrap w:val="0"/>
            <w:vAlign w:val="center"/>
          </w:tcPr>
          <w:p w14:paraId="4FC3C3CE">
            <w:pPr>
              <w:spacing w:line="360" w:lineRule="auto"/>
              <w:jc w:val="center"/>
              <w:rPr>
                <w:rFonts w:hint="eastAsia" w:ascii="仿宋" w:hAnsi="仿宋" w:eastAsia="仿宋" w:cs="仿宋"/>
                <w:color w:val="auto"/>
                <w:sz w:val="24"/>
                <w:szCs w:val="24"/>
                <w:highlight w:val="none"/>
              </w:rPr>
            </w:pPr>
          </w:p>
        </w:tc>
        <w:tc>
          <w:tcPr>
            <w:tcW w:w="1487" w:type="dxa"/>
            <w:tcBorders>
              <w:top w:val="single" w:color="000000" w:sz="4" w:space="0"/>
              <w:left w:val="single" w:color="000000" w:sz="4" w:space="0"/>
              <w:bottom w:val="single" w:color="000000" w:sz="4" w:space="0"/>
              <w:right w:val="single" w:color="000000" w:sz="4" w:space="0"/>
            </w:tcBorders>
            <w:noWrap w:val="0"/>
            <w:vAlign w:val="center"/>
          </w:tcPr>
          <w:p w14:paraId="322607EC">
            <w:pPr>
              <w:widowControl/>
              <w:spacing w:line="360" w:lineRule="auto"/>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同类业绩情况</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64B63290">
            <w:pPr>
              <w:widowControl/>
              <w:spacing w:line="360" w:lineRule="auto"/>
              <w:jc w:val="center"/>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
              </w:rPr>
              <w:t>10</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16FFBD7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根据投标人202</w:t>
            </w:r>
            <w:r>
              <w:rPr>
                <w:rFonts w:hint="eastAsia" w:ascii="仿宋" w:hAnsi="仿宋" w:eastAsia="仿宋" w:cs="仿宋"/>
                <w:color w:val="auto"/>
                <w:kern w:val="0"/>
                <w:sz w:val="24"/>
                <w:szCs w:val="24"/>
                <w:highlight w:val="none"/>
                <w:lang w:val="en-US" w:eastAsia="zh-CN" w:bidi="ar"/>
              </w:rPr>
              <w:t>1</w:t>
            </w:r>
            <w:r>
              <w:rPr>
                <w:rFonts w:hint="eastAsia" w:ascii="仿宋" w:hAnsi="仿宋" w:eastAsia="仿宋" w:cs="仿宋"/>
                <w:color w:val="auto"/>
                <w:kern w:val="0"/>
                <w:sz w:val="24"/>
                <w:szCs w:val="24"/>
                <w:highlight w:val="none"/>
                <w:lang w:bidi="ar"/>
              </w:rPr>
              <w:t>年1月1日至今（以合同签订时间为准）的同类业绩情况进行评分，每提供一个业绩得</w:t>
            </w:r>
            <w:r>
              <w:rPr>
                <w:rFonts w:hint="eastAsia" w:ascii="仿宋" w:hAnsi="仿宋" w:eastAsia="仿宋"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分，本项最高得</w:t>
            </w:r>
            <w:r>
              <w:rPr>
                <w:rFonts w:hint="eastAsia" w:ascii="仿宋" w:hAnsi="仿宋" w:eastAsia="仿宋" w:cs="仿宋"/>
                <w:color w:val="auto"/>
                <w:kern w:val="0"/>
                <w:sz w:val="24"/>
                <w:szCs w:val="24"/>
                <w:highlight w:val="none"/>
                <w:lang w:val="en-US" w:eastAsia="zh-CN" w:bidi="ar"/>
              </w:rPr>
              <w:t>10</w:t>
            </w:r>
            <w:r>
              <w:rPr>
                <w:rFonts w:hint="eastAsia" w:ascii="仿宋" w:hAnsi="仿宋" w:eastAsia="仿宋" w:cs="仿宋"/>
                <w:color w:val="auto"/>
                <w:kern w:val="0"/>
                <w:sz w:val="24"/>
                <w:szCs w:val="24"/>
                <w:highlight w:val="none"/>
                <w:lang w:bidi="ar"/>
              </w:rPr>
              <w:t>分。</w:t>
            </w:r>
          </w:p>
          <w:p w14:paraId="00193AA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r>
      <w:tr w14:paraId="5C6584FA">
        <w:tblPrEx>
          <w:tblCellMar>
            <w:top w:w="15" w:type="dxa"/>
            <w:left w:w="15" w:type="dxa"/>
            <w:bottom w:w="15" w:type="dxa"/>
            <w:right w:w="15" w:type="dxa"/>
          </w:tblCellMar>
        </w:tblPrEx>
        <w:trPr>
          <w:trHeight w:val="54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14:paraId="7305DA9F">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合计</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7AA10758">
            <w:pPr>
              <w:widowControl/>
              <w:spacing w:line="360" w:lineRule="auto"/>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100</w:t>
            </w:r>
          </w:p>
        </w:tc>
        <w:tc>
          <w:tcPr>
            <w:tcW w:w="6177" w:type="dxa"/>
            <w:tcBorders>
              <w:top w:val="single" w:color="000000" w:sz="4" w:space="0"/>
              <w:left w:val="single" w:color="000000" w:sz="4" w:space="0"/>
              <w:bottom w:val="single" w:color="000000" w:sz="4" w:space="0"/>
              <w:right w:val="single" w:color="000000" w:sz="4" w:space="0"/>
            </w:tcBorders>
            <w:noWrap w:val="0"/>
            <w:vAlign w:val="center"/>
          </w:tcPr>
          <w:p w14:paraId="0A0BC5BE">
            <w:pPr>
              <w:widowControl/>
              <w:spacing w:line="360" w:lineRule="auto"/>
              <w:jc w:val="center"/>
              <w:textAlignment w:val="center"/>
              <w:rPr>
                <w:rFonts w:hint="eastAsia" w:ascii="仿宋" w:hAnsi="仿宋" w:eastAsia="仿宋" w:cs="仿宋"/>
                <w:color w:val="auto"/>
                <w:sz w:val="24"/>
                <w:szCs w:val="24"/>
                <w:highlight w:val="none"/>
              </w:rPr>
            </w:pPr>
          </w:p>
        </w:tc>
      </w:tr>
    </w:tbl>
    <w:p w14:paraId="5A9CEF52">
      <w:pPr>
        <w:autoSpaceDE w:val="0"/>
        <w:autoSpaceDN w:val="0"/>
        <w:adjustRightInd w:val="0"/>
        <w:snapToGrid w:val="0"/>
        <w:spacing w:line="360" w:lineRule="auto"/>
        <w:ind w:right="32"/>
        <w:rPr>
          <w:rFonts w:hint="eastAsia" w:ascii="仿宋" w:hAnsi="仿宋" w:eastAsia="仿宋" w:cs="仿宋"/>
          <w:color w:val="auto"/>
          <w:kern w:val="0"/>
          <w:sz w:val="24"/>
          <w:highlight w:val="none"/>
        </w:rPr>
      </w:pPr>
    </w:p>
    <w:p w14:paraId="08ABE24A">
      <w:pPr>
        <w:pStyle w:val="12"/>
        <w:adjustRightInd w:val="0"/>
        <w:snapToGrid w:val="0"/>
        <w:spacing w:line="360" w:lineRule="auto"/>
        <w:ind w:right="32" w:firstLine="460" w:firstLineChars="19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6、确定成交候选供应商</w:t>
      </w:r>
    </w:p>
    <w:p w14:paraId="27049407">
      <w:pPr>
        <w:autoSpaceDE w:val="0"/>
        <w:autoSpaceDN w:val="0"/>
        <w:adjustRightInd w:val="0"/>
        <w:snapToGrid w:val="0"/>
        <w:spacing w:line="360" w:lineRule="auto"/>
        <w:ind w:right="32" w:firstLine="458" w:firstLineChars="191"/>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且响应报价相同的，按技术指标优劣顺序推荐成交候选供应商。</w:t>
      </w:r>
    </w:p>
    <w:p w14:paraId="637C9025">
      <w:pPr>
        <w:autoSpaceDE w:val="0"/>
        <w:autoSpaceDN w:val="0"/>
        <w:adjustRightInd w:val="0"/>
        <w:snapToGrid w:val="0"/>
        <w:spacing w:line="360" w:lineRule="auto"/>
        <w:ind w:right="32" w:firstLine="458" w:firstLineChars="191"/>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对成交候选人的价格出现明显高于同业同期市场平均价的情形时，评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小组应当在评审意见中详细说明推荐理由，并要求响应供应商提供相关证明材料等。</w:t>
      </w:r>
    </w:p>
    <w:p w14:paraId="7C5C3168">
      <w:pPr>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七、项目终止条件与处理</w:t>
      </w:r>
    </w:p>
    <w:p w14:paraId="625AD708">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在采购中，出现下列情形之一的，应予终止：</w:t>
      </w:r>
    </w:p>
    <w:p w14:paraId="05DBBF9F">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（一）符合专业条件的供应商或者对比选文件作实质响应的供应商不足三家的；</w:t>
      </w:r>
    </w:p>
    <w:p w14:paraId="39681D5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（二）出现影响采购公正的违法、违规行为的；</w:t>
      </w:r>
    </w:p>
    <w:p w14:paraId="5A6BFAC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（三）供应商的报价均超过了采购预算，采购人不能支付的；</w:t>
      </w:r>
    </w:p>
    <w:p w14:paraId="668B217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（四）因重大变故，采购任务取消的。</w:t>
      </w:r>
    </w:p>
    <w:p w14:paraId="3C5D773C">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比选失败后，除采购任务取消情形外，应当重新组织比选。</w:t>
      </w:r>
    </w:p>
    <w:p w14:paraId="2A6019AB">
      <w:pPr>
        <w:pStyle w:val="12"/>
        <w:adjustRightInd w:val="0"/>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八、公 示</w:t>
      </w:r>
    </w:p>
    <w:p w14:paraId="6E5A64C0">
      <w:pPr>
        <w:autoSpaceDE w:val="0"/>
        <w:autoSpaceDN w:val="0"/>
        <w:adjustRightInd w:val="0"/>
        <w:snapToGrid w:val="0"/>
        <w:spacing w:line="360" w:lineRule="auto"/>
        <w:ind w:right="32"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发布成交公告，并向成交人发出《成交通知书》。</w:t>
      </w:r>
    </w:p>
    <w:p w14:paraId="142202FD">
      <w:pPr>
        <w:autoSpaceDE w:val="0"/>
        <w:autoSpaceDN w:val="0"/>
        <w:adjustRightInd w:val="0"/>
        <w:snapToGrid w:val="0"/>
        <w:spacing w:line="360" w:lineRule="auto"/>
        <w:ind w:right="32"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九、质疑和投诉</w:t>
      </w:r>
    </w:p>
    <w:p w14:paraId="75B7C30E">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（一）对比选文件的质疑和处理</w:t>
      </w:r>
    </w:p>
    <w:p w14:paraId="44934FE9">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1、供应商对比选公告或文件有异议的，应在比选公告的有效期内书面向医院</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不再受理供应商对比选公告或文件的质疑。</w:t>
      </w:r>
    </w:p>
    <w:p w14:paraId="294AC730">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3C859826">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3、对比选文件提出的质疑成立后，由</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688BC8B8">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292188B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提出质疑。</w:t>
      </w:r>
    </w:p>
    <w:p w14:paraId="5DBA29C1">
      <w:pPr>
        <w:pStyle w:val="1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630BC28D">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502BEE5F">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6B0D99F9">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7D60976F">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29CCE7C3">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3078CBB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16B718E4">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286C1050">
      <w:pPr>
        <w:pStyle w:val="1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6DA0C946">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1FB4B60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5F7B47F5">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将不予接收。</w:t>
      </w:r>
    </w:p>
    <w:p w14:paraId="59BE8DBC">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68DD2BAC">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招采办</w:t>
      </w:r>
      <w:r>
        <w:rPr>
          <w:rFonts w:hint="eastAsia" w:ascii="仿宋" w:hAnsi="仿宋" w:eastAsia="仿宋" w:cs="仿宋"/>
          <w:color w:val="auto"/>
          <w:sz w:val="24"/>
          <w:highlight w:val="none"/>
        </w:rPr>
        <w:t>受理质疑后，质疑人书面申请撤回质疑的，应当终止质疑处理程序。</w:t>
      </w:r>
    </w:p>
    <w:p w14:paraId="20BF0B30">
      <w:pPr>
        <w:pStyle w:val="1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6213E50A">
      <w:pPr>
        <w:pStyle w:val="12"/>
        <w:adjustRightInd w:val="0"/>
        <w:snapToGrid w:val="0"/>
        <w:spacing w:line="360" w:lineRule="auto"/>
        <w:ind w:firstLine="482"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十、合同的订立和履行</w:t>
      </w:r>
    </w:p>
    <w:p w14:paraId="6B8AA660">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1、合同的订立</w:t>
      </w:r>
    </w:p>
    <w:p w14:paraId="684586EE">
      <w:pPr>
        <w:autoSpaceDE w:val="0"/>
        <w:autoSpaceDN w:val="0"/>
        <w:adjustRightInd w:val="0"/>
        <w:snapToGrid w:val="0"/>
        <w:spacing w:line="360" w:lineRule="auto"/>
        <w:ind w:right="32" w:firstLine="480"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成交人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752BF5E9">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2、合同的履行</w:t>
      </w:r>
    </w:p>
    <w:p w14:paraId="5183F478">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招采办</w:t>
      </w:r>
      <w:r>
        <w:rPr>
          <w:rFonts w:hint="eastAsia" w:ascii="仿宋" w:hAnsi="仿宋" w:eastAsia="仿宋" w:cs="仿宋"/>
          <w:color w:val="auto"/>
          <w:kern w:val="0"/>
          <w:sz w:val="24"/>
          <w:highlight w:val="none"/>
        </w:rPr>
        <w:t>审批。</w:t>
      </w:r>
    </w:p>
    <w:p w14:paraId="350F3433">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03A42E41">
      <w:pPr>
        <w:adjustRightInd w:val="0"/>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十一、适用法律及规定</w:t>
      </w:r>
    </w:p>
    <w:p w14:paraId="33092720">
      <w:pPr>
        <w:autoSpaceDE w:val="0"/>
        <w:autoSpaceDN w:val="0"/>
        <w:adjustRightInd w:val="0"/>
        <w:snapToGrid w:val="0"/>
        <w:spacing w:line="360" w:lineRule="auto"/>
        <w:ind w:right="32"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（1）采购单位及供应商的一切采购活动均参考《中华人民共和国政府采购法》及医院的采购制度。</w:t>
      </w:r>
    </w:p>
    <w:p w14:paraId="47F023B3">
      <w:pPr>
        <w:autoSpaceDE w:val="0"/>
        <w:autoSpaceDN w:val="0"/>
        <w:adjustRightInd w:val="0"/>
        <w:snapToGrid w:val="0"/>
        <w:spacing w:line="360" w:lineRule="auto"/>
        <w:ind w:right="32" w:firstLine="480" w:firstLineChars="200"/>
        <w:jc w:val="center"/>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为采购项目提供整体设计、规范编制或者项目管理、监理、检测等服务的供应商，不得再参加该采购项目的其他采购活动。存在以上情形的供应商应主动予以回避，否则自行承担相应的法律责任及后果。</w:t>
      </w:r>
      <w:r>
        <w:rPr>
          <w:rFonts w:hint="eastAsia" w:ascii="仿宋" w:hAnsi="仿宋" w:eastAsia="仿宋" w:cs="仿宋"/>
          <w:color w:val="auto"/>
          <w:kern w:val="0"/>
          <w:sz w:val="24"/>
          <w:highlight w:val="none"/>
        </w:rPr>
        <w:br w:type="page"/>
      </w:r>
      <w:r>
        <w:rPr>
          <w:rFonts w:hint="eastAsia" w:ascii="仿宋" w:hAnsi="仿宋" w:eastAsia="仿宋" w:cs="仿宋"/>
          <w:b/>
          <w:color w:val="auto"/>
          <w:sz w:val="28"/>
          <w:szCs w:val="28"/>
          <w:highlight w:val="none"/>
        </w:rPr>
        <w:t>第四部分  合同书范本格式</w:t>
      </w:r>
    </w:p>
    <w:p w14:paraId="389D8D36">
      <w:pPr>
        <w:autoSpaceDE w:val="0"/>
        <w:autoSpaceDN w:val="0"/>
        <w:adjustRightInd w:val="0"/>
        <w:snapToGrid w:val="0"/>
        <w:spacing w:before="0" w:beforeAutospacing="0" w:after="0" w:afterAutospacing="0" w:line="360" w:lineRule="auto"/>
        <w:ind w:right="32" w:firstLine="0" w:firstLineChars="0"/>
        <w:jc w:val="right"/>
        <w:rPr>
          <w:rFonts w:hint="eastAsia" w:ascii="Arial" w:hAnsi="Arial" w:eastAsia="黑体"/>
          <w:bCs/>
          <w:color w:val="000000"/>
          <w:sz w:val="30"/>
          <w:szCs w:val="30"/>
          <w:highlight w:val="none"/>
          <w:lang w:val="en-US" w:eastAsia="zh-CN"/>
        </w:rPr>
      </w:pPr>
      <w:r>
        <w:rPr>
          <w:rFonts w:hint="eastAsia" w:ascii="Arial" w:hAnsi="Arial" w:eastAsia="黑体"/>
          <w:bCs/>
          <w:color w:val="000000"/>
          <w:sz w:val="30"/>
          <w:szCs w:val="30"/>
          <w:highlight w:val="none"/>
          <w:lang w:val="en-US" w:eastAsia="zh-CN"/>
        </w:rPr>
        <w:t>合同模板编号</w:t>
      </w:r>
      <w:r>
        <w:rPr>
          <w:rFonts w:hint="eastAsia" w:ascii="Arial" w:hAnsi="Arial" w:eastAsia="黑体"/>
          <w:bCs/>
          <w:color w:val="000000"/>
          <w:sz w:val="30"/>
          <w:szCs w:val="30"/>
          <w:highlight w:val="none"/>
        </w:rPr>
        <w:t>：</w:t>
      </w:r>
    </w:p>
    <w:p w14:paraId="7F589B4E">
      <w:pPr>
        <w:autoSpaceDE w:val="0"/>
        <w:autoSpaceDN w:val="0"/>
        <w:adjustRightInd w:val="0"/>
        <w:spacing w:before="100" w:beforeAutospacing="1" w:after="100" w:afterAutospacing="1"/>
        <w:ind w:firstLine="8196" w:firstLineChars="1946"/>
        <w:rPr>
          <w:rFonts w:ascii="仿宋" w:hAnsi="仿宋" w:eastAsia="仿宋" w:cs="FangSong_GB2312-Identity-H"/>
          <w:b/>
          <w:bCs/>
          <w:spacing w:val="60"/>
          <w:kern w:val="0"/>
          <w:sz w:val="30"/>
          <w:szCs w:val="30"/>
          <w:highlight w:val="none"/>
        </w:rPr>
      </w:pPr>
    </w:p>
    <w:tbl>
      <w:tblPr>
        <w:tblStyle w:val="17"/>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5837428C">
        <w:tblPrEx>
          <w:tblCellMar>
            <w:top w:w="0" w:type="dxa"/>
            <w:left w:w="108" w:type="dxa"/>
            <w:bottom w:w="0" w:type="dxa"/>
            <w:right w:w="108" w:type="dxa"/>
          </w:tblCellMar>
        </w:tblPrEx>
        <w:trPr>
          <w:trHeight w:val="446" w:hRule="atLeast"/>
        </w:trPr>
        <w:tc>
          <w:tcPr>
            <w:tcW w:w="6629" w:type="dxa"/>
            <w:noWrap w:val="0"/>
            <w:vAlign w:val="top"/>
          </w:tcPr>
          <w:p w14:paraId="198C8754">
            <w:pPr>
              <w:pStyle w:val="12"/>
              <w:spacing w:line="800" w:lineRule="exact"/>
              <w:jc w:val="left"/>
              <w:rPr>
                <w:rFonts w:hAnsi="宋体"/>
                <w:b/>
                <w:sz w:val="30"/>
                <w:szCs w:val="30"/>
                <w:highlight w:val="none"/>
              </w:rPr>
            </w:pPr>
          </w:p>
          <w:p w14:paraId="367627ED">
            <w:pPr>
              <w:pStyle w:val="12"/>
              <w:spacing w:line="800" w:lineRule="exact"/>
              <w:jc w:val="left"/>
              <w:rPr>
                <w:rFonts w:hAnsi="宋体"/>
                <w:b/>
                <w:sz w:val="30"/>
                <w:szCs w:val="30"/>
                <w:highlight w:val="none"/>
              </w:rPr>
            </w:pPr>
            <w:r>
              <w:rPr>
                <w:rFonts w:hint="eastAsia" w:hAnsi="宋体"/>
                <w:b/>
                <w:sz w:val="30"/>
                <w:szCs w:val="30"/>
                <w:highlight w:val="none"/>
              </w:rPr>
              <w:t>采购编号：</w:t>
            </w:r>
          </w:p>
          <w:p w14:paraId="4ABB98D9">
            <w:pPr>
              <w:pStyle w:val="12"/>
              <w:spacing w:line="800" w:lineRule="exact"/>
              <w:jc w:val="left"/>
              <w:rPr>
                <w:rFonts w:hAnsi="宋体"/>
                <w:b/>
                <w:sz w:val="30"/>
                <w:szCs w:val="30"/>
                <w:highlight w:val="none"/>
              </w:rPr>
            </w:pPr>
            <w:r>
              <w:rPr>
                <w:rFonts w:hint="eastAsia" w:hAnsi="宋体"/>
                <w:b/>
                <w:sz w:val="30"/>
                <w:szCs w:val="30"/>
                <w:highlight w:val="none"/>
              </w:rPr>
              <w:t>项目名称：</w:t>
            </w:r>
          </w:p>
          <w:p w14:paraId="264B88BE">
            <w:pPr>
              <w:pStyle w:val="12"/>
              <w:spacing w:line="800" w:lineRule="exact"/>
              <w:jc w:val="left"/>
              <w:rPr>
                <w:rFonts w:hAnsi="宋体" w:cs="Times New Roman"/>
                <w:b/>
                <w:bCs/>
                <w:sz w:val="30"/>
                <w:szCs w:val="30"/>
                <w:highlight w:val="none"/>
              </w:rPr>
            </w:pPr>
            <w:r>
              <w:rPr>
                <w:rFonts w:hint="eastAsia" w:hAnsi="宋体" w:cs="Times New Roman"/>
                <w:b/>
                <w:bCs/>
                <w:sz w:val="30"/>
                <w:szCs w:val="30"/>
                <w:highlight w:val="none"/>
              </w:rPr>
              <w:t>甲方：惠州市第一妇幼保健院</w:t>
            </w:r>
          </w:p>
          <w:p w14:paraId="6976BA71">
            <w:pPr>
              <w:pStyle w:val="12"/>
              <w:spacing w:line="800" w:lineRule="exact"/>
              <w:jc w:val="left"/>
              <w:rPr>
                <w:rFonts w:hAnsi="宋体" w:cs="Times New Roman"/>
                <w:b/>
                <w:bCs/>
                <w:sz w:val="30"/>
                <w:szCs w:val="30"/>
                <w:highlight w:val="none"/>
              </w:rPr>
            </w:pPr>
            <w:r>
              <w:rPr>
                <w:rFonts w:hint="eastAsia" w:hAnsi="宋体" w:cs="Times New Roman"/>
                <w:b/>
                <w:bCs/>
                <w:sz w:val="30"/>
                <w:szCs w:val="30"/>
                <w:highlight w:val="none"/>
              </w:rPr>
              <w:t>乙方：</w:t>
            </w:r>
          </w:p>
          <w:p w14:paraId="3ABD0C51">
            <w:pPr>
              <w:tabs>
                <w:tab w:val="left" w:pos="720"/>
              </w:tabs>
              <w:spacing w:line="360" w:lineRule="auto"/>
              <w:rPr>
                <w:rFonts w:ascii="宋体"/>
                <w:b/>
                <w:sz w:val="30"/>
                <w:szCs w:val="30"/>
                <w:highlight w:val="none"/>
              </w:rPr>
            </w:pPr>
          </w:p>
        </w:tc>
      </w:tr>
    </w:tbl>
    <w:p w14:paraId="7729E1B5">
      <w:pPr>
        <w:autoSpaceDE w:val="0"/>
        <w:autoSpaceDN w:val="0"/>
        <w:adjustRightInd w:val="0"/>
        <w:spacing w:before="100" w:beforeAutospacing="1" w:after="100" w:afterAutospacing="1"/>
        <w:jc w:val="center"/>
        <w:rPr>
          <w:rFonts w:ascii="仿宋_GB2312" w:hAnsi="仿宋" w:eastAsia="仿宋_GB2312"/>
          <w:b/>
          <w:sz w:val="28"/>
          <w:highlight w:val="none"/>
        </w:rPr>
      </w:pPr>
      <w:r>
        <w:rPr>
          <w:rFonts w:hint="eastAsia" w:ascii="仿宋" w:hAnsi="仿宋" w:eastAsia="仿宋" w:cs="FangSong_GB2312-Identity-H"/>
          <w:b/>
          <w:bCs/>
          <w:spacing w:val="60"/>
          <w:kern w:val="0"/>
          <w:sz w:val="84"/>
          <w:szCs w:val="84"/>
          <w:highlight w:val="none"/>
        </w:rPr>
        <w:t>技术服务合同</w:t>
      </w:r>
    </w:p>
    <w:p w14:paraId="187D358F">
      <w:pPr>
        <w:spacing w:line="360" w:lineRule="auto"/>
        <w:ind w:right="480"/>
        <w:jc w:val="center"/>
        <w:rPr>
          <w:rFonts w:ascii="宋体"/>
          <w:bCs/>
          <w:sz w:val="24"/>
          <w:highlight w:val="none"/>
        </w:rPr>
      </w:pPr>
    </w:p>
    <w:p w14:paraId="56AAC6ED">
      <w:pPr>
        <w:spacing w:line="360" w:lineRule="auto"/>
        <w:jc w:val="center"/>
        <w:rPr>
          <w:rFonts w:ascii="宋体"/>
          <w:b/>
          <w:sz w:val="44"/>
          <w:szCs w:val="44"/>
          <w:highlight w:val="none"/>
        </w:rPr>
      </w:pPr>
      <w:r>
        <w:rPr>
          <w:rFonts w:ascii="宋体"/>
          <w:bCs/>
          <w:sz w:val="24"/>
          <w:highlight w:val="none"/>
        </w:rPr>
        <w:br w:type="page"/>
      </w:r>
      <w:r>
        <w:rPr>
          <w:rFonts w:hint="eastAsia" w:ascii="宋体" w:hAnsi="宋体"/>
          <w:b/>
          <w:sz w:val="44"/>
          <w:szCs w:val="44"/>
          <w:highlight w:val="none"/>
        </w:rPr>
        <w:t>合   同</w:t>
      </w:r>
    </w:p>
    <w:p w14:paraId="53FFE634">
      <w:pPr>
        <w:spacing w:line="360" w:lineRule="auto"/>
        <w:jc w:val="center"/>
        <w:rPr>
          <w:rFonts w:ascii="宋体"/>
          <w:b/>
          <w:sz w:val="44"/>
          <w:szCs w:val="44"/>
          <w:highlight w:val="none"/>
        </w:rPr>
      </w:pPr>
    </w:p>
    <w:p w14:paraId="23858732">
      <w:pPr>
        <w:spacing w:line="360" w:lineRule="auto"/>
        <w:jc w:val="left"/>
        <w:rPr>
          <w:rFonts w:ascii="宋体"/>
          <w:b/>
          <w:sz w:val="24"/>
          <w:highlight w:val="none"/>
        </w:rPr>
      </w:pPr>
      <w:r>
        <w:rPr>
          <w:rFonts w:hint="eastAsia" w:ascii="宋体" w:hAnsi="宋体"/>
          <w:b/>
          <w:sz w:val="24"/>
          <w:highlight w:val="none"/>
        </w:rPr>
        <w:t>甲方：</w:t>
      </w:r>
      <w:r>
        <w:rPr>
          <w:rFonts w:hint="eastAsia" w:ascii="宋体" w:hAnsi="宋体"/>
          <w:b/>
          <w:kern w:val="0"/>
          <w:sz w:val="24"/>
          <w:highlight w:val="none"/>
        </w:rPr>
        <w:t>惠州市第一妇幼保健院</w:t>
      </w:r>
    </w:p>
    <w:p w14:paraId="20602D4D">
      <w:pPr>
        <w:tabs>
          <w:tab w:val="left" w:pos="720"/>
        </w:tabs>
        <w:spacing w:line="360" w:lineRule="auto"/>
        <w:rPr>
          <w:rFonts w:ascii="宋体" w:hAnsi="宋体"/>
          <w:b/>
          <w:kern w:val="0"/>
          <w:sz w:val="24"/>
          <w:highlight w:val="none"/>
        </w:rPr>
      </w:pPr>
      <w:r>
        <w:rPr>
          <w:rFonts w:hint="eastAsia" w:ascii="宋体" w:hAnsi="宋体"/>
          <w:b/>
          <w:sz w:val="24"/>
          <w:highlight w:val="none"/>
        </w:rPr>
        <w:t>乙方：</w:t>
      </w:r>
    </w:p>
    <w:p w14:paraId="2847B357">
      <w:pPr>
        <w:tabs>
          <w:tab w:val="left" w:pos="720"/>
        </w:tabs>
        <w:spacing w:line="360" w:lineRule="auto"/>
        <w:ind w:firstLine="480" w:firstLineChars="200"/>
        <w:rPr>
          <w:rFonts w:ascii="宋体" w:hAnsi="宋体"/>
          <w:sz w:val="24"/>
          <w:highlight w:val="none"/>
        </w:rPr>
      </w:pPr>
      <w:r>
        <w:rPr>
          <w:rFonts w:hint="eastAsia" w:ascii="宋体" w:hAnsi="宋体"/>
          <w:sz w:val="24"/>
          <w:highlight w:val="none"/>
        </w:rPr>
        <w:t>根据</w:t>
      </w:r>
      <w:r>
        <w:rPr>
          <w:rFonts w:hint="eastAsia" w:ascii="宋体" w:hAnsi="宋体"/>
          <w:sz w:val="24"/>
          <w:highlight w:val="none"/>
          <w:u w:val="single"/>
        </w:rPr>
        <w:t xml:space="preserve">                                          </w:t>
      </w:r>
      <w:r>
        <w:rPr>
          <w:rFonts w:hint="eastAsia" w:ascii="宋体" w:hAnsi="宋体"/>
          <w:sz w:val="24"/>
          <w:highlight w:val="none"/>
        </w:rPr>
        <w:t>（项目编号:</w:t>
      </w:r>
      <w:r>
        <w:rPr>
          <w:rFonts w:hint="eastAsia" w:ascii="宋体" w:hAnsi="宋体"/>
          <w:sz w:val="24"/>
          <w:highlight w:val="none"/>
          <w:u w:val="single"/>
        </w:rPr>
        <w:t xml:space="preserve">             </w:t>
      </w:r>
      <w:r>
        <w:rPr>
          <w:rFonts w:hint="eastAsia" w:ascii="宋体" w:hAnsi="宋体"/>
          <w:sz w:val="24"/>
          <w:highlight w:val="none"/>
        </w:rPr>
        <w:t>）的中标结果，按照《中华人民共和国政府采购法》、《中华人民共和国民法典》的规定，经双方协商，本着平等互利和诚实信用的原则，一致同意签订本合同如下。</w:t>
      </w:r>
    </w:p>
    <w:p w14:paraId="678B1FC7">
      <w:pPr>
        <w:pStyle w:val="22"/>
        <w:numPr>
          <w:ilvl w:val="0"/>
          <w:numId w:val="17"/>
        </w:numPr>
        <w:tabs>
          <w:tab w:val="left" w:pos="960"/>
        </w:tabs>
        <w:spacing w:line="360" w:lineRule="auto"/>
        <w:ind w:firstLine="482"/>
        <w:rPr>
          <w:rFonts w:ascii="宋体" w:hAnsi="宋体"/>
          <w:b/>
          <w:sz w:val="24"/>
          <w:highlight w:val="none"/>
        </w:rPr>
      </w:pPr>
      <w:r>
        <w:rPr>
          <w:rFonts w:hint="eastAsia" w:ascii="宋体" w:hAnsi="宋体"/>
          <w:b/>
          <w:sz w:val="24"/>
          <w:highlight w:val="none"/>
        </w:rPr>
        <w:t>服务内容</w:t>
      </w:r>
    </w:p>
    <w:p w14:paraId="26D56A72">
      <w:pPr>
        <w:pStyle w:val="22"/>
        <w:tabs>
          <w:tab w:val="left" w:pos="960"/>
        </w:tabs>
        <w:spacing w:line="360" w:lineRule="auto"/>
        <w:ind w:firstLine="481" w:firstLineChars="0"/>
        <w:rPr>
          <w:rFonts w:ascii="宋体" w:hAnsi="宋体"/>
          <w:sz w:val="24"/>
          <w:highlight w:val="none"/>
        </w:rPr>
      </w:pPr>
      <w:r>
        <w:rPr>
          <w:rFonts w:hint="eastAsia" w:ascii="宋体" w:hAnsi="宋体"/>
          <w:sz w:val="24"/>
          <w:highlight w:val="none"/>
        </w:rPr>
        <w:t>本合同甲方委托乙方就</w:t>
      </w:r>
      <w:r>
        <w:rPr>
          <w:rFonts w:hint="eastAsia" w:ascii="宋体" w:hAnsi="宋体"/>
          <w:sz w:val="24"/>
          <w:highlight w:val="none"/>
          <w:u w:val="single"/>
        </w:rPr>
        <w:t xml:space="preserve">                                </w:t>
      </w:r>
      <w:r>
        <w:rPr>
          <w:rFonts w:hint="eastAsia" w:ascii="宋体" w:hAnsi="宋体"/>
          <w:sz w:val="24"/>
          <w:highlight w:val="none"/>
        </w:rPr>
        <w:t>项目进行的专项技术服务，并支付相应的技术服务报酬。</w:t>
      </w:r>
    </w:p>
    <w:p w14:paraId="1CC3A5F4">
      <w:pPr>
        <w:pStyle w:val="22"/>
        <w:tabs>
          <w:tab w:val="left" w:pos="960"/>
        </w:tabs>
        <w:spacing w:line="360" w:lineRule="auto"/>
        <w:ind w:firstLine="480"/>
        <w:rPr>
          <w:rFonts w:ascii="宋体" w:hAnsi="宋体"/>
          <w:sz w:val="24"/>
          <w:highlight w:val="none"/>
        </w:rPr>
      </w:pPr>
      <w:r>
        <w:rPr>
          <w:rFonts w:hint="eastAsia" w:ascii="宋体" w:hAnsi="宋体"/>
          <w:sz w:val="24"/>
          <w:highlight w:val="none"/>
        </w:rPr>
        <w:t>1.技术服务的目标：</w:t>
      </w:r>
    </w:p>
    <w:p w14:paraId="11B3549A">
      <w:pPr>
        <w:pStyle w:val="22"/>
        <w:tabs>
          <w:tab w:val="left" w:pos="960"/>
        </w:tabs>
        <w:spacing w:line="360" w:lineRule="auto"/>
        <w:ind w:firstLine="480"/>
        <w:rPr>
          <w:rFonts w:hint="eastAsia" w:ascii="宋体" w:hAnsi="宋体"/>
          <w:sz w:val="24"/>
          <w:highlight w:val="none"/>
        </w:rPr>
      </w:pPr>
      <w:r>
        <w:rPr>
          <w:rFonts w:hint="eastAsia" w:ascii="宋体" w:hAnsi="宋体"/>
          <w:sz w:val="24"/>
          <w:highlight w:val="none"/>
        </w:rPr>
        <w:t>2.技术服务的内容：</w:t>
      </w:r>
    </w:p>
    <w:p w14:paraId="20ABF588">
      <w:pPr>
        <w:pStyle w:val="22"/>
        <w:tabs>
          <w:tab w:val="left" w:pos="960"/>
        </w:tabs>
        <w:spacing w:line="360" w:lineRule="auto"/>
        <w:ind w:firstLine="480"/>
        <w:rPr>
          <w:rFonts w:ascii="宋体" w:hAnsi="宋体"/>
          <w:sz w:val="24"/>
          <w:highlight w:val="none"/>
        </w:rPr>
      </w:pPr>
      <w:r>
        <w:rPr>
          <w:rFonts w:hint="eastAsia" w:ascii="宋体" w:hAnsi="宋体"/>
          <w:sz w:val="24"/>
          <w:highlight w:val="none"/>
        </w:rPr>
        <w:t>3.技术服务的方式：</w:t>
      </w:r>
    </w:p>
    <w:p w14:paraId="00463652">
      <w:pPr>
        <w:spacing w:line="360" w:lineRule="auto"/>
        <w:ind w:firstLine="482" w:firstLineChars="200"/>
        <w:rPr>
          <w:rFonts w:ascii="宋体"/>
          <w:b/>
          <w:sz w:val="24"/>
          <w:highlight w:val="none"/>
        </w:rPr>
      </w:pPr>
      <w:r>
        <w:rPr>
          <w:rFonts w:hint="eastAsia" w:ascii="宋体" w:hAnsi="宋体"/>
          <w:b/>
          <w:sz w:val="24"/>
          <w:highlight w:val="none"/>
        </w:rPr>
        <w:t>二、合同金额</w:t>
      </w:r>
    </w:p>
    <w:p w14:paraId="2110CF9F">
      <w:pPr>
        <w:spacing w:line="360" w:lineRule="auto"/>
        <w:ind w:firstLine="480" w:firstLineChars="200"/>
        <w:rPr>
          <w:rFonts w:hAnsi="宋体" w:cs="宋体"/>
          <w:kern w:val="0"/>
          <w:sz w:val="24"/>
          <w:szCs w:val="21"/>
          <w:highlight w:val="none"/>
        </w:rPr>
      </w:pPr>
      <w:r>
        <w:rPr>
          <w:rFonts w:hint="eastAsia" w:hAnsi="宋体"/>
          <w:sz w:val="24"/>
          <w:highlight w:val="none"/>
        </w:rPr>
        <w:t>合同金额为：（大写）</w:t>
      </w:r>
      <w:r>
        <w:rPr>
          <w:rFonts w:hint="eastAsia" w:ascii="宋体" w:hAnsi="宋体" w:cs="宋体"/>
          <w:color w:val="000000"/>
          <w:kern w:val="0"/>
          <w:sz w:val="24"/>
          <w:highlight w:val="none"/>
        </w:rPr>
        <w:t>人民币</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元整；（小写）¥</w:t>
      </w:r>
      <w:r>
        <w:rPr>
          <w:rFonts w:hint="eastAsia" w:ascii="宋体" w:hAnsi="宋体" w:cs="宋体"/>
          <w:color w:val="000000"/>
          <w:kern w:val="0"/>
          <w:sz w:val="24"/>
          <w:highlight w:val="none"/>
          <w:u w:val="single"/>
        </w:rPr>
        <w:t xml:space="preserve">    </w:t>
      </w:r>
      <w:r>
        <w:rPr>
          <w:rFonts w:hint="eastAsia" w:ascii="宋体" w:hAnsi="宋体" w:cs="宋体"/>
          <w:kern w:val="0"/>
          <w:sz w:val="24"/>
          <w:szCs w:val="21"/>
          <w:highlight w:val="none"/>
          <w:u w:val="single"/>
        </w:rPr>
        <w:t>.00</w:t>
      </w:r>
      <w:r>
        <w:rPr>
          <w:rFonts w:hint="eastAsia" w:ascii="宋体" w:hAnsi="宋体" w:cs="宋体"/>
          <w:kern w:val="0"/>
          <w:sz w:val="24"/>
          <w:szCs w:val="21"/>
          <w:highlight w:val="none"/>
        </w:rPr>
        <w:t>元</w:t>
      </w:r>
      <w:r>
        <w:rPr>
          <w:rFonts w:hint="eastAsia" w:hAnsi="宋体" w:cs="宋体"/>
          <w:kern w:val="0"/>
          <w:sz w:val="24"/>
          <w:szCs w:val="21"/>
          <w:highlight w:val="none"/>
        </w:rPr>
        <w:t>。</w:t>
      </w:r>
    </w:p>
    <w:p w14:paraId="229DA94A">
      <w:pPr>
        <w:spacing w:line="360" w:lineRule="auto"/>
        <w:ind w:firstLine="480" w:firstLineChars="200"/>
        <w:rPr>
          <w:rFonts w:hAnsi="宋体"/>
          <w:sz w:val="24"/>
          <w:highlight w:val="none"/>
        </w:rPr>
      </w:pPr>
      <w:r>
        <w:rPr>
          <w:rFonts w:hint="eastAsia" w:ascii="宋体" w:hAnsi="宋体"/>
          <w:sz w:val="24"/>
          <w:highlight w:val="none"/>
        </w:rPr>
        <w:t>合同总额包括乙方设计、安装、随机零配件、标配工具、运输保险、调试、培训、质保期服务、各项税费及合同实施过程中不可预见费用等。</w:t>
      </w:r>
    </w:p>
    <w:p w14:paraId="544EF69F">
      <w:pPr>
        <w:spacing w:line="360" w:lineRule="auto"/>
        <w:ind w:firstLine="482" w:firstLineChars="200"/>
        <w:rPr>
          <w:rFonts w:ascii="宋体"/>
          <w:b/>
          <w:sz w:val="24"/>
          <w:highlight w:val="none"/>
        </w:rPr>
      </w:pPr>
      <w:r>
        <w:rPr>
          <w:rFonts w:hint="eastAsia" w:ascii="宋体" w:hAnsi="宋体"/>
          <w:b/>
          <w:sz w:val="24"/>
          <w:highlight w:val="none"/>
        </w:rPr>
        <w:t>三、服务要求</w:t>
      </w:r>
    </w:p>
    <w:p w14:paraId="72239171">
      <w:pPr>
        <w:spacing w:line="360" w:lineRule="auto"/>
        <w:ind w:firstLine="482" w:firstLineChars="200"/>
        <w:rPr>
          <w:rFonts w:ascii="宋体" w:hAnsi="宋体"/>
          <w:b/>
          <w:sz w:val="24"/>
          <w:highlight w:val="none"/>
        </w:rPr>
      </w:pPr>
      <w:r>
        <w:rPr>
          <w:rFonts w:hint="eastAsia" w:ascii="宋体" w:hAnsi="宋体"/>
          <w:b/>
          <w:sz w:val="24"/>
          <w:highlight w:val="none"/>
        </w:rPr>
        <w:t>四、服务期限和服务地点</w:t>
      </w:r>
    </w:p>
    <w:p w14:paraId="2F1E664D">
      <w:pPr>
        <w:spacing w:line="460" w:lineRule="exact"/>
        <w:ind w:firstLine="480" w:firstLineChars="200"/>
        <w:rPr>
          <w:rFonts w:ascii="宋体" w:hAnsi="宋体"/>
          <w:sz w:val="24"/>
          <w:highlight w:val="none"/>
        </w:rPr>
      </w:pPr>
      <w:r>
        <w:rPr>
          <w:rFonts w:hint="eastAsia" w:ascii="宋体" w:hAnsi="宋体"/>
          <w:sz w:val="24"/>
          <w:highlight w:val="none"/>
        </w:rPr>
        <w:t>1.服务期限：</w:t>
      </w:r>
    </w:p>
    <w:p w14:paraId="024FCBE1">
      <w:pPr>
        <w:spacing w:line="460" w:lineRule="exact"/>
        <w:ind w:firstLine="480" w:firstLineChars="200"/>
        <w:rPr>
          <w:rFonts w:ascii="宋体" w:hAnsi="宋体"/>
          <w:sz w:val="24"/>
          <w:highlight w:val="none"/>
        </w:rPr>
      </w:pPr>
      <w:r>
        <w:rPr>
          <w:rFonts w:hint="eastAsia" w:ascii="宋体" w:hAnsi="宋体"/>
          <w:sz w:val="24"/>
          <w:highlight w:val="none"/>
        </w:rPr>
        <w:t>2.地点：甲方指定地点</w:t>
      </w:r>
    </w:p>
    <w:p w14:paraId="6766E1E0">
      <w:pPr>
        <w:spacing w:line="360" w:lineRule="auto"/>
        <w:ind w:firstLine="482" w:firstLineChars="200"/>
        <w:rPr>
          <w:rFonts w:ascii="宋体" w:hAnsi="宋体"/>
          <w:b/>
          <w:sz w:val="24"/>
          <w:highlight w:val="none"/>
        </w:rPr>
      </w:pPr>
      <w:r>
        <w:rPr>
          <w:rFonts w:hint="eastAsia" w:ascii="宋体" w:hAnsi="宋体"/>
          <w:b/>
          <w:sz w:val="24"/>
          <w:highlight w:val="none"/>
        </w:rPr>
        <w:t>五、付款方式</w:t>
      </w:r>
    </w:p>
    <w:p w14:paraId="1FF42280">
      <w:pPr>
        <w:spacing w:line="360" w:lineRule="auto"/>
        <w:ind w:firstLine="480" w:firstLineChars="200"/>
        <w:rPr>
          <w:rFonts w:ascii="宋体" w:hAnsi="宋体"/>
          <w:sz w:val="24"/>
          <w:highlight w:val="none"/>
        </w:rPr>
      </w:pPr>
      <w:r>
        <w:rPr>
          <w:rFonts w:hint="eastAsia" w:ascii="宋体" w:hAnsi="宋体"/>
          <w:sz w:val="24"/>
          <w:highlight w:val="none"/>
        </w:rPr>
        <w:t>2.支付方式采用银行转账支付。</w:t>
      </w:r>
    </w:p>
    <w:p w14:paraId="15C883A1">
      <w:pPr>
        <w:pStyle w:val="10"/>
        <w:tabs>
          <w:tab w:val="left" w:pos="839"/>
        </w:tabs>
        <w:ind w:firstLine="480" w:firstLineChars="200"/>
        <w:rPr>
          <w:rFonts w:ascii="宋体" w:hAnsi="宋体"/>
          <w:sz w:val="24"/>
          <w:highlight w:val="none"/>
        </w:rPr>
      </w:pPr>
      <w:r>
        <w:rPr>
          <w:rFonts w:hint="eastAsia" w:ascii="宋体" w:hAnsi="宋体"/>
          <w:sz w:val="24"/>
          <w:highlight w:val="none"/>
        </w:rPr>
        <w:t>乙方账户信息如下：</w:t>
      </w:r>
    </w:p>
    <w:p w14:paraId="412EBBC8">
      <w:pPr>
        <w:pStyle w:val="10"/>
        <w:tabs>
          <w:tab w:val="left" w:pos="839"/>
        </w:tabs>
        <w:ind w:firstLine="480" w:firstLineChars="200"/>
        <w:rPr>
          <w:rFonts w:ascii="宋体" w:hAnsi="宋体"/>
          <w:sz w:val="24"/>
          <w:highlight w:val="none"/>
        </w:rPr>
      </w:pPr>
      <w:r>
        <w:rPr>
          <w:rFonts w:hint="eastAsia" w:ascii="宋体" w:hAnsi="宋体"/>
          <w:sz w:val="24"/>
          <w:highlight w:val="none"/>
        </w:rPr>
        <w:t>开户行：</w:t>
      </w:r>
      <w:r>
        <w:rPr>
          <w:rFonts w:hint="eastAsia" w:ascii="宋体" w:hAnsi="宋体"/>
          <w:sz w:val="24"/>
          <w:highlight w:val="none"/>
          <w:u w:val="single"/>
        </w:rPr>
        <w:t xml:space="preserve">                                          </w:t>
      </w:r>
    </w:p>
    <w:p w14:paraId="510B4618">
      <w:pPr>
        <w:pStyle w:val="10"/>
        <w:tabs>
          <w:tab w:val="left" w:pos="839"/>
        </w:tabs>
        <w:ind w:firstLine="480" w:firstLineChars="200"/>
        <w:rPr>
          <w:rFonts w:ascii="宋体" w:hAnsi="宋体"/>
          <w:sz w:val="24"/>
          <w:highlight w:val="none"/>
        </w:rPr>
      </w:pPr>
      <w:r>
        <w:rPr>
          <w:rFonts w:hint="eastAsia" w:ascii="宋体" w:hAnsi="宋体"/>
          <w:sz w:val="24"/>
          <w:highlight w:val="none"/>
        </w:rPr>
        <w:t>账户名称：</w:t>
      </w:r>
      <w:r>
        <w:rPr>
          <w:rFonts w:hint="eastAsia" w:ascii="宋体" w:hAnsi="宋体"/>
          <w:sz w:val="24"/>
          <w:highlight w:val="none"/>
          <w:u w:val="single"/>
        </w:rPr>
        <w:t xml:space="preserve">                                        </w:t>
      </w:r>
    </w:p>
    <w:p w14:paraId="513685F9">
      <w:pPr>
        <w:pStyle w:val="10"/>
        <w:tabs>
          <w:tab w:val="left" w:pos="839"/>
        </w:tabs>
        <w:ind w:firstLine="480" w:firstLineChars="200"/>
        <w:rPr>
          <w:rFonts w:ascii="宋体" w:hAnsi="宋体"/>
          <w:sz w:val="24"/>
          <w:highlight w:val="none"/>
        </w:rPr>
      </w:pPr>
      <w:r>
        <w:rPr>
          <w:rFonts w:hint="eastAsia" w:ascii="宋体" w:hAnsi="宋体"/>
          <w:sz w:val="24"/>
          <w:highlight w:val="none"/>
        </w:rPr>
        <w:t>银行账户：</w:t>
      </w:r>
      <w:r>
        <w:rPr>
          <w:rFonts w:hint="eastAsia" w:ascii="宋体" w:hAnsi="宋体"/>
          <w:sz w:val="24"/>
          <w:highlight w:val="none"/>
          <w:u w:val="single"/>
        </w:rPr>
        <w:t xml:space="preserve">                                        </w:t>
      </w:r>
    </w:p>
    <w:p w14:paraId="4523D43B">
      <w:pPr>
        <w:pStyle w:val="10"/>
        <w:tabs>
          <w:tab w:val="left" w:pos="839"/>
        </w:tabs>
        <w:ind w:firstLine="480" w:firstLineChars="200"/>
        <w:rPr>
          <w:rFonts w:ascii="宋体" w:hAnsi="宋体"/>
          <w:sz w:val="24"/>
          <w:highlight w:val="none"/>
        </w:rPr>
      </w:pPr>
      <w:r>
        <w:rPr>
          <w:rFonts w:hint="eastAsia" w:ascii="宋体" w:hAnsi="宋体"/>
          <w:sz w:val="24"/>
          <w:highlight w:val="none"/>
        </w:rPr>
        <w:t>税号：</w:t>
      </w:r>
      <w:r>
        <w:rPr>
          <w:rFonts w:hint="eastAsia" w:ascii="宋体" w:hAnsi="宋体"/>
          <w:sz w:val="24"/>
          <w:highlight w:val="none"/>
          <w:u w:val="single"/>
        </w:rPr>
        <w:t xml:space="preserve">                                            </w:t>
      </w:r>
    </w:p>
    <w:p w14:paraId="5C3D187D">
      <w:pPr>
        <w:spacing w:line="460" w:lineRule="exact"/>
        <w:ind w:firstLine="480" w:firstLineChars="200"/>
        <w:rPr>
          <w:rFonts w:ascii="宋体" w:hAnsi="宋体"/>
          <w:sz w:val="24"/>
          <w:highlight w:val="none"/>
        </w:rPr>
      </w:pPr>
      <w:r>
        <w:rPr>
          <w:rFonts w:hint="eastAsia" w:ascii="宋体" w:hAnsi="宋体"/>
          <w:sz w:val="24"/>
          <w:highlight w:val="none"/>
        </w:rPr>
        <w:t>3.乙方必须向甲方出具合法有效完整的完税发票及凭证进行支付结算。</w:t>
      </w:r>
    </w:p>
    <w:p w14:paraId="40EC60C9">
      <w:pPr>
        <w:spacing w:line="460" w:lineRule="exact"/>
        <w:ind w:firstLine="482" w:firstLineChars="200"/>
        <w:rPr>
          <w:rFonts w:ascii="宋体" w:hAnsi="宋体"/>
          <w:b/>
          <w:bCs/>
          <w:sz w:val="24"/>
          <w:highlight w:val="none"/>
        </w:rPr>
      </w:pPr>
      <w:r>
        <w:rPr>
          <w:rFonts w:hint="eastAsia" w:ascii="宋体" w:hAnsi="宋体"/>
          <w:b/>
          <w:bCs/>
          <w:sz w:val="24"/>
          <w:highlight w:val="none"/>
        </w:rPr>
        <w:t>六、质保期及售后服务</w:t>
      </w:r>
    </w:p>
    <w:p w14:paraId="5D20414A">
      <w:pPr>
        <w:spacing w:line="460" w:lineRule="exact"/>
        <w:ind w:firstLine="482" w:firstLineChars="200"/>
        <w:rPr>
          <w:rFonts w:ascii="宋体" w:hAnsi="宋体"/>
          <w:b/>
          <w:bCs/>
          <w:sz w:val="24"/>
          <w:highlight w:val="none"/>
        </w:rPr>
      </w:pPr>
      <w:r>
        <w:rPr>
          <w:rFonts w:hint="eastAsia" w:ascii="宋体" w:hAnsi="宋体"/>
          <w:b/>
          <w:bCs/>
          <w:sz w:val="24"/>
          <w:highlight w:val="none"/>
        </w:rPr>
        <w:t>七、验收</w:t>
      </w:r>
    </w:p>
    <w:p w14:paraId="20BBC94D">
      <w:pPr>
        <w:tabs>
          <w:tab w:val="left" w:pos="900"/>
        </w:tabs>
        <w:spacing w:line="460" w:lineRule="exact"/>
        <w:ind w:firstLine="482" w:firstLineChars="200"/>
        <w:rPr>
          <w:rFonts w:ascii="宋体"/>
          <w:b/>
          <w:sz w:val="24"/>
          <w:highlight w:val="none"/>
        </w:rPr>
      </w:pPr>
      <w:r>
        <w:rPr>
          <w:rFonts w:hint="eastAsia" w:ascii="宋体" w:hAnsi="宋体"/>
          <w:b/>
          <w:bCs/>
          <w:sz w:val="24"/>
          <w:highlight w:val="none"/>
        </w:rPr>
        <w:t>八、</w:t>
      </w:r>
      <w:r>
        <w:rPr>
          <w:rFonts w:hint="eastAsia" w:ascii="宋体" w:hAnsi="宋体"/>
          <w:b/>
          <w:sz w:val="24"/>
          <w:highlight w:val="none"/>
        </w:rPr>
        <w:t>违约责任与赔偿损失</w:t>
      </w:r>
    </w:p>
    <w:p w14:paraId="1B01369D">
      <w:pPr>
        <w:spacing w:line="460" w:lineRule="exact"/>
        <w:ind w:firstLine="480" w:firstLineChars="200"/>
        <w:rPr>
          <w:rFonts w:ascii="宋体" w:hAnsi="宋体"/>
          <w:sz w:val="24"/>
          <w:highlight w:val="none"/>
        </w:rPr>
      </w:pPr>
      <w:r>
        <w:rPr>
          <w:rFonts w:hint="eastAsia" w:ascii="宋体" w:hAnsi="宋体"/>
          <w:sz w:val="24"/>
          <w:highlight w:val="none"/>
        </w:rPr>
        <w:t>3.乙方交付的货物、工程、提供的服务不符合采购文件、报价文件或本合同规定的，甲方有权拒收，并且乙方须向甲方支付本合同金额5%的违约金。</w:t>
      </w:r>
    </w:p>
    <w:p w14:paraId="018FC29F">
      <w:pPr>
        <w:spacing w:line="460" w:lineRule="exact"/>
        <w:ind w:firstLine="480" w:firstLineChars="200"/>
        <w:rPr>
          <w:rFonts w:ascii="宋体" w:hAnsi="宋体"/>
          <w:sz w:val="24"/>
          <w:highlight w:val="none"/>
        </w:rPr>
      </w:pPr>
      <w:r>
        <w:rPr>
          <w:rFonts w:hint="eastAsia" w:ascii="宋体" w:hAnsi="宋体"/>
          <w:sz w:val="24"/>
          <w:highlight w:val="none"/>
        </w:rPr>
        <w:t>2.乙方未能按本合同规定的交货时间交付货物、工程、提供服务，从逾期之日起每日按本合同金额3‰的数额向甲方支付违约金；逾期半个月以上的，甲方有权终止合同，由此造成的甲方经济损失由乙方承担。</w:t>
      </w:r>
    </w:p>
    <w:p w14:paraId="09BD87CE">
      <w:pPr>
        <w:spacing w:line="460" w:lineRule="exact"/>
        <w:ind w:firstLine="480" w:firstLineChars="200"/>
        <w:rPr>
          <w:rFonts w:ascii="宋体" w:hAnsi="宋体"/>
          <w:sz w:val="24"/>
          <w:highlight w:val="none"/>
        </w:rPr>
      </w:pPr>
      <w:r>
        <w:rPr>
          <w:rFonts w:hint="eastAsia" w:ascii="宋体" w:hAnsi="宋体"/>
          <w:sz w:val="24"/>
          <w:highlight w:val="none"/>
        </w:rPr>
        <w:t>3.甲方无正当理由拒收货物、接受服务，到期拒付货物、工程、提供服务款项的，甲方向乙方偿付本合同金额的5%的违约金。甲方逾期付款，则每日按本合同金额的3‰向乙方偿付违约金。</w:t>
      </w:r>
    </w:p>
    <w:p w14:paraId="6B03C8CE">
      <w:pPr>
        <w:spacing w:line="460" w:lineRule="exact"/>
        <w:ind w:firstLine="480" w:firstLineChars="200"/>
        <w:rPr>
          <w:rFonts w:ascii="宋体" w:hAnsi="宋体"/>
          <w:sz w:val="24"/>
          <w:highlight w:val="none"/>
        </w:rPr>
      </w:pPr>
      <w:r>
        <w:rPr>
          <w:rFonts w:hint="eastAsia" w:ascii="宋体" w:hAnsi="宋体"/>
          <w:sz w:val="24"/>
          <w:highlight w:val="none"/>
        </w:rPr>
        <w:t>4.其它违约责任按《中华人民共和国民法典》处理。</w:t>
      </w:r>
    </w:p>
    <w:p w14:paraId="749B504B">
      <w:pPr>
        <w:spacing w:line="460" w:lineRule="exact"/>
        <w:ind w:firstLine="482" w:firstLineChars="200"/>
        <w:rPr>
          <w:rFonts w:ascii="宋体"/>
          <w:b/>
          <w:sz w:val="24"/>
          <w:highlight w:val="none"/>
        </w:rPr>
      </w:pPr>
      <w:r>
        <w:rPr>
          <w:rFonts w:hint="eastAsia" w:ascii="宋体" w:hAnsi="宋体"/>
          <w:b/>
          <w:sz w:val="24"/>
          <w:highlight w:val="none"/>
        </w:rPr>
        <w:t>九、争议的解决</w:t>
      </w:r>
    </w:p>
    <w:p w14:paraId="074460B4">
      <w:pPr>
        <w:spacing w:line="460" w:lineRule="exact"/>
        <w:ind w:firstLine="480" w:firstLineChars="200"/>
        <w:rPr>
          <w:rFonts w:ascii="宋体" w:hAnsi="宋体"/>
          <w:sz w:val="24"/>
          <w:highlight w:val="none"/>
        </w:rPr>
      </w:pPr>
      <w:r>
        <w:rPr>
          <w:rFonts w:hint="eastAsia" w:ascii="宋体" w:hAnsi="宋体"/>
          <w:sz w:val="24"/>
          <w:highlight w:val="none"/>
        </w:rPr>
        <w:t>1.本合同的变更必须由双方协商一致，并以书面形式确定。但有下列情形之一的，一方可以向另一方提出变更合同权利与义务的请求，另一方应当在</w:t>
      </w:r>
      <w:r>
        <w:rPr>
          <w:rFonts w:hint="eastAsia" w:ascii="宋体" w:hAnsi="宋体"/>
          <w:sz w:val="24"/>
          <w:highlight w:val="none"/>
          <w:u w:val="single"/>
        </w:rPr>
        <w:t xml:space="preserve"> 15 </w:t>
      </w:r>
      <w:r>
        <w:rPr>
          <w:rFonts w:hint="eastAsia" w:ascii="宋体" w:hAnsi="宋体"/>
          <w:sz w:val="24"/>
          <w:highlight w:val="none"/>
        </w:rPr>
        <w:t>日内予以答复；逾期未予答复的，视为同意：</w:t>
      </w:r>
    </w:p>
    <w:p w14:paraId="6646107F">
      <w:pPr>
        <w:spacing w:line="460" w:lineRule="exact"/>
        <w:ind w:firstLine="480" w:firstLineChars="200"/>
        <w:rPr>
          <w:rFonts w:ascii="宋体" w:hAnsi="宋体"/>
          <w:sz w:val="24"/>
          <w:highlight w:val="none"/>
        </w:rPr>
      </w:pPr>
      <w:r>
        <w:rPr>
          <w:rFonts w:hint="eastAsia" w:ascii="宋体" w:hAnsi="宋体"/>
          <w:sz w:val="24"/>
          <w:highlight w:val="none"/>
        </w:rPr>
        <w:t>（1）发生不可抗力；</w:t>
      </w:r>
    </w:p>
    <w:p w14:paraId="4260C0A1">
      <w:pPr>
        <w:spacing w:line="460" w:lineRule="exact"/>
        <w:ind w:firstLine="480" w:firstLineChars="200"/>
        <w:rPr>
          <w:rFonts w:ascii="宋体" w:hAnsi="宋体"/>
          <w:sz w:val="24"/>
          <w:highlight w:val="none"/>
        </w:rPr>
      </w:pPr>
      <w:r>
        <w:rPr>
          <w:rFonts w:hint="eastAsia" w:ascii="宋体" w:hAnsi="宋体"/>
          <w:sz w:val="24"/>
          <w:highlight w:val="none"/>
        </w:rPr>
        <w:t>（2）一方进入破产、解散、被依法关闭、撤销或已进入清算阶段；</w:t>
      </w:r>
    </w:p>
    <w:p w14:paraId="41F56B1A">
      <w:pPr>
        <w:spacing w:line="460" w:lineRule="exact"/>
        <w:ind w:firstLine="480" w:firstLineChars="200"/>
        <w:rPr>
          <w:rFonts w:ascii="宋体" w:hAnsi="宋体"/>
          <w:sz w:val="24"/>
          <w:highlight w:val="none"/>
        </w:rPr>
      </w:pPr>
      <w:r>
        <w:rPr>
          <w:rFonts w:hint="eastAsia" w:ascii="宋体" w:hAnsi="宋体"/>
          <w:sz w:val="24"/>
          <w:highlight w:val="none"/>
        </w:rPr>
        <w:t>（3）一方财务状况严重恶化，不能支付到期债务；</w:t>
      </w:r>
    </w:p>
    <w:p w14:paraId="12B90F7E">
      <w:pPr>
        <w:spacing w:line="460" w:lineRule="exact"/>
        <w:ind w:firstLine="480" w:firstLineChars="200"/>
        <w:rPr>
          <w:rFonts w:ascii="宋体" w:hAnsi="宋体"/>
          <w:sz w:val="24"/>
          <w:highlight w:val="none"/>
        </w:rPr>
      </w:pPr>
      <w:r>
        <w:rPr>
          <w:rFonts w:hint="eastAsia" w:ascii="宋体" w:hAnsi="宋体"/>
          <w:sz w:val="24"/>
          <w:highlight w:val="none"/>
        </w:rPr>
        <w:t>（4）出现了本合同规定的或法定的解除事由。</w:t>
      </w:r>
    </w:p>
    <w:p w14:paraId="529FC24E">
      <w:pPr>
        <w:tabs>
          <w:tab w:val="left" w:pos="824"/>
        </w:tabs>
        <w:spacing w:line="460" w:lineRule="exact"/>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因履行本合同引起的或者与本合同有关的争议，甲乙双方应当通过友好协商方式解决；如协商不能解决的，</w:t>
      </w:r>
      <w:r>
        <w:rPr>
          <w:rFonts w:hint="eastAsia" w:ascii="宋体" w:hAnsi="宋体" w:cs="宋体"/>
          <w:kern w:val="0"/>
          <w:sz w:val="24"/>
          <w:highlight w:val="none"/>
        </w:rPr>
        <w:t>双方均可向惠州市惠城区人民法院提起诉讼</w:t>
      </w:r>
      <w:r>
        <w:rPr>
          <w:rFonts w:ascii="宋体" w:hAnsi="宋体"/>
          <w:sz w:val="24"/>
          <w:highlight w:val="none"/>
        </w:rPr>
        <w:t>。</w:t>
      </w:r>
    </w:p>
    <w:p w14:paraId="28B1B433">
      <w:pPr>
        <w:tabs>
          <w:tab w:val="left" w:pos="824"/>
        </w:tabs>
        <w:spacing w:line="460" w:lineRule="exact"/>
        <w:ind w:firstLine="482" w:firstLineChars="200"/>
        <w:rPr>
          <w:highlight w:val="none"/>
        </w:rPr>
      </w:pPr>
      <w:r>
        <w:rPr>
          <w:rFonts w:hint="eastAsia" w:ascii="宋体" w:hAnsi="宋体"/>
          <w:b/>
          <w:bCs/>
          <w:sz w:val="24"/>
          <w:highlight w:val="none"/>
        </w:rPr>
        <w:t>十、保密条款</w:t>
      </w:r>
    </w:p>
    <w:p w14:paraId="416F5BC4">
      <w:pPr>
        <w:tabs>
          <w:tab w:val="left" w:pos="824"/>
        </w:tabs>
        <w:spacing w:line="460" w:lineRule="exact"/>
        <w:ind w:firstLine="480" w:firstLineChars="200"/>
        <w:rPr>
          <w:rFonts w:ascii="宋体" w:hAnsi="宋体"/>
          <w:sz w:val="24"/>
          <w:highlight w:val="none"/>
        </w:rPr>
      </w:pPr>
      <w:r>
        <w:rPr>
          <w:rFonts w:hint="eastAsia" w:ascii="宋体" w:hAnsi="宋体"/>
          <w:sz w:val="24"/>
          <w:highlight w:val="none"/>
        </w:rPr>
        <w:t>未经对方书面许可，任何一方不得向第三方提供或披露因本合同的签订和履行而得知的与对方业务有关的资料和信息，法律另有规定或本合同另有约定的除外。</w:t>
      </w:r>
    </w:p>
    <w:p w14:paraId="51D4DD5A">
      <w:pPr>
        <w:tabs>
          <w:tab w:val="left" w:pos="824"/>
        </w:tabs>
        <w:spacing w:line="460" w:lineRule="exact"/>
        <w:ind w:firstLine="482" w:firstLineChars="200"/>
        <w:rPr>
          <w:rFonts w:ascii="宋体" w:hAnsi="宋体"/>
          <w:b/>
          <w:sz w:val="24"/>
          <w:highlight w:val="none"/>
        </w:rPr>
      </w:pPr>
      <w:r>
        <w:rPr>
          <w:rFonts w:hint="eastAsia" w:ascii="宋体" w:hAnsi="宋体"/>
          <w:b/>
          <w:bCs/>
          <w:sz w:val="24"/>
          <w:highlight w:val="none"/>
        </w:rPr>
        <w:t>十一、</w:t>
      </w:r>
      <w:r>
        <w:rPr>
          <w:rFonts w:hint="eastAsia" w:ascii="宋体" w:hAnsi="宋体"/>
          <w:b/>
          <w:sz w:val="24"/>
          <w:highlight w:val="none"/>
        </w:rPr>
        <w:t>不可抗力</w:t>
      </w:r>
    </w:p>
    <w:p w14:paraId="7E75B1C8">
      <w:pPr>
        <w:tabs>
          <w:tab w:val="left" w:pos="824"/>
        </w:tabs>
        <w:spacing w:line="460" w:lineRule="exact"/>
        <w:ind w:firstLine="480" w:firstLineChars="200"/>
        <w:rPr>
          <w:rFonts w:ascii="宋体" w:hAnsi="宋体"/>
          <w:sz w:val="24"/>
          <w:highlight w:val="none"/>
        </w:rPr>
      </w:pPr>
      <w:r>
        <w:rPr>
          <w:rFonts w:ascii="宋体" w:hAnsi="宋体"/>
          <w:sz w:val="24"/>
          <w:highlight w:val="none"/>
        </w:rPr>
        <w:t>1.由于不可预见、不可避免、不可克服等不可抗力的原因，一方不能履行合同义务的，应当在不可抗力发生之日起</w:t>
      </w:r>
      <w:r>
        <w:rPr>
          <w:rFonts w:ascii="宋体" w:hAnsi="宋体"/>
          <w:sz w:val="24"/>
          <w:highlight w:val="none"/>
          <w:u w:val="single"/>
        </w:rPr>
        <w:t xml:space="preserve">     </w:t>
      </w:r>
      <w:r>
        <w:rPr>
          <w:rFonts w:ascii="宋体" w:hAnsi="宋体"/>
          <w:sz w:val="24"/>
          <w:highlight w:val="none"/>
        </w:rPr>
        <w:t>天内以书面形式通知对方，证明不可抗力事件的存在。</w:t>
      </w:r>
    </w:p>
    <w:p w14:paraId="47A2DA95">
      <w:pPr>
        <w:tabs>
          <w:tab w:val="left" w:pos="824"/>
        </w:tabs>
        <w:spacing w:line="460" w:lineRule="exact"/>
        <w:ind w:firstLine="480" w:firstLineChars="200"/>
        <w:rPr>
          <w:rFonts w:ascii="宋体" w:hAnsi="宋体"/>
          <w:sz w:val="24"/>
          <w:highlight w:val="none"/>
        </w:rPr>
      </w:pPr>
      <w:r>
        <w:rPr>
          <w:rFonts w:ascii="宋体" w:hAnsi="宋体"/>
          <w:sz w:val="24"/>
          <w:highlight w:val="none"/>
        </w:rPr>
        <w:t>2.不可抗力事件发生后，甲方和乙方应当积极寻求以合理的方式履行本合同。如不可抗力无法消除，致使合同目的无法实现的</w:t>
      </w:r>
      <w:r>
        <w:rPr>
          <w:rFonts w:hint="eastAsia" w:ascii="宋体" w:hAnsi="宋体"/>
          <w:sz w:val="24"/>
          <w:highlight w:val="none"/>
        </w:rPr>
        <w:t>，允许延期履行或修订合同，并根据情况可部分或全部免于承担违约责任。</w:t>
      </w:r>
      <w:r>
        <w:rPr>
          <w:rFonts w:ascii="宋体" w:hAnsi="宋体"/>
          <w:sz w:val="24"/>
          <w:highlight w:val="none"/>
        </w:rPr>
        <w:t>双方均有权解除合同，且均不互相索赔。</w:t>
      </w:r>
    </w:p>
    <w:p w14:paraId="44E6C9CD">
      <w:pPr>
        <w:tabs>
          <w:tab w:val="left" w:pos="824"/>
        </w:tabs>
        <w:spacing w:line="460" w:lineRule="exact"/>
        <w:ind w:firstLine="480" w:firstLineChars="200"/>
        <w:rPr>
          <w:highlight w:val="none"/>
        </w:rPr>
      </w:pPr>
      <w:r>
        <w:rPr>
          <w:rFonts w:hint="eastAsia" w:ascii="宋体" w:hAnsi="宋体"/>
          <w:sz w:val="24"/>
          <w:highlight w:val="none"/>
        </w:rPr>
        <w:t xml:space="preserve">3.除不可抗力事件，任何一方不得违反本合同条款。 </w:t>
      </w:r>
    </w:p>
    <w:p w14:paraId="3CFC2D64">
      <w:pPr>
        <w:spacing w:line="460" w:lineRule="exact"/>
        <w:ind w:firstLine="482" w:firstLineChars="200"/>
        <w:rPr>
          <w:rFonts w:ascii="宋体" w:hAnsi="宋体"/>
          <w:b/>
          <w:sz w:val="24"/>
          <w:highlight w:val="none"/>
        </w:rPr>
      </w:pPr>
      <w:r>
        <w:rPr>
          <w:rFonts w:hint="eastAsia" w:ascii="宋体" w:hAnsi="宋体"/>
          <w:b/>
          <w:sz w:val="24"/>
          <w:highlight w:val="none"/>
        </w:rPr>
        <w:t>十二、税费</w:t>
      </w:r>
    </w:p>
    <w:p w14:paraId="35DE5B41">
      <w:pPr>
        <w:spacing w:line="460" w:lineRule="exact"/>
        <w:ind w:firstLine="480" w:firstLineChars="200"/>
        <w:rPr>
          <w:rFonts w:ascii="宋体"/>
          <w:sz w:val="24"/>
          <w:highlight w:val="none"/>
        </w:rPr>
      </w:pPr>
      <w:r>
        <w:rPr>
          <w:rFonts w:hint="eastAsia" w:ascii="宋体" w:hAnsi="宋体"/>
          <w:sz w:val="24"/>
          <w:highlight w:val="none"/>
        </w:rPr>
        <w:t>在中国境内、外发生的与本合同执行有关的一切税费均由乙方负担。</w:t>
      </w:r>
    </w:p>
    <w:p w14:paraId="1FCFCCD0">
      <w:pPr>
        <w:spacing w:line="460" w:lineRule="exact"/>
        <w:ind w:firstLine="482" w:firstLineChars="200"/>
        <w:rPr>
          <w:rFonts w:ascii="宋体"/>
          <w:b/>
          <w:sz w:val="24"/>
          <w:highlight w:val="none"/>
        </w:rPr>
      </w:pPr>
      <w:r>
        <w:rPr>
          <w:rFonts w:hint="eastAsia" w:ascii="宋体" w:hAnsi="宋体"/>
          <w:b/>
          <w:sz w:val="24"/>
          <w:highlight w:val="none"/>
        </w:rPr>
        <w:t>十三、其它</w:t>
      </w:r>
    </w:p>
    <w:p w14:paraId="2210CA03">
      <w:pPr>
        <w:spacing w:line="460" w:lineRule="exact"/>
        <w:ind w:firstLine="480" w:firstLineChars="200"/>
        <w:rPr>
          <w:rFonts w:ascii="宋体"/>
          <w:b/>
          <w:sz w:val="24"/>
          <w:highlight w:val="none"/>
        </w:rPr>
      </w:pPr>
      <w:r>
        <w:rPr>
          <w:rFonts w:hint="eastAsia" w:ascii="宋体" w:hAnsi="宋体"/>
          <w:sz w:val="24"/>
          <w:highlight w:val="none"/>
        </w:rPr>
        <w:t>1.本合同所有附件、采购文件、</w:t>
      </w:r>
      <w:r>
        <w:rPr>
          <w:rFonts w:hint="eastAsia" w:ascii="宋体" w:hAnsi="宋体"/>
          <w:sz w:val="24"/>
          <w:highlight w:val="none"/>
          <w:lang w:val="en-US" w:eastAsia="zh-CN"/>
        </w:rPr>
        <w:t>响应</w:t>
      </w:r>
      <w:r>
        <w:rPr>
          <w:rFonts w:hint="eastAsia" w:ascii="宋体" w:hAnsi="宋体"/>
          <w:sz w:val="24"/>
          <w:highlight w:val="none"/>
        </w:rPr>
        <w:t>文件、</w:t>
      </w:r>
      <w:r>
        <w:rPr>
          <w:rFonts w:hint="eastAsia" w:ascii="宋体" w:hAnsi="宋体"/>
          <w:sz w:val="24"/>
          <w:highlight w:val="none"/>
          <w:lang w:val="en-US" w:eastAsia="zh-CN"/>
        </w:rPr>
        <w:t>成交</w:t>
      </w:r>
      <w:r>
        <w:rPr>
          <w:rFonts w:hint="eastAsia" w:ascii="宋体" w:hAnsi="宋体"/>
          <w:sz w:val="24"/>
          <w:highlight w:val="none"/>
        </w:rPr>
        <w:t>通知书均为合同的有效组成部分，与本合同具有同等法律效力，乙方除按本合同约定的履行合同义务外，还应按其提供的投标文件中的承诺履行相关义务。</w:t>
      </w:r>
    </w:p>
    <w:p w14:paraId="6043724A">
      <w:pPr>
        <w:spacing w:line="460" w:lineRule="exact"/>
        <w:ind w:firstLine="480" w:firstLineChars="200"/>
        <w:rPr>
          <w:rFonts w:ascii="宋体"/>
          <w:sz w:val="24"/>
          <w:highlight w:val="none"/>
        </w:rPr>
      </w:pPr>
      <w:r>
        <w:rPr>
          <w:rFonts w:hint="eastAsia" w:ascii="宋体" w:hAnsi="宋体"/>
          <w:bCs/>
          <w:sz w:val="24"/>
          <w:highlight w:val="none"/>
        </w:rPr>
        <w:t>2.</w:t>
      </w:r>
      <w:r>
        <w:rPr>
          <w:rFonts w:hint="eastAsia" w:ascii="宋体" w:hAnsi="宋体"/>
          <w:sz w:val="24"/>
          <w:highlight w:val="none"/>
        </w:rPr>
        <w:t>在执行本合同的过程中，所有经双方签署确认的文件（包括会议纪要、补充协议、往来信函）即成为本合同的有效组成部分。</w:t>
      </w:r>
    </w:p>
    <w:p w14:paraId="5FA30EE7">
      <w:pPr>
        <w:spacing w:line="460" w:lineRule="exact"/>
        <w:ind w:firstLine="480" w:firstLineChars="200"/>
        <w:rPr>
          <w:rFonts w:ascii="宋体" w:hAnsi="宋体"/>
          <w:sz w:val="24"/>
          <w:highlight w:val="none"/>
        </w:rPr>
      </w:pPr>
      <w:r>
        <w:rPr>
          <w:rFonts w:hint="eastAsia" w:ascii="宋体" w:hAnsi="宋体"/>
          <w:sz w:val="24"/>
          <w:highlight w:val="none"/>
        </w:rPr>
        <w:t>3.如一方地址、电话、传真号码有变更，应在变更当日内书面通知对方，否则，应承担相应责任。</w:t>
      </w:r>
    </w:p>
    <w:p w14:paraId="11987F8F">
      <w:pPr>
        <w:spacing w:line="460" w:lineRule="exact"/>
        <w:ind w:firstLine="480" w:firstLineChars="200"/>
        <w:rPr>
          <w:rFonts w:ascii="宋体" w:hAnsi="宋体"/>
          <w:sz w:val="24"/>
          <w:highlight w:val="none"/>
        </w:rPr>
      </w:pPr>
      <w:r>
        <w:rPr>
          <w:rFonts w:hint="eastAsia" w:ascii="宋体" w:hAnsi="宋体"/>
          <w:sz w:val="24"/>
          <w:highlight w:val="none"/>
        </w:rPr>
        <w:t>4.除甲方事先书面同意外，乙方不得部分或全部转让其应履行的合同项下的义务。</w:t>
      </w:r>
    </w:p>
    <w:p w14:paraId="2C03B49C">
      <w:pPr>
        <w:spacing w:line="460" w:lineRule="exact"/>
        <w:ind w:firstLine="480" w:firstLineChars="200"/>
        <w:rPr>
          <w:rFonts w:ascii="宋体" w:hAnsi="宋体"/>
          <w:sz w:val="24"/>
          <w:highlight w:val="none"/>
        </w:rPr>
      </w:pPr>
      <w:r>
        <w:rPr>
          <w:rFonts w:hint="eastAsia" w:ascii="宋体" w:hAnsi="宋体"/>
          <w:sz w:val="24"/>
          <w:highlight w:val="none"/>
        </w:rPr>
        <w:t>5.本合同及相关附件中所涉及的有关名词和技术术语，其定义和解释如下：</w:t>
      </w:r>
    </w:p>
    <w:p w14:paraId="240ABE0F">
      <w:pPr>
        <w:spacing w:line="460" w:lineRule="exact"/>
        <w:ind w:firstLine="480" w:firstLineChars="200"/>
        <w:rPr>
          <w:rFonts w:ascii="宋体" w:hAnsi="宋体"/>
          <w:sz w:val="24"/>
          <w:highlight w:val="none"/>
        </w:rPr>
      </w:pPr>
      <w:r>
        <w:rPr>
          <w:rFonts w:hint="eastAsia" w:ascii="宋体" w:hAnsi="宋体"/>
          <w:sz w:val="24"/>
          <w:highlight w:val="none"/>
        </w:rPr>
        <w:t>（1）软件系统、项目等词除另有指明外，均指本合同项下由甲方出资，乙方承建的“年度维护服务 ”。</w:t>
      </w:r>
    </w:p>
    <w:p w14:paraId="71898812">
      <w:pPr>
        <w:spacing w:line="460" w:lineRule="exact"/>
        <w:ind w:firstLine="480" w:firstLineChars="200"/>
        <w:rPr>
          <w:rFonts w:ascii="宋体" w:hAnsi="宋体"/>
          <w:sz w:val="24"/>
          <w:highlight w:val="none"/>
        </w:rPr>
      </w:pPr>
      <w:r>
        <w:rPr>
          <w:rFonts w:hint="eastAsia" w:ascii="宋体" w:hAnsi="宋体"/>
          <w:sz w:val="24"/>
          <w:highlight w:val="none"/>
        </w:rPr>
        <w:t>（2）商业秘密：是指甲方、乙方双方各自所拥有的，不为公众所知的管理信息、方式、方法、顾客名单、数据、产品信息、销售渠道、技术诀窍、计算机文档和技术资料等，或由甲方、乙方双方在履行本合同过程中明确指明为商业秘密的、法律所认可的任何信息。</w:t>
      </w:r>
    </w:p>
    <w:p w14:paraId="336CD557">
      <w:pPr>
        <w:spacing w:line="460" w:lineRule="exact"/>
        <w:ind w:firstLine="480" w:firstLineChars="200"/>
        <w:rPr>
          <w:rFonts w:ascii="宋体" w:hAnsi="宋体"/>
          <w:sz w:val="24"/>
          <w:highlight w:val="none"/>
        </w:rPr>
      </w:pPr>
      <w:r>
        <w:rPr>
          <w:rFonts w:hint="eastAsia" w:ascii="宋体" w:hAnsi="宋体"/>
          <w:sz w:val="24"/>
          <w:highlight w:val="none"/>
        </w:rPr>
        <w:t>（3）工作日：是指国家所规定的节假日之外的所有工作日，未指明为工作日的日期指自然顺延的日期。</w:t>
      </w:r>
    </w:p>
    <w:p w14:paraId="31D51FB0">
      <w:pPr>
        <w:spacing w:line="460" w:lineRule="exact"/>
        <w:ind w:firstLine="480" w:firstLineChars="200"/>
        <w:rPr>
          <w:rFonts w:ascii="宋体" w:hAnsi="宋体"/>
          <w:sz w:val="24"/>
          <w:highlight w:val="none"/>
        </w:rPr>
      </w:pPr>
      <w:r>
        <w:rPr>
          <w:rFonts w:hint="eastAsia" w:ascii="宋体" w:hAnsi="宋体"/>
          <w:sz w:val="24"/>
          <w:highlight w:val="none"/>
        </w:rPr>
        <w:t>（4）规格：是指在技术或其它开发任务上所设定的关于硬件和软件的技术标准、规范。</w:t>
      </w:r>
    </w:p>
    <w:p w14:paraId="6BB1B994">
      <w:pPr>
        <w:spacing w:line="460" w:lineRule="exact"/>
        <w:ind w:firstLine="482" w:firstLineChars="200"/>
        <w:rPr>
          <w:rFonts w:ascii="宋体" w:hAnsi="宋体"/>
          <w:b/>
          <w:sz w:val="24"/>
          <w:highlight w:val="none"/>
        </w:rPr>
      </w:pPr>
      <w:r>
        <w:rPr>
          <w:rFonts w:hint="eastAsia" w:ascii="宋体" w:hAnsi="宋体"/>
          <w:b/>
          <w:sz w:val="24"/>
          <w:highlight w:val="none"/>
        </w:rPr>
        <w:t>十四、廉洁自律及其他条款</w:t>
      </w:r>
    </w:p>
    <w:p w14:paraId="3FD9A092">
      <w:pPr>
        <w:spacing w:line="460" w:lineRule="exact"/>
        <w:ind w:firstLine="480" w:firstLineChars="200"/>
        <w:rPr>
          <w:rFonts w:ascii="宋体" w:hAnsi="宋体"/>
          <w:sz w:val="24"/>
          <w:highlight w:val="none"/>
        </w:rPr>
      </w:pPr>
      <w:r>
        <w:rPr>
          <w:rFonts w:ascii="宋体" w:hAnsi="宋体"/>
          <w:sz w:val="24"/>
          <w:highlight w:val="none"/>
        </w:rPr>
        <w:t>甲乙双方应自觉遵守廉洁自律制度，严禁商业贿赂行为。如有违反，按照国家法律法规及医院规章制度进行处理。</w:t>
      </w:r>
    </w:p>
    <w:p w14:paraId="67957212">
      <w:pPr>
        <w:numPr>
          <w:ilvl w:val="0"/>
          <w:numId w:val="18"/>
        </w:numPr>
        <w:spacing w:line="460" w:lineRule="exact"/>
        <w:ind w:firstLine="482" w:firstLineChars="200"/>
        <w:rPr>
          <w:rFonts w:ascii="宋体" w:hAnsi="宋体"/>
          <w:b/>
          <w:sz w:val="24"/>
          <w:highlight w:val="none"/>
        </w:rPr>
      </w:pPr>
      <w:r>
        <w:rPr>
          <w:rFonts w:hint="eastAsia" w:ascii="宋体" w:hAnsi="宋体"/>
          <w:b/>
          <w:sz w:val="24"/>
          <w:highlight w:val="none"/>
        </w:rPr>
        <w:t>双方联系人</w:t>
      </w:r>
    </w:p>
    <w:p w14:paraId="7A956FE3">
      <w:pPr>
        <w:spacing w:line="46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为甲方项目联系人，乙方指定</w:t>
      </w:r>
      <w:r>
        <w:rPr>
          <w:rFonts w:ascii="宋体" w:hAnsi="宋体"/>
          <w:sz w:val="24"/>
          <w:highlight w:val="none"/>
          <w:u w:val="single"/>
        </w:rPr>
        <w:t xml:space="preserve">         </w:t>
      </w:r>
      <w:r>
        <w:rPr>
          <w:rFonts w:hint="eastAsia" w:ascii="宋体" w:hAnsi="宋体"/>
          <w:sz w:val="24"/>
          <w:highlight w:val="none"/>
        </w:rPr>
        <w:t>为乙方项目联系人。项目联系人承担以下责任：</w:t>
      </w:r>
    </w:p>
    <w:p w14:paraId="233CA61B">
      <w:pPr>
        <w:spacing w:line="460" w:lineRule="exact"/>
        <w:ind w:firstLine="480" w:firstLineChars="200"/>
        <w:rPr>
          <w:rFonts w:ascii="宋体" w:hAnsi="宋体"/>
          <w:sz w:val="24"/>
          <w:highlight w:val="none"/>
        </w:rPr>
      </w:pPr>
      <w:r>
        <w:rPr>
          <w:rFonts w:hint="eastAsia" w:ascii="宋体" w:hAnsi="宋体"/>
          <w:sz w:val="24"/>
          <w:highlight w:val="none"/>
        </w:rPr>
        <w:t>（1）对整个项目的进程负责。　　　　　　　</w:t>
      </w:r>
      <w:r>
        <w:rPr>
          <w:rFonts w:ascii="宋体" w:hAnsi="宋体"/>
          <w:sz w:val="24"/>
          <w:highlight w:val="none"/>
        </w:rPr>
        <w:t xml:space="preserve"> </w:t>
      </w:r>
      <w:r>
        <w:rPr>
          <w:rFonts w:hint="eastAsia" w:ascii="宋体" w:hAnsi="宋体"/>
          <w:sz w:val="24"/>
          <w:highlight w:val="none"/>
        </w:rPr>
        <w:t>　　　　　　　　　　　　　　　</w:t>
      </w:r>
    </w:p>
    <w:p w14:paraId="6AB130A5">
      <w:pPr>
        <w:spacing w:line="460" w:lineRule="exact"/>
        <w:ind w:firstLine="480" w:firstLineChars="200"/>
        <w:rPr>
          <w:rFonts w:ascii="宋体" w:hAnsi="宋体"/>
          <w:sz w:val="24"/>
          <w:highlight w:val="none"/>
        </w:rPr>
      </w:pPr>
      <w:r>
        <w:rPr>
          <w:rFonts w:hint="eastAsia" w:ascii="宋体" w:hAnsi="宋体"/>
          <w:sz w:val="24"/>
          <w:highlight w:val="none"/>
        </w:rPr>
        <w:t>（2）作为双方在项目上互相沟通，协调的主要人员。</w:t>
      </w:r>
      <w:r>
        <w:rPr>
          <w:rFonts w:ascii="宋体" w:hAnsi="宋体"/>
          <w:sz w:val="24"/>
          <w:highlight w:val="none"/>
        </w:rPr>
        <w:t xml:space="preserve">                                            </w:t>
      </w:r>
    </w:p>
    <w:p w14:paraId="4B878225">
      <w:pPr>
        <w:spacing w:line="460" w:lineRule="exact"/>
        <w:ind w:firstLine="480" w:firstLineChars="200"/>
        <w:rPr>
          <w:rFonts w:ascii="宋体" w:hAnsi="宋体"/>
          <w:sz w:val="24"/>
          <w:highlight w:val="none"/>
        </w:rPr>
      </w:pPr>
      <w:r>
        <w:rPr>
          <w:rFonts w:hint="eastAsia" w:ascii="宋体" w:hAnsi="宋体"/>
          <w:sz w:val="24"/>
          <w:highlight w:val="none"/>
        </w:rPr>
        <w:t>（3）定时、及时的向对方汇报，交流项目的进展情况。</w:t>
      </w:r>
      <w:r>
        <w:rPr>
          <w:rFonts w:ascii="宋体" w:hAnsi="宋体"/>
          <w:sz w:val="24"/>
          <w:highlight w:val="none"/>
        </w:rPr>
        <w:t xml:space="preserve">                                           </w:t>
      </w:r>
    </w:p>
    <w:p w14:paraId="198D555A">
      <w:pPr>
        <w:spacing w:line="460" w:lineRule="exact"/>
        <w:ind w:firstLine="480" w:firstLineChars="200"/>
        <w:rPr>
          <w:highlight w:val="none"/>
        </w:rPr>
      </w:pPr>
      <w:r>
        <w:rPr>
          <w:rFonts w:hint="eastAsia" w:ascii="宋体" w:hAnsi="宋体"/>
          <w:sz w:val="24"/>
          <w:highlight w:val="none"/>
        </w:rPr>
        <w:t>（4）一方变更项目联系人的，应当及时以书面形式通知另一方，未及时通知并影响本合同履行或造成损失的，应承担相应的责任。</w:t>
      </w:r>
    </w:p>
    <w:p w14:paraId="6D144959">
      <w:pPr>
        <w:spacing w:line="460" w:lineRule="exact"/>
        <w:ind w:firstLine="482" w:firstLineChars="200"/>
        <w:rPr>
          <w:rFonts w:ascii="宋体" w:hAnsi="宋体"/>
          <w:b/>
          <w:sz w:val="24"/>
          <w:highlight w:val="none"/>
        </w:rPr>
      </w:pPr>
      <w:r>
        <w:rPr>
          <w:rFonts w:hint="eastAsia" w:ascii="宋体" w:hAnsi="宋体"/>
          <w:b/>
          <w:sz w:val="24"/>
          <w:highlight w:val="none"/>
        </w:rPr>
        <w:t>十六、合同生效</w:t>
      </w:r>
    </w:p>
    <w:p w14:paraId="6D4E3332">
      <w:pPr>
        <w:spacing w:line="460" w:lineRule="exact"/>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本合同在甲乙双方</w:t>
      </w:r>
      <w:r>
        <w:rPr>
          <w:rFonts w:hint="eastAsia" w:ascii="宋体" w:hAnsi="宋体"/>
          <w:sz w:val="24"/>
          <w:highlight w:val="none"/>
          <w:lang w:val="en-US" w:eastAsia="zh-CN"/>
        </w:rPr>
        <w:t>法定代表人</w:t>
      </w:r>
      <w:r>
        <w:rPr>
          <w:rFonts w:hint="eastAsia" w:ascii="宋体" w:hAnsi="宋体"/>
          <w:sz w:val="24"/>
          <w:highlight w:val="none"/>
        </w:rPr>
        <w:t>或其授权代表签字盖章后生效。</w:t>
      </w:r>
    </w:p>
    <w:p w14:paraId="029FFAD1">
      <w:pPr>
        <w:spacing w:line="460" w:lineRule="exact"/>
        <w:ind w:firstLine="480" w:firstLineChars="200"/>
        <w:rPr>
          <w:rFonts w:hint="eastAsia" w:ascii="宋体" w:hAnsi="宋体"/>
          <w:sz w:val="24"/>
          <w:highlight w:val="none"/>
        </w:rPr>
      </w:pPr>
      <w:r>
        <w:rPr>
          <w:rFonts w:hint="eastAsia" w:ascii="宋体" w:hAnsi="宋体"/>
          <w:sz w:val="24"/>
          <w:highlight w:val="none"/>
        </w:rPr>
        <w:t>2.一式伍份，具有同等效力，甲方持肆份，乙方持壹份。</w:t>
      </w:r>
    </w:p>
    <w:p w14:paraId="1060201C">
      <w:pPr>
        <w:pStyle w:val="2"/>
        <w:numPr>
          <w:ilvl w:val="0"/>
          <w:numId w:val="0"/>
        </w:numPr>
        <w:ind w:leftChars="0"/>
        <w:rPr>
          <w:highlight w:val="none"/>
        </w:rPr>
      </w:pPr>
    </w:p>
    <w:p w14:paraId="03C558BC">
      <w:pPr>
        <w:rPr>
          <w:highlight w:val="none"/>
        </w:rPr>
      </w:pPr>
    </w:p>
    <w:p w14:paraId="6BC8127D">
      <w:pPr>
        <w:spacing w:line="460" w:lineRule="exact"/>
        <w:ind w:left="5519" w:leftChars="228" w:hanging="5040" w:hangingChars="2100"/>
        <w:jc w:val="left"/>
        <w:rPr>
          <w:rFonts w:ascii="宋体"/>
          <w:sz w:val="24"/>
          <w:highlight w:val="none"/>
        </w:rPr>
      </w:pPr>
      <w:r>
        <w:rPr>
          <w:rFonts w:hint="eastAsia" w:ascii="宋体" w:hAnsi="宋体" w:cs="宋体"/>
          <w:sz w:val="24"/>
          <w:highlight w:val="none"/>
        </w:rPr>
        <w:t>甲方：惠州市第一妇幼保健院            乙方：</w:t>
      </w:r>
    </w:p>
    <w:p w14:paraId="1273C882">
      <w:pPr>
        <w:spacing w:line="460" w:lineRule="exact"/>
        <w:ind w:left="5519" w:leftChars="228" w:hanging="5040" w:hangingChars="2100"/>
        <w:jc w:val="left"/>
        <w:rPr>
          <w:rFonts w:ascii="宋体"/>
          <w:sz w:val="24"/>
          <w:highlight w:val="none"/>
        </w:rPr>
      </w:pPr>
      <w:r>
        <w:rPr>
          <w:rFonts w:hint="eastAsia" w:ascii="宋体"/>
          <w:sz w:val="24"/>
          <w:highlight w:val="none"/>
          <w:lang w:eastAsia="zh-CN"/>
        </w:rPr>
        <w:t>法定代表人</w:t>
      </w:r>
      <w:r>
        <w:rPr>
          <w:rFonts w:hint="eastAsia" w:ascii="宋体"/>
          <w:sz w:val="24"/>
          <w:highlight w:val="none"/>
        </w:rPr>
        <w:t xml:space="preserve">    </w:t>
      </w:r>
      <w:r>
        <w:rPr>
          <w:rFonts w:hint="eastAsia" w:ascii="宋体"/>
          <w:sz w:val="24"/>
          <w:highlight w:val="none"/>
          <w:lang w:val="en-US" w:eastAsia="zh-CN"/>
        </w:rPr>
        <w:t xml:space="preserve">                        </w:t>
      </w:r>
      <w:r>
        <w:rPr>
          <w:rFonts w:hint="eastAsia" w:ascii="宋体"/>
          <w:sz w:val="24"/>
          <w:highlight w:val="none"/>
          <w:lang w:eastAsia="zh-CN"/>
        </w:rPr>
        <w:t>法定代表人</w:t>
      </w:r>
    </w:p>
    <w:p w14:paraId="46BACD2A">
      <w:pPr>
        <w:spacing w:line="460" w:lineRule="exact"/>
        <w:ind w:firstLine="480" w:firstLineChars="200"/>
        <w:rPr>
          <w:rFonts w:ascii="宋体" w:hAnsi="宋体" w:cs="宋体"/>
          <w:sz w:val="24"/>
          <w:highlight w:val="none"/>
        </w:rPr>
      </w:pPr>
      <w:r>
        <w:rPr>
          <w:rFonts w:hint="eastAsia" w:ascii="宋体" w:hAnsi="宋体" w:cs="宋体"/>
          <w:sz w:val="24"/>
          <w:highlight w:val="none"/>
          <w:lang w:val="en-US" w:eastAsia="zh-CN"/>
        </w:rPr>
        <w:t>授权</w:t>
      </w:r>
      <w:r>
        <w:rPr>
          <w:rFonts w:hint="eastAsia" w:ascii="宋体" w:hAnsi="宋体" w:cs="宋体"/>
          <w:sz w:val="24"/>
          <w:highlight w:val="none"/>
        </w:rPr>
        <w:t xml:space="preserve">代表：                            </w:t>
      </w:r>
      <w:r>
        <w:rPr>
          <w:rFonts w:hint="eastAsia" w:ascii="宋体" w:hAnsi="宋体" w:cs="宋体"/>
          <w:sz w:val="24"/>
          <w:highlight w:val="none"/>
          <w:lang w:val="en-US" w:eastAsia="zh-CN"/>
        </w:rPr>
        <w:t>授权</w:t>
      </w:r>
      <w:r>
        <w:rPr>
          <w:rFonts w:hint="eastAsia" w:ascii="宋体" w:hAnsi="宋体" w:cs="宋体"/>
          <w:sz w:val="24"/>
          <w:highlight w:val="none"/>
        </w:rPr>
        <w:t>代表：</w:t>
      </w:r>
    </w:p>
    <w:p w14:paraId="5F8E73BF">
      <w:pPr>
        <w:spacing w:line="460" w:lineRule="exact"/>
        <w:ind w:left="5519" w:leftChars="228" w:hanging="5040" w:hangingChars="2100"/>
        <w:jc w:val="left"/>
        <w:rPr>
          <w:rFonts w:ascii="宋体" w:hAnsi="宋体" w:cs="宋体"/>
          <w:sz w:val="24"/>
          <w:highlight w:val="none"/>
        </w:rPr>
      </w:pPr>
      <w:r>
        <w:rPr>
          <w:rFonts w:hint="eastAsia" w:ascii="宋体" w:hAnsi="宋体" w:cs="宋体"/>
          <w:sz w:val="24"/>
          <w:highlight w:val="none"/>
        </w:rPr>
        <w:t>地址：惠州市演达四路5号              地址：</w:t>
      </w:r>
    </w:p>
    <w:p w14:paraId="256A774F">
      <w:pPr>
        <w:autoSpaceDE w:val="0"/>
        <w:autoSpaceDN w:val="0"/>
        <w:adjustRightInd w:val="0"/>
        <w:spacing w:line="460" w:lineRule="exact"/>
        <w:ind w:right="246" w:firstLine="480" w:firstLineChars="200"/>
        <w:rPr>
          <w:rFonts w:ascii="宋体" w:hAnsi="宋体" w:cs="宋体"/>
          <w:sz w:val="24"/>
          <w:highlight w:val="none"/>
        </w:rPr>
      </w:pPr>
      <w:r>
        <w:rPr>
          <w:rFonts w:hint="eastAsia" w:ascii="宋体" w:hAnsi="宋体" w:cs="宋体"/>
          <w:sz w:val="24"/>
          <w:highlight w:val="none"/>
        </w:rPr>
        <w:t xml:space="preserve">电话：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电话：</w:t>
      </w:r>
    </w:p>
    <w:p w14:paraId="2DF88545">
      <w:pPr>
        <w:spacing w:line="460" w:lineRule="exact"/>
        <w:ind w:firstLine="480" w:firstLineChars="200"/>
        <w:rPr>
          <w:rFonts w:ascii="宋体" w:hAnsi="宋体" w:cs="宋体"/>
          <w:sz w:val="24"/>
          <w:highlight w:val="none"/>
        </w:rPr>
      </w:pPr>
      <w:r>
        <w:rPr>
          <w:rFonts w:hint="eastAsia" w:ascii="宋体" w:hAnsi="宋体" w:cs="宋体"/>
          <w:sz w:val="24"/>
          <w:highlight w:val="none"/>
        </w:rPr>
        <w:t>传真： 0752-7806733                   传真：</w:t>
      </w:r>
    </w:p>
    <w:p w14:paraId="5C4E9BA4">
      <w:pPr>
        <w:spacing w:line="460" w:lineRule="exact"/>
        <w:ind w:firstLine="480" w:firstLineChars="200"/>
        <w:rPr>
          <w:rFonts w:ascii="宋体" w:hAnsi="宋体" w:cs="宋体"/>
          <w:b/>
          <w:sz w:val="24"/>
          <w:highlight w:val="none"/>
        </w:rPr>
      </w:pPr>
      <w:r>
        <w:rPr>
          <w:rFonts w:hint="eastAsia" w:ascii="宋体" w:hAnsi="宋体" w:cs="宋体"/>
          <w:sz w:val="24"/>
          <w:highlight w:val="none"/>
        </w:rPr>
        <w:t>日期：   年    月   日                日期：    年    月    日</w:t>
      </w:r>
    </w:p>
    <w:p w14:paraId="4D3ADFE0">
      <w:pPr>
        <w:rPr>
          <w:highlight w:val="none"/>
        </w:rPr>
      </w:pPr>
    </w:p>
    <w:p w14:paraId="332F2F15">
      <w:pPr>
        <w:pStyle w:val="10"/>
        <w:tabs>
          <w:tab w:val="left" w:pos="839"/>
        </w:tabs>
        <w:rPr>
          <w:highlight w:val="none"/>
        </w:rPr>
      </w:pPr>
    </w:p>
    <w:p w14:paraId="48AF3BA4">
      <w:pPr>
        <w:pStyle w:val="10"/>
        <w:tabs>
          <w:tab w:val="left" w:pos="839"/>
        </w:tabs>
        <w:rPr>
          <w:highlight w:val="none"/>
        </w:rPr>
      </w:pPr>
    </w:p>
    <w:p w14:paraId="780D84E9">
      <w:pPr>
        <w:pStyle w:val="10"/>
        <w:tabs>
          <w:tab w:val="left" w:pos="839"/>
        </w:tabs>
        <w:rPr>
          <w:highlight w:val="none"/>
        </w:rPr>
      </w:pPr>
    </w:p>
    <w:p w14:paraId="0FC54535">
      <w:pPr>
        <w:pStyle w:val="10"/>
        <w:tabs>
          <w:tab w:val="left" w:pos="839"/>
        </w:tabs>
        <w:rPr>
          <w:highlight w:val="none"/>
        </w:rPr>
      </w:pPr>
    </w:p>
    <w:p w14:paraId="1438F523">
      <w:pPr>
        <w:pStyle w:val="10"/>
        <w:tabs>
          <w:tab w:val="left" w:pos="839"/>
        </w:tabs>
        <w:rPr>
          <w:highlight w:val="none"/>
        </w:rPr>
      </w:pPr>
    </w:p>
    <w:p w14:paraId="126F7D26">
      <w:pPr>
        <w:pStyle w:val="10"/>
        <w:tabs>
          <w:tab w:val="left" w:pos="839"/>
        </w:tabs>
        <w:rPr>
          <w:highlight w:val="none"/>
        </w:rPr>
      </w:pPr>
    </w:p>
    <w:p w14:paraId="2307E259">
      <w:pPr>
        <w:rPr>
          <w:highlight w:val="none"/>
        </w:rPr>
      </w:pPr>
      <w:r>
        <w:rPr>
          <w:highlight w:val="none"/>
        </w:rPr>
        <w:br w:type="page"/>
      </w:r>
    </w:p>
    <w:p w14:paraId="1C0DC814">
      <w:pPr>
        <w:pStyle w:val="2"/>
        <w:numPr>
          <w:ilvl w:val="0"/>
          <w:numId w:val="0"/>
        </w:numPr>
        <w:jc w:val="left"/>
        <w:rPr>
          <w:sz w:val="28"/>
          <w:szCs w:val="30"/>
          <w:highlight w:val="none"/>
        </w:rPr>
      </w:pPr>
      <w:r>
        <w:rPr>
          <w:rFonts w:hint="eastAsia"/>
          <w:sz w:val="28"/>
          <w:szCs w:val="30"/>
          <w:highlight w:val="none"/>
        </w:rPr>
        <w:t>附件一：项目验收报告</w:t>
      </w:r>
    </w:p>
    <w:p w14:paraId="668A8DA4">
      <w:pPr>
        <w:adjustRightInd w:val="0"/>
        <w:snapToGrid w:val="0"/>
        <w:spacing w:after="200"/>
        <w:jc w:val="center"/>
        <w:rPr>
          <w:rFonts w:ascii="宋体" w:hAnsi="宋体" w:eastAsia="微软雅黑"/>
          <w:b/>
          <w:bCs/>
          <w:sz w:val="36"/>
          <w:szCs w:val="36"/>
          <w:highlight w:val="none"/>
        </w:rPr>
      </w:pPr>
      <w:r>
        <w:rPr>
          <w:rFonts w:hint="eastAsia" w:ascii="宋体" w:hAnsi="宋体" w:eastAsia="微软雅黑"/>
          <w:b/>
          <w:bCs/>
          <w:sz w:val="36"/>
          <w:szCs w:val="36"/>
          <w:highlight w:val="none"/>
          <w:u w:val="single"/>
        </w:rPr>
        <w:t xml:space="preserve">        </w:t>
      </w:r>
      <w:r>
        <w:rPr>
          <w:rFonts w:hint="eastAsia" w:ascii="宋体" w:hAnsi="宋体" w:eastAsia="微软雅黑"/>
          <w:b/>
          <w:bCs/>
          <w:sz w:val="36"/>
          <w:szCs w:val="36"/>
          <w:highlight w:val="none"/>
        </w:rPr>
        <w:t>项目验收报告</w:t>
      </w:r>
    </w:p>
    <w:p w14:paraId="4C810236">
      <w:pPr>
        <w:adjustRightInd w:val="0"/>
        <w:snapToGrid w:val="0"/>
        <w:spacing w:after="200"/>
        <w:ind w:right="844"/>
        <w:jc w:val="center"/>
        <w:rPr>
          <w:rFonts w:ascii="宋体" w:hAnsi="宋体" w:eastAsia="微软雅黑"/>
          <w:b/>
          <w:bCs/>
          <w:sz w:val="22"/>
          <w:szCs w:val="21"/>
          <w:highlight w:val="none"/>
        </w:rPr>
      </w:pPr>
      <w:r>
        <w:rPr>
          <w:rFonts w:hint="eastAsia" w:ascii="宋体" w:hAnsi="宋体" w:eastAsia="微软雅黑"/>
          <w:b/>
          <w:bCs/>
          <w:sz w:val="22"/>
          <w:szCs w:val="21"/>
          <w:highlight w:val="none"/>
        </w:rPr>
        <w:t>年    月    日</w:t>
      </w:r>
    </w:p>
    <w:tbl>
      <w:tblPr>
        <w:tblStyle w:val="1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1215"/>
        <w:gridCol w:w="5419"/>
      </w:tblGrid>
      <w:tr w14:paraId="0A74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1148722C">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甲方</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4ABA0E56">
            <w:pPr>
              <w:adjustRightInd w:val="0"/>
              <w:snapToGrid w:val="0"/>
              <w:spacing w:after="200"/>
              <w:ind w:firstLine="2860" w:firstLineChars="1300"/>
              <w:jc w:val="center"/>
              <w:rPr>
                <w:rFonts w:ascii="宋体" w:hAnsi="宋体" w:eastAsia="微软雅黑"/>
                <w:sz w:val="22"/>
                <w:highlight w:val="none"/>
              </w:rPr>
            </w:pPr>
            <w:r>
              <w:rPr>
                <w:rFonts w:hint="eastAsia" w:ascii="宋体" w:hAnsi="宋体" w:eastAsia="微软雅黑"/>
                <w:sz w:val="22"/>
                <w:szCs w:val="22"/>
                <w:highlight w:val="none"/>
              </w:rPr>
              <w:t>医院</w:t>
            </w:r>
          </w:p>
        </w:tc>
      </w:tr>
      <w:tr w14:paraId="2BC2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47243D4C">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合同号</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3464FC2D">
            <w:pPr>
              <w:adjustRightInd w:val="0"/>
              <w:snapToGrid w:val="0"/>
              <w:spacing w:after="200"/>
              <w:jc w:val="center"/>
              <w:rPr>
                <w:rFonts w:ascii="宋体" w:hAnsi="宋体" w:eastAsia="微软雅黑"/>
                <w:sz w:val="22"/>
                <w:highlight w:val="none"/>
              </w:rPr>
            </w:pPr>
          </w:p>
        </w:tc>
      </w:tr>
      <w:tr w14:paraId="416A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01C139D2">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合同名称</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75C6C5B2">
            <w:pPr>
              <w:adjustRightInd w:val="0"/>
              <w:snapToGrid w:val="0"/>
              <w:spacing w:after="200"/>
              <w:jc w:val="center"/>
              <w:rPr>
                <w:rFonts w:ascii="宋体" w:hAnsi="宋体" w:eastAsia="微软雅黑"/>
                <w:sz w:val="22"/>
                <w:highlight w:val="none"/>
              </w:rPr>
            </w:pPr>
          </w:p>
        </w:tc>
      </w:tr>
      <w:tr w14:paraId="0FCB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2745FB15">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甲方项目负责人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182C9B8A">
            <w:pPr>
              <w:adjustRightInd w:val="0"/>
              <w:snapToGrid w:val="0"/>
              <w:spacing w:after="200"/>
              <w:jc w:val="center"/>
              <w:rPr>
                <w:rFonts w:ascii="宋体" w:hAnsi="宋体" w:eastAsia="微软雅黑"/>
                <w:sz w:val="22"/>
                <w:highlight w:val="none"/>
              </w:rPr>
            </w:pPr>
          </w:p>
        </w:tc>
      </w:tr>
      <w:tr w14:paraId="68FDA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8" w:type="dxa"/>
            <w:tcBorders>
              <w:top w:val="single" w:color="auto" w:sz="4" w:space="0"/>
              <w:left w:val="single" w:color="auto" w:sz="4" w:space="0"/>
              <w:bottom w:val="single" w:color="auto" w:sz="4" w:space="0"/>
              <w:right w:val="single" w:color="auto" w:sz="4" w:space="0"/>
            </w:tcBorders>
            <w:noWrap w:val="0"/>
            <w:vAlign w:val="center"/>
          </w:tcPr>
          <w:p w14:paraId="076D27D2">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乙方项目负责人</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456F3D95">
            <w:pPr>
              <w:adjustRightInd w:val="0"/>
              <w:snapToGrid w:val="0"/>
              <w:spacing w:after="200"/>
              <w:jc w:val="center"/>
              <w:rPr>
                <w:rFonts w:ascii="宋体" w:hAnsi="宋体" w:eastAsia="微软雅黑"/>
                <w:sz w:val="22"/>
                <w:highlight w:val="none"/>
              </w:rPr>
            </w:pPr>
          </w:p>
        </w:tc>
      </w:tr>
      <w:tr w14:paraId="7FC3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5140A80C">
            <w:pPr>
              <w:adjustRightInd w:val="0"/>
              <w:snapToGrid w:val="0"/>
              <w:spacing w:after="200"/>
              <w:jc w:val="center"/>
              <w:rPr>
                <w:rFonts w:ascii="宋体" w:hAnsi="宋体" w:eastAsia="微软雅黑"/>
                <w:sz w:val="22"/>
                <w:highlight w:val="none"/>
              </w:rPr>
            </w:pPr>
            <w:r>
              <w:rPr>
                <w:rFonts w:hint="eastAsia" w:ascii="宋体" w:hAnsi="宋体" w:eastAsia="微软雅黑"/>
                <w:sz w:val="22"/>
                <w:szCs w:val="22"/>
                <w:highlight w:val="none"/>
              </w:rPr>
              <w:t>验收参加人员</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0818F402">
            <w:pPr>
              <w:adjustRightInd w:val="0"/>
              <w:snapToGrid w:val="0"/>
              <w:spacing w:after="200"/>
              <w:jc w:val="left"/>
              <w:rPr>
                <w:rFonts w:ascii="宋体" w:hAnsi="宋体" w:eastAsia="微软雅黑"/>
                <w:sz w:val="22"/>
                <w:highlight w:val="none"/>
              </w:rPr>
            </w:pPr>
            <w:r>
              <w:rPr>
                <w:rFonts w:hint="eastAsia" w:ascii="宋体" w:hAnsi="宋体" w:eastAsia="微软雅黑"/>
                <w:sz w:val="22"/>
                <w:szCs w:val="22"/>
                <w:highlight w:val="none"/>
              </w:rPr>
              <w:t>甲方：</w:t>
            </w:r>
          </w:p>
          <w:p w14:paraId="59C52537">
            <w:pPr>
              <w:adjustRightInd w:val="0"/>
              <w:snapToGrid w:val="0"/>
              <w:spacing w:after="200"/>
              <w:jc w:val="left"/>
              <w:rPr>
                <w:rFonts w:ascii="宋体" w:hAnsi="宋体" w:eastAsia="微软雅黑"/>
                <w:sz w:val="22"/>
                <w:highlight w:val="none"/>
              </w:rPr>
            </w:pPr>
            <w:r>
              <w:rPr>
                <w:rFonts w:hint="eastAsia" w:ascii="宋体" w:hAnsi="宋体" w:eastAsia="微软雅黑"/>
                <w:sz w:val="22"/>
                <w:szCs w:val="22"/>
                <w:highlight w:val="none"/>
              </w:rPr>
              <w:t>乙方：</w:t>
            </w:r>
          </w:p>
        </w:tc>
      </w:tr>
      <w:tr w14:paraId="7E5C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962" w:type="dxa"/>
            <w:gridSpan w:val="3"/>
            <w:tcBorders>
              <w:top w:val="single" w:color="auto" w:sz="4" w:space="0"/>
              <w:left w:val="single" w:color="auto" w:sz="4" w:space="0"/>
              <w:bottom w:val="single" w:color="auto" w:sz="4" w:space="0"/>
              <w:right w:val="single" w:color="auto" w:sz="4" w:space="0"/>
            </w:tcBorders>
            <w:noWrap w:val="0"/>
            <w:vAlign w:val="center"/>
          </w:tcPr>
          <w:p w14:paraId="5FF04F35">
            <w:pPr>
              <w:adjustRightInd w:val="0"/>
              <w:snapToGrid w:val="0"/>
              <w:spacing w:after="200"/>
              <w:jc w:val="center"/>
              <w:rPr>
                <w:rFonts w:ascii="宋体" w:hAnsi="宋体" w:eastAsia="微软雅黑"/>
                <w:b/>
                <w:sz w:val="22"/>
                <w:highlight w:val="none"/>
              </w:rPr>
            </w:pPr>
            <w:r>
              <w:rPr>
                <w:rFonts w:hint="eastAsia" w:ascii="宋体" w:hAnsi="宋体" w:eastAsia="微软雅黑"/>
                <w:b/>
                <w:sz w:val="22"/>
                <w:szCs w:val="22"/>
                <w:highlight w:val="none"/>
              </w:rPr>
              <w:t>主要完成工作</w:t>
            </w:r>
          </w:p>
        </w:tc>
      </w:tr>
      <w:tr w14:paraId="6296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Borders>
              <w:top w:val="single" w:color="auto" w:sz="4" w:space="0"/>
              <w:left w:val="single" w:color="auto" w:sz="4" w:space="0"/>
              <w:bottom w:val="single" w:color="auto" w:sz="4" w:space="0"/>
              <w:right w:val="single" w:color="auto" w:sz="4" w:space="0"/>
            </w:tcBorders>
            <w:noWrap w:val="0"/>
            <w:vAlign w:val="center"/>
          </w:tcPr>
          <w:p w14:paraId="7F320322">
            <w:pPr>
              <w:adjustRightInd w:val="0"/>
              <w:snapToGrid w:val="0"/>
              <w:spacing w:after="200"/>
              <w:jc w:val="left"/>
              <w:rPr>
                <w:rFonts w:ascii="宋体" w:hAnsi="宋体" w:eastAsia="微软雅黑"/>
                <w:sz w:val="22"/>
                <w:szCs w:val="22"/>
                <w:highlight w:val="none"/>
              </w:rPr>
            </w:pPr>
            <w:r>
              <w:rPr>
                <w:rFonts w:hint="eastAsia" w:ascii="宋体" w:hAnsi="宋体" w:eastAsia="微软雅黑"/>
                <w:sz w:val="22"/>
                <w:szCs w:val="22"/>
                <w:highlight w:val="none"/>
              </w:rPr>
              <w:t>1.乙方协助甲方，完成项目入场前的软件、硬件准备工作。</w:t>
            </w:r>
          </w:p>
          <w:p w14:paraId="10A60EF9">
            <w:pPr>
              <w:adjustRightInd w:val="0"/>
              <w:snapToGrid w:val="0"/>
              <w:spacing w:after="200"/>
              <w:jc w:val="left"/>
              <w:rPr>
                <w:rFonts w:ascii="宋体" w:hAnsi="宋体" w:eastAsia="微软雅黑"/>
                <w:sz w:val="22"/>
                <w:szCs w:val="22"/>
                <w:highlight w:val="none"/>
              </w:rPr>
            </w:pPr>
            <w:r>
              <w:rPr>
                <w:rFonts w:hint="eastAsia" w:ascii="宋体" w:hAnsi="宋体" w:eastAsia="微软雅黑"/>
                <w:sz w:val="22"/>
                <w:szCs w:val="22"/>
                <w:highlight w:val="none"/>
              </w:rPr>
              <w:t>2.乙方系统经安装调试符合《销售合同》的要求。</w:t>
            </w:r>
          </w:p>
          <w:p w14:paraId="66C9D352">
            <w:pPr>
              <w:adjustRightInd w:val="0"/>
              <w:snapToGrid w:val="0"/>
              <w:spacing w:after="200"/>
              <w:jc w:val="left"/>
              <w:rPr>
                <w:rFonts w:ascii="宋体" w:hAnsi="宋体" w:eastAsia="微软雅黑"/>
                <w:sz w:val="22"/>
                <w:szCs w:val="22"/>
                <w:highlight w:val="none"/>
              </w:rPr>
            </w:pPr>
            <w:r>
              <w:rPr>
                <w:rFonts w:hint="eastAsia" w:ascii="宋体" w:hAnsi="宋体" w:eastAsia="微软雅黑"/>
                <w:sz w:val="22"/>
                <w:szCs w:val="22"/>
                <w:highlight w:val="none"/>
              </w:rPr>
              <w:t>3.乙方完成甲方相关应用人员及维护人员的培训工作。</w:t>
            </w:r>
          </w:p>
          <w:p w14:paraId="35E97EE4">
            <w:pPr>
              <w:adjustRightInd w:val="0"/>
              <w:snapToGrid w:val="0"/>
              <w:spacing w:after="200"/>
              <w:jc w:val="left"/>
              <w:rPr>
                <w:rFonts w:ascii="宋体" w:hAnsi="宋体"/>
                <w:szCs w:val="22"/>
                <w:highlight w:val="none"/>
              </w:rPr>
            </w:pPr>
            <w:r>
              <w:rPr>
                <w:rFonts w:hint="eastAsia" w:ascii="宋体" w:hAnsi="宋体" w:eastAsia="微软雅黑"/>
                <w:sz w:val="22"/>
                <w:szCs w:val="22"/>
                <w:highlight w:val="none"/>
              </w:rPr>
              <w:t>4.乙方在项目撤场阶段与甲方信息科或临床科室项目负责人已完成相关文档资料移交。</w:t>
            </w:r>
          </w:p>
        </w:tc>
      </w:tr>
      <w:tr w14:paraId="107C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328" w:type="dxa"/>
            <w:tcBorders>
              <w:top w:val="single" w:color="auto" w:sz="4" w:space="0"/>
              <w:left w:val="single" w:color="auto" w:sz="4" w:space="0"/>
              <w:bottom w:val="single" w:color="auto" w:sz="4" w:space="0"/>
              <w:right w:val="single" w:color="auto" w:sz="4" w:space="0"/>
            </w:tcBorders>
            <w:noWrap w:val="0"/>
            <w:vAlign w:val="center"/>
          </w:tcPr>
          <w:p w14:paraId="78AF8D01">
            <w:pPr>
              <w:adjustRightInd w:val="0"/>
              <w:snapToGrid w:val="0"/>
              <w:spacing w:after="200"/>
              <w:jc w:val="center"/>
              <w:rPr>
                <w:rFonts w:ascii="宋体" w:hAnsi="宋体" w:eastAsia="微软雅黑"/>
                <w:b/>
                <w:sz w:val="22"/>
                <w:highlight w:val="none"/>
              </w:rPr>
            </w:pPr>
            <w:r>
              <w:rPr>
                <w:rFonts w:hint="eastAsia" w:ascii="宋体" w:hAnsi="宋体" w:eastAsia="微软雅黑"/>
                <w:b/>
                <w:sz w:val="22"/>
                <w:szCs w:val="22"/>
                <w:highlight w:val="none"/>
              </w:rPr>
              <w:t>甲方验收意见</w:t>
            </w:r>
          </w:p>
        </w:tc>
        <w:tc>
          <w:tcPr>
            <w:tcW w:w="6634" w:type="dxa"/>
            <w:gridSpan w:val="2"/>
            <w:tcBorders>
              <w:top w:val="single" w:color="auto" w:sz="4" w:space="0"/>
              <w:left w:val="single" w:color="auto" w:sz="4" w:space="0"/>
              <w:bottom w:val="single" w:color="auto" w:sz="4" w:space="0"/>
              <w:right w:val="single" w:color="auto" w:sz="4" w:space="0"/>
            </w:tcBorders>
            <w:noWrap w:val="0"/>
            <w:vAlign w:val="center"/>
          </w:tcPr>
          <w:p w14:paraId="4BDF828E">
            <w:pPr>
              <w:adjustRightInd w:val="0"/>
              <w:snapToGrid w:val="0"/>
              <w:spacing w:after="200"/>
              <w:jc w:val="center"/>
              <w:rPr>
                <w:rFonts w:ascii="宋体" w:hAnsi="宋体" w:eastAsia="微软雅黑"/>
                <w:sz w:val="22"/>
                <w:highlight w:val="none"/>
              </w:rPr>
            </w:pPr>
          </w:p>
        </w:tc>
      </w:tr>
      <w:tr w14:paraId="1A9C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4543" w:type="dxa"/>
            <w:gridSpan w:val="2"/>
            <w:tcBorders>
              <w:top w:val="single" w:color="auto" w:sz="4" w:space="0"/>
              <w:left w:val="single" w:color="auto" w:sz="4" w:space="0"/>
              <w:bottom w:val="single" w:color="auto" w:sz="4" w:space="0"/>
              <w:right w:val="single" w:color="auto" w:sz="4" w:space="0"/>
            </w:tcBorders>
            <w:noWrap w:val="0"/>
            <w:vAlign w:val="center"/>
          </w:tcPr>
          <w:p w14:paraId="5E6C6521">
            <w:pPr>
              <w:adjustRightInd w:val="0"/>
              <w:snapToGrid w:val="0"/>
              <w:spacing w:after="200"/>
              <w:jc w:val="center"/>
              <w:rPr>
                <w:rFonts w:ascii="宋体" w:hAnsi="宋体" w:eastAsia="微软雅黑"/>
                <w:b/>
                <w:sz w:val="22"/>
                <w:highlight w:val="none"/>
              </w:rPr>
            </w:pPr>
            <w:r>
              <w:rPr>
                <w:rFonts w:hint="eastAsia" w:ascii="宋体" w:hAnsi="宋体" w:eastAsia="微软雅黑"/>
                <w:b/>
                <w:sz w:val="22"/>
                <w:szCs w:val="22"/>
                <w:highlight w:val="none"/>
              </w:rPr>
              <w:t>甲方代表签字（盖章）</w:t>
            </w:r>
          </w:p>
        </w:tc>
        <w:tc>
          <w:tcPr>
            <w:tcW w:w="5419" w:type="dxa"/>
            <w:tcBorders>
              <w:top w:val="single" w:color="auto" w:sz="4" w:space="0"/>
              <w:left w:val="single" w:color="auto" w:sz="4" w:space="0"/>
              <w:bottom w:val="single" w:color="auto" w:sz="4" w:space="0"/>
              <w:right w:val="single" w:color="auto" w:sz="4" w:space="0"/>
            </w:tcBorders>
            <w:noWrap w:val="0"/>
            <w:vAlign w:val="center"/>
          </w:tcPr>
          <w:p w14:paraId="54FAFE57">
            <w:pPr>
              <w:adjustRightInd w:val="0"/>
              <w:snapToGrid w:val="0"/>
              <w:spacing w:after="200"/>
              <w:jc w:val="center"/>
              <w:rPr>
                <w:rFonts w:ascii="宋体" w:hAnsi="宋体" w:eastAsia="微软雅黑"/>
                <w:b/>
                <w:sz w:val="22"/>
                <w:highlight w:val="none"/>
              </w:rPr>
            </w:pPr>
            <w:r>
              <w:rPr>
                <w:rFonts w:hint="eastAsia" w:ascii="宋体" w:hAnsi="宋体" w:eastAsia="微软雅黑"/>
                <w:b/>
                <w:sz w:val="22"/>
                <w:szCs w:val="22"/>
                <w:highlight w:val="none"/>
              </w:rPr>
              <w:t>乙方代表签字（盖章）</w:t>
            </w:r>
          </w:p>
        </w:tc>
      </w:tr>
    </w:tbl>
    <w:p w14:paraId="4C942F2B">
      <w:pPr>
        <w:pStyle w:val="7"/>
        <w:ind w:firstLine="643"/>
        <w:rPr>
          <w:b/>
          <w:bCs/>
          <w:sz w:val="32"/>
          <w:szCs w:val="32"/>
          <w:highlight w:val="none"/>
        </w:rPr>
      </w:pPr>
    </w:p>
    <w:p w14:paraId="73F07BC4">
      <w:pPr>
        <w:pStyle w:val="7"/>
        <w:rPr>
          <w:highlight w:val="none"/>
        </w:rPr>
      </w:pPr>
    </w:p>
    <w:p w14:paraId="6465E4C4">
      <w:pPr>
        <w:pStyle w:val="10"/>
        <w:tabs>
          <w:tab w:val="left" w:pos="839"/>
        </w:tabs>
        <w:rPr>
          <w:highlight w:val="none"/>
        </w:rPr>
      </w:pPr>
    </w:p>
    <w:p w14:paraId="64A98D22">
      <w:pPr>
        <w:rPr>
          <w:rFonts w:hint="eastAsia" w:ascii="仿宋" w:hAnsi="仿宋" w:eastAsia="仿宋" w:cs="仿宋"/>
          <w:b/>
          <w:color w:val="auto"/>
          <w:kern w:val="0"/>
          <w:sz w:val="28"/>
          <w:szCs w:val="28"/>
          <w:highlight w:val="none"/>
        </w:rPr>
      </w:pPr>
    </w:p>
    <w:p w14:paraId="19AF8458">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5836AEA3">
      <w:pPr>
        <w:pStyle w:val="12"/>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1FEBA936">
      <w:pPr>
        <w:pStyle w:val="12"/>
        <w:adjustRightInd w:val="0"/>
        <w:snapToGrid w:val="0"/>
        <w:spacing w:line="440" w:lineRule="exact"/>
        <w:jc w:val="center"/>
        <w:rPr>
          <w:rFonts w:hint="eastAsia" w:ascii="仿宋" w:hAnsi="仿宋" w:eastAsia="仿宋" w:cs="仿宋"/>
          <w:b/>
          <w:color w:val="auto"/>
          <w:kern w:val="0"/>
          <w:sz w:val="28"/>
          <w:szCs w:val="28"/>
          <w:highlight w:val="none"/>
        </w:rPr>
      </w:pPr>
    </w:p>
    <w:p w14:paraId="25FBDC53">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0C5B7AEA">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64B354F9">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，文件袋必须贴封条密封盖章，注明产品名称，</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279989D4">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33EDE79C">
      <w:pPr>
        <w:spacing w:line="360" w:lineRule="auto"/>
        <w:ind w:left="-930" w:firstLine="480"/>
        <w:rPr>
          <w:rFonts w:ascii="仿宋" w:hAnsi="仿宋" w:eastAsia="仿宋" w:cs="仿宋"/>
          <w:b/>
          <w:bCs/>
          <w:color w:val="auto"/>
          <w:sz w:val="24"/>
          <w:highlight w:val="none"/>
          <w:u w:val="single"/>
        </w:rPr>
      </w:pPr>
    </w:p>
    <w:p w14:paraId="1748B9B5">
      <w:pPr>
        <w:spacing w:line="360" w:lineRule="auto"/>
        <w:ind w:left="-930" w:firstLine="480"/>
        <w:rPr>
          <w:rFonts w:ascii="仿宋" w:hAnsi="仿宋" w:eastAsia="仿宋" w:cs="仿宋"/>
          <w:b/>
          <w:bCs/>
          <w:color w:val="auto"/>
          <w:sz w:val="24"/>
          <w:highlight w:val="none"/>
          <w:u w:val="single"/>
        </w:rPr>
      </w:pPr>
    </w:p>
    <w:p w14:paraId="57AFF26D">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7B7BF858">
      <w:pPr>
        <w:pStyle w:val="12"/>
        <w:adjustRightInd w:val="0"/>
        <w:snapToGrid w:val="0"/>
        <w:spacing w:line="360" w:lineRule="auto"/>
        <w:jc w:val="center"/>
        <w:rPr>
          <w:rFonts w:hint="eastAsia" w:ascii="仿宋" w:hAnsi="仿宋" w:eastAsia="仿宋" w:cs="仿宋"/>
          <w:b/>
          <w:color w:val="auto"/>
          <w:kern w:val="0"/>
          <w:sz w:val="72"/>
          <w:szCs w:val="72"/>
          <w:highlight w:val="none"/>
        </w:rPr>
      </w:pPr>
    </w:p>
    <w:p w14:paraId="71890D82">
      <w:pPr>
        <w:pStyle w:val="12"/>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5B14A246">
      <w:pPr>
        <w:pStyle w:val="12"/>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5A49AD2A">
      <w:pPr>
        <w:pStyle w:val="12"/>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172332DD">
      <w:pPr>
        <w:pStyle w:val="12"/>
        <w:adjustRightInd w:val="0"/>
        <w:snapToGrid w:val="0"/>
        <w:spacing w:line="360" w:lineRule="auto"/>
        <w:rPr>
          <w:rFonts w:hint="eastAsia" w:ascii="仿宋" w:hAnsi="仿宋" w:eastAsia="仿宋" w:cs="仿宋"/>
          <w:b/>
          <w:color w:val="auto"/>
          <w:kern w:val="0"/>
          <w:sz w:val="24"/>
          <w:szCs w:val="24"/>
          <w:highlight w:val="none"/>
        </w:rPr>
      </w:pPr>
    </w:p>
    <w:p w14:paraId="52A8E18C">
      <w:pPr>
        <w:pStyle w:val="12"/>
        <w:adjustRightInd w:val="0"/>
        <w:snapToGrid w:val="0"/>
        <w:spacing w:line="440" w:lineRule="exact"/>
        <w:rPr>
          <w:rFonts w:hint="eastAsia" w:ascii="仿宋" w:hAnsi="仿宋" w:eastAsia="仿宋" w:cs="仿宋"/>
          <w:b/>
          <w:color w:val="auto"/>
          <w:kern w:val="0"/>
          <w:sz w:val="24"/>
          <w:szCs w:val="24"/>
          <w:highlight w:val="none"/>
        </w:rPr>
      </w:pPr>
    </w:p>
    <w:p w14:paraId="0462E6CA">
      <w:pPr>
        <w:pStyle w:val="12"/>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3DF553FC">
      <w:pPr>
        <w:pStyle w:val="12"/>
        <w:spacing w:line="360" w:lineRule="auto"/>
        <w:rPr>
          <w:rFonts w:hint="eastAsia" w:ascii="仿宋" w:hAnsi="仿宋" w:eastAsia="仿宋" w:cs="仿宋"/>
          <w:b/>
          <w:color w:val="auto"/>
          <w:sz w:val="28"/>
          <w:szCs w:val="28"/>
          <w:highlight w:val="none"/>
        </w:rPr>
      </w:pPr>
    </w:p>
    <w:p w14:paraId="404DAA21">
      <w:pPr>
        <w:pStyle w:val="12"/>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54D75525">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4DA1A99E">
      <w:pPr>
        <w:pStyle w:val="12"/>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25DEFFD2">
      <w:pPr>
        <w:pStyle w:val="12"/>
        <w:adjustRightInd w:val="0"/>
        <w:snapToGrid w:val="0"/>
        <w:spacing w:line="440" w:lineRule="exact"/>
        <w:rPr>
          <w:rFonts w:hint="eastAsia" w:ascii="仿宋" w:hAnsi="仿宋" w:eastAsia="仿宋" w:cs="仿宋"/>
          <w:b/>
          <w:color w:val="auto"/>
          <w:kern w:val="0"/>
          <w:sz w:val="24"/>
          <w:szCs w:val="24"/>
          <w:highlight w:val="none"/>
        </w:rPr>
      </w:pPr>
    </w:p>
    <w:p w14:paraId="3CE23627">
      <w:pPr>
        <w:pStyle w:val="12"/>
        <w:adjustRightInd w:val="0"/>
        <w:snapToGrid w:val="0"/>
        <w:spacing w:line="440" w:lineRule="exact"/>
        <w:rPr>
          <w:rFonts w:hint="eastAsia" w:ascii="仿宋" w:hAnsi="仿宋" w:eastAsia="仿宋" w:cs="仿宋"/>
          <w:b/>
          <w:color w:val="auto"/>
          <w:kern w:val="0"/>
          <w:sz w:val="24"/>
          <w:szCs w:val="24"/>
          <w:highlight w:val="none"/>
        </w:rPr>
      </w:pPr>
    </w:p>
    <w:p w14:paraId="7B69E49A">
      <w:pPr>
        <w:pStyle w:val="12"/>
        <w:adjustRightInd w:val="0"/>
        <w:snapToGrid w:val="0"/>
        <w:spacing w:line="440" w:lineRule="exact"/>
        <w:rPr>
          <w:rFonts w:hint="eastAsia" w:ascii="仿宋" w:hAnsi="仿宋" w:eastAsia="仿宋" w:cs="仿宋"/>
          <w:b/>
          <w:color w:val="auto"/>
          <w:kern w:val="0"/>
          <w:sz w:val="24"/>
          <w:szCs w:val="24"/>
          <w:highlight w:val="none"/>
        </w:rPr>
      </w:pPr>
    </w:p>
    <w:p w14:paraId="680B3890">
      <w:pPr>
        <w:pStyle w:val="12"/>
        <w:adjustRightInd w:val="0"/>
        <w:snapToGrid w:val="0"/>
        <w:spacing w:line="440" w:lineRule="exact"/>
        <w:rPr>
          <w:rFonts w:hint="eastAsia" w:ascii="仿宋" w:hAnsi="仿宋" w:eastAsia="仿宋" w:cs="仿宋"/>
          <w:b/>
          <w:color w:val="auto"/>
          <w:kern w:val="0"/>
          <w:sz w:val="24"/>
          <w:szCs w:val="24"/>
          <w:highlight w:val="none"/>
        </w:rPr>
      </w:pPr>
    </w:p>
    <w:p w14:paraId="40EE79DF">
      <w:pPr>
        <w:pStyle w:val="12"/>
        <w:adjustRightInd w:val="0"/>
        <w:snapToGrid w:val="0"/>
        <w:spacing w:line="440" w:lineRule="exact"/>
        <w:rPr>
          <w:rFonts w:hint="eastAsia" w:ascii="仿宋" w:hAnsi="仿宋" w:eastAsia="仿宋" w:cs="仿宋"/>
          <w:b/>
          <w:color w:val="auto"/>
          <w:kern w:val="0"/>
          <w:sz w:val="24"/>
          <w:szCs w:val="24"/>
          <w:highlight w:val="none"/>
        </w:rPr>
      </w:pPr>
    </w:p>
    <w:p w14:paraId="1F820506">
      <w:pPr>
        <w:pStyle w:val="12"/>
        <w:adjustRightInd w:val="0"/>
        <w:snapToGrid w:val="0"/>
        <w:spacing w:line="440" w:lineRule="exact"/>
        <w:rPr>
          <w:rFonts w:hint="eastAsia" w:ascii="仿宋" w:hAnsi="仿宋" w:eastAsia="仿宋" w:cs="仿宋"/>
          <w:b/>
          <w:color w:val="auto"/>
          <w:kern w:val="0"/>
          <w:sz w:val="24"/>
          <w:szCs w:val="24"/>
          <w:highlight w:val="none"/>
        </w:rPr>
      </w:pPr>
    </w:p>
    <w:p w14:paraId="5D22175F">
      <w:pPr>
        <w:pStyle w:val="12"/>
        <w:adjustRightInd w:val="0"/>
        <w:snapToGrid w:val="0"/>
        <w:spacing w:line="440" w:lineRule="exact"/>
        <w:rPr>
          <w:rFonts w:hint="eastAsia" w:ascii="仿宋" w:hAnsi="仿宋" w:eastAsia="仿宋" w:cs="仿宋"/>
          <w:b/>
          <w:color w:val="auto"/>
          <w:kern w:val="0"/>
          <w:sz w:val="24"/>
          <w:szCs w:val="24"/>
          <w:highlight w:val="none"/>
        </w:rPr>
      </w:pPr>
    </w:p>
    <w:p w14:paraId="66C277B5">
      <w:pPr>
        <w:pStyle w:val="12"/>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响应供应商：                              公章</w:t>
      </w:r>
    </w:p>
    <w:p w14:paraId="169192C8">
      <w:pPr>
        <w:pStyle w:val="12"/>
        <w:adjustRightInd w:val="0"/>
        <w:snapToGrid w:val="0"/>
        <w:spacing w:line="440" w:lineRule="exact"/>
        <w:rPr>
          <w:rFonts w:hint="eastAsia" w:ascii="仿宋" w:hAnsi="仿宋" w:eastAsia="仿宋" w:cs="仿宋"/>
          <w:b/>
          <w:color w:val="auto"/>
          <w:kern w:val="0"/>
          <w:sz w:val="24"/>
          <w:szCs w:val="24"/>
          <w:highlight w:val="none"/>
        </w:rPr>
      </w:pPr>
    </w:p>
    <w:p w14:paraId="37080A88">
      <w:pPr>
        <w:pStyle w:val="12"/>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33EA92EE">
      <w:pPr>
        <w:pStyle w:val="12"/>
        <w:adjustRightInd w:val="0"/>
        <w:snapToGrid w:val="0"/>
        <w:spacing w:line="440" w:lineRule="exact"/>
        <w:rPr>
          <w:rFonts w:hint="eastAsia"/>
          <w:color w:val="auto"/>
          <w:highlight w:val="none"/>
        </w:rPr>
      </w:pPr>
      <w:r>
        <w:rPr>
          <w:color w:val="auto"/>
          <w:highlight w:val="none"/>
        </w:rPr>
        <w:br w:type="page"/>
      </w:r>
      <w:r>
        <w:rPr>
          <w:rFonts w:hint="eastAsia" w:ascii="仿宋" w:hAnsi="仿宋" w:eastAsia="仿宋" w:cs="仿宋"/>
          <w:b/>
          <w:bCs/>
          <w:color w:val="auto"/>
          <w:sz w:val="28"/>
          <w:highlight w:val="none"/>
        </w:rPr>
        <w:t>1 资格性/符合性自查表</w:t>
      </w:r>
    </w:p>
    <w:tbl>
      <w:tblPr>
        <w:tblStyle w:val="17"/>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2"/>
        <w:gridCol w:w="4264"/>
        <w:gridCol w:w="1849"/>
        <w:gridCol w:w="1204"/>
      </w:tblGrid>
      <w:tr w14:paraId="2232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gridSpan w:val="2"/>
            <w:noWrap w:val="0"/>
            <w:vAlign w:val="top"/>
          </w:tcPr>
          <w:p w14:paraId="3325BF8B">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264" w:type="dxa"/>
            <w:noWrap w:val="0"/>
            <w:vAlign w:val="center"/>
          </w:tcPr>
          <w:p w14:paraId="36446376">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49" w:type="dxa"/>
            <w:noWrap w:val="0"/>
            <w:vAlign w:val="center"/>
          </w:tcPr>
          <w:p w14:paraId="75D1298E">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64E239BE">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6BFC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46" w:type="dxa"/>
            <w:vMerge w:val="restart"/>
            <w:noWrap w:val="0"/>
            <w:vAlign w:val="center"/>
          </w:tcPr>
          <w:p w14:paraId="10070B71">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052" w:type="dxa"/>
            <w:noWrap w:val="0"/>
            <w:vAlign w:val="center"/>
          </w:tcPr>
          <w:p w14:paraId="0469D53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准入条件         </w:t>
            </w:r>
          </w:p>
          <w:p w14:paraId="3AB590DA">
            <w:pPr>
              <w:ind w:left="40" w:leftChars="19"/>
              <w:jc w:val="center"/>
              <w:rPr>
                <w:rFonts w:hint="eastAsia"/>
                <w:color w:val="auto"/>
                <w:highlight w:val="none"/>
              </w:rPr>
            </w:pPr>
            <w:r>
              <w:rPr>
                <w:rFonts w:hint="eastAsia" w:ascii="仿宋" w:hAnsi="仿宋" w:eastAsia="仿宋" w:cs="仿宋"/>
                <w:color w:val="auto"/>
                <w:szCs w:val="21"/>
                <w:highlight w:val="none"/>
              </w:rPr>
              <w:t>(关于资格的声明函)</w:t>
            </w:r>
          </w:p>
        </w:tc>
        <w:tc>
          <w:tcPr>
            <w:tcW w:w="4264" w:type="dxa"/>
            <w:noWrap w:val="0"/>
            <w:vAlign w:val="center"/>
          </w:tcPr>
          <w:p w14:paraId="10A01C44">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1.具备《政府采购法》第二十二条规定的条件,且提供以下证明文件：</w:t>
            </w:r>
          </w:p>
          <w:p w14:paraId="19D99B03">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（1）在中华人民共和国境内注册的具有独立承担民事责任能力的法人或其他组织（提供营业执照等证明文件）；</w:t>
            </w:r>
          </w:p>
          <w:p w14:paraId="3152B1B3">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w:t>
            </w:r>
            <w:r>
              <w:rPr>
                <w:rFonts w:hint="eastAsia" w:ascii="仿宋" w:hAnsi="仿宋" w:eastAsia="仿宋" w:cs="仿宋"/>
                <w:color w:val="auto"/>
                <w:szCs w:val="21"/>
                <w:highlight w:val="none"/>
                <w:lang w:val="en-US" w:eastAsia="zh-CN"/>
              </w:rPr>
              <w:t>近</w:t>
            </w:r>
            <w:r>
              <w:rPr>
                <w:rFonts w:hint="eastAsia" w:ascii="仿宋" w:hAnsi="仿宋" w:eastAsia="仿宋" w:cs="仿宋"/>
                <w:color w:val="auto"/>
                <w:szCs w:val="21"/>
                <w:highlight w:val="none"/>
                <w:lang w:eastAsia="zh-CN"/>
              </w:rPr>
              <w:t>12个月内银行出具的资信证明（复印件）；</w:t>
            </w:r>
          </w:p>
          <w:p w14:paraId="70466616">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（3）比选截止时间近12个月内任意一个月的依法缴纳税收证明材料（如依法免税，则须提供相应文件证明其依法免税）；</w:t>
            </w:r>
          </w:p>
          <w:p w14:paraId="297FD574">
            <w:pPr>
              <w:ind w:left="40" w:leftChars="19"/>
              <w:jc w:val="left"/>
              <w:rPr>
                <w:rFonts w:hint="eastAsia" w:ascii="仿宋" w:hAnsi="仿宋" w:eastAsia="仿宋" w:cs="仿宋"/>
                <w:color w:val="auto"/>
                <w:highlight w:val="none"/>
              </w:rPr>
            </w:pPr>
            <w:r>
              <w:rPr>
                <w:rFonts w:hint="eastAsia" w:ascii="仿宋" w:hAnsi="仿宋" w:eastAsia="仿宋" w:cs="仿宋"/>
                <w:color w:val="auto"/>
                <w:szCs w:val="21"/>
                <w:highlight w:val="none"/>
                <w:lang w:eastAsia="zh-CN"/>
              </w:rPr>
              <w:t>（4）比选截止时间近12个月内任意一个月的依法缴纳社会保险凭据（如依法不需要缴纳社保，则须提供相应文件证明其依法不需要缴纳）；（5）履行合同所必需的设备和专业技术能力的证明材料或书面声明；</w:t>
            </w:r>
          </w:p>
          <w:p w14:paraId="3F54F0A3">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（5）履行合同所必需的设备和专业技术能力的证明材料或书面声明；</w:t>
            </w:r>
          </w:p>
          <w:p w14:paraId="6AF875F2">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（6）参加政府采购活动前3年内在经营活动中没有重大违法记录的书面声明。</w:t>
            </w:r>
          </w:p>
          <w:p w14:paraId="73B963EA">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42DDC479">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3.单位负责人为同一人或者存在直接控股、管理关系的不同供应商，不得参加同一包号比选或者未划分包号的同一采购项目。(供应商出具声明函)</w:t>
            </w:r>
          </w:p>
          <w:p w14:paraId="0057C9BE">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4.为本采购项目提供整体设计、规范编制或者项目管理、监理、检测等服务的供应商，不得再参加本采购项目的采购活动。(供应商出具声明函)</w:t>
            </w:r>
          </w:p>
          <w:p w14:paraId="4A34168E">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5.本项目不接受联合体参加比选，不允许响应供应商对各比选项目进行分包或转包(供应商出具声明函)。</w:t>
            </w:r>
          </w:p>
          <w:p w14:paraId="2E94494A">
            <w:pPr>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6.本项目是专门面向中小企业采购的项目。（提供《中小企业声明函》，具体格式文件见比选文件P60中小企业声明函（工程、服务），未按要求提供声明函的将导致响应无效）。本项目中小企业划分标准所属行业为：软件和信息技术服务业。</w:t>
            </w:r>
          </w:p>
          <w:p w14:paraId="24429398">
            <w:pPr>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7.已在招采办报名</w:t>
            </w:r>
            <w:r>
              <w:rPr>
                <w:rFonts w:hint="eastAsia" w:ascii="仿宋" w:hAnsi="仿宋" w:eastAsia="仿宋" w:cs="仿宋"/>
                <w:color w:val="auto"/>
                <w:sz w:val="24"/>
                <w:highlight w:val="none"/>
                <w:lang w:val="en-US" w:eastAsia="zh-CN"/>
              </w:rPr>
              <w:t>。</w:t>
            </w:r>
          </w:p>
        </w:tc>
        <w:tc>
          <w:tcPr>
            <w:tcW w:w="1849" w:type="dxa"/>
            <w:noWrap w:val="0"/>
            <w:vAlign w:val="center"/>
          </w:tcPr>
          <w:p w14:paraId="03186A97">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5BDB1191">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1CD9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A3D7CFB">
            <w:pPr>
              <w:jc w:val="center"/>
              <w:rPr>
                <w:rFonts w:hint="eastAsia"/>
                <w:color w:val="auto"/>
                <w:highlight w:val="none"/>
              </w:rPr>
            </w:pPr>
          </w:p>
        </w:tc>
        <w:tc>
          <w:tcPr>
            <w:tcW w:w="1052" w:type="dxa"/>
            <w:noWrap w:val="0"/>
            <w:vAlign w:val="center"/>
          </w:tcPr>
          <w:p w14:paraId="13A69F2C">
            <w:pPr>
              <w:ind w:left="-171"/>
              <w:jc w:val="center"/>
              <w:rPr>
                <w:rFonts w:hint="eastAsia"/>
                <w:color w:val="auto"/>
                <w:highlight w:val="none"/>
              </w:rPr>
            </w:pPr>
            <w:r>
              <w:rPr>
                <w:rFonts w:hint="eastAsia" w:ascii="仿宋" w:hAnsi="仿宋" w:eastAsia="仿宋" w:cs="仿宋"/>
                <w:color w:val="auto"/>
                <w:szCs w:val="21"/>
                <w:highlight w:val="none"/>
              </w:rPr>
              <w:t>其他要求</w:t>
            </w:r>
          </w:p>
        </w:tc>
        <w:tc>
          <w:tcPr>
            <w:tcW w:w="4264" w:type="dxa"/>
            <w:noWrap w:val="0"/>
            <w:vAlign w:val="top"/>
          </w:tcPr>
          <w:p w14:paraId="39CA40A5">
            <w:pPr>
              <w:spacing w:line="380" w:lineRule="exact"/>
              <w:ind w:left="40" w:leftChars="19"/>
              <w:jc w:val="left"/>
              <w:rPr>
                <w:rFonts w:hint="eastAsia"/>
                <w:color w:val="auto"/>
                <w:highlight w:val="none"/>
              </w:rPr>
            </w:pPr>
            <w:r>
              <w:rPr>
                <w:rFonts w:hint="eastAsia" w:ascii="仿宋" w:hAnsi="仿宋" w:eastAsia="仿宋" w:cs="仿宋"/>
                <w:color w:val="auto"/>
                <w:szCs w:val="21"/>
                <w:highlight w:val="none"/>
              </w:rPr>
              <w:t>按响应资料清单中规定提供“必须提交”的文件资料。</w:t>
            </w:r>
          </w:p>
        </w:tc>
        <w:tc>
          <w:tcPr>
            <w:tcW w:w="1849" w:type="dxa"/>
            <w:noWrap w:val="0"/>
            <w:vAlign w:val="center"/>
          </w:tcPr>
          <w:p w14:paraId="79D4CBED">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2788DFEF">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630B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352A0CA5">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052" w:type="dxa"/>
            <w:noWrap w:val="0"/>
            <w:vAlign w:val="center"/>
          </w:tcPr>
          <w:p w14:paraId="56FEB32A">
            <w:pPr>
              <w:ind w:left="40" w:leftChars="19"/>
              <w:jc w:val="center"/>
              <w:rPr>
                <w:rFonts w:hint="eastAsia"/>
                <w:color w:val="auto"/>
                <w:highlight w:val="none"/>
              </w:rPr>
            </w:pPr>
            <w:r>
              <w:rPr>
                <w:rFonts w:hint="eastAsia" w:ascii="仿宋" w:hAnsi="仿宋" w:eastAsia="仿宋" w:cs="仿宋"/>
                <w:color w:val="FF0000"/>
                <w:szCs w:val="21"/>
                <w:highlight w:val="none"/>
                <w:lang w:eastAsia="zh-CN"/>
              </w:rPr>
              <w:t>文件签署</w:t>
            </w:r>
          </w:p>
        </w:tc>
        <w:tc>
          <w:tcPr>
            <w:tcW w:w="4264" w:type="dxa"/>
            <w:noWrap w:val="0"/>
            <w:vAlign w:val="center"/>
          </w:tcPr>
          <w:p w14:paraId="262144CC">
            <w:pPr>
              <w:tabs>
                <w:tab w:val="left" w:pos="2880"/>
              </w:tabs>
              <w:spacing w:line="380" w:lineRule="exact"/>
              <w:jc w:val="left"/>
              <w:rPr>
                <w:rFonts w:hint="eastAsia"/>
                <w:color w:val="auto"/>
                <w:highlight w:val="none"/>
              </w:rPr>
            </w:pPr>
            <w:r>
              <w:rPr>
                <w:rFonts w:hint="eastAsia" w:ascii="仿宋" w:hAnsi="仿宋" w:eastAsia="仿宋" w:cs="仿宋"/>
                <w:color w:val="FF0000"/>
                <w:szCs w:val="21"/>
                <w:highlight w:val="none"/>
                <w:lang w:eastAsia="zh-CN"/>
              </w:rPr>
              <w:t>按照比选文件规定要求签署、盖章且响应文件有法定代表人签字或盖个人名章（或签字人有法定代表人有效授权书）的。</w:t>
            </w:r>
          </w:p>
        </w:tc>
        <w:tc>
          <w:tcPr>
            <w:tcW w:w="1849" w:type="dxa"/>
            <w:noWrap w:val="0"/>
            <w:vAlign w:val="center"/>
          </w:tcPr>
          <w:p w14:paraId="7882657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F9B392B">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162A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256524B">
            <w:pPr>
              <w:rPr>
                <w:rFonts w:hint="eastAsia"/>
                <w:color w:val="auto"/>
                <w:highlight w:val="none"/>
              </w:rPr>
            </w:pPr>
          </w:p>
        </w:tc>
        <w:tc>
          <w:tcPr>
            <w:tcW w:w="1052" w:type="dxa"/>
            <w:noWrap w:val="0"/>
            <w:vAlign w:val="center"/>
          </w:tcPr>
          <w:p w14:paraId="4EE0793E">
            <w:pPr>
              <w:ind w:left="40" w:leftChars="19"/>
              <w:jc w:val="center"/>
              <w:rPr>
                <w:rFonts w:hint="eastAsia"/>
                <w:color w:val="auto"/>
                <w:highlight w:val="none"/>
              </w:rPr>
            </w:pPr>
            <w:r>
              <w:rPr>
                <w:rFonts w:hint="eastAsia" w:ascii="仿宋" w:hAnsi="仿宋" w:eastAsia="仿宋" w:cs="仿宋"/>
                <w:color w:val="FF0000"/>
                <w:szCs w:val="21"/>
                <w:highlight w:val="none"/>
                <w:lang w:eastAsia="zh-CN"/>
              </w:rPr>
              <w:t>响应有效期</w:t>
            </w:r>
          </w:p>
        </w:tc>
        <w:tc>
          <w:tcPr>
            <w:tcW w:w="4264" w:type="dxa"/>
            <w:noWrap w:val="0"/>
            <w:vAlign w:val="center"/>
          </w:tcPr>
          <w:p w14:paraId="6387F3E4">
            <w:pPr>
              <w:tabs>
                <w:tab w:val="left" w:pos="2880"/>
              </w:tabs>
              <w:spacing w:line="380" w:lineRule="exact"/>
              <w:jc w:val="left"/>
              <w:rPr>
                <w:rFonts w:hint="eastAsia"/>
                <w:color w:val="auto"/>
                <w:highlight w:val="none"/>
              </w:rPr>
            </w:pPr>
            <w:r>
              <w:rPr>
                <w:rFonts w:hint="eastAsia" w:ascii="仿宋" w:hAnsi="仿宋" w:eastAsia="仿宋" w:cs="仿宋"/>
                <w:color w:val="FF0000"/>
                <w:szCs w:val="21"/>
                <w:highlight w:val="none"/>
                <w:lang w:eastAsia="zh-CN"/>
              </w:rPr>
              <w:t>响应函已提交并符合比选文件要求的，且响应有效期不少于比选文件中载明的响应有效期限；</w:t>
            </w:r>
          </w:p>
        </w:tc>
        <w:tc>
          <w:tcPr>
            <w:tcW w:w="1849" w:type="dxa"/>
            <w:noWrap w:val="0"/>
            <w:vAlign w:val="center"/>
          </w:tcPr>
          <w:p w14:paraId="68014AEF">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18FFA5F4">
            <w:pPr>
              <w:jc w:val="right"/>
              <w:rPr>
                <w:rFonts w:hint="eastAsia"/>
                <w:color w:val="auto"/>
                <w:highlight w:val="none"/>
              </w:rPr>
            </w:pPr>
            <w:r>
              <w:rPr>
                <w:rFonts w:hint="eastAsia" w:ascii="仿宋" w:hAnsi="仿宋" w:eastAsia="仿宋" w:cs="仿宋"/>
                <w:color w:val="auto"/>
                <w:szCs w:val="21"/>
                <w:highlight w:val="none"/>
              </w:rPr>
              <w:t>见响应文件第（）页</w:t>
            </w:r>
          </w:p>
        </w:tc>
      </w:tr>
      <w:tr w14:paraId="6FC1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0E96E32">
            <w:pPr>
              <w:rPr>
                <w:rFonts w:hint="eastAsia"/>
                <w:color w:val="auto"/>
                <w:highlight w:val="none"/>
              </w:rPr>
            </w:pPr>
          </w:p>
        </w:tc>
        <w:tc>
          <w:tcPr>
            <w:tcW w:w="1052" w:type="dxa"/>
            <w:noWrap w:val="0"/>
            <w:vAlign w:val="center"/>
          </w:tcPr>
          <w:p w14:paraId="69D23981">
            <w:pPr>
              <w:ind w:left="40" w:leftChars="19"/>
              <w:jc w:val="center"/>
              <w:rPr>
                <w:rFonts w:hint="eastAsia" w:ascii="仿宋" w:hAnsi="仿宋" w:eastAsia="仿宋" w:cs="仿宋"/>
                <w:color w:val="auto"/>
                <w:szCs w:val="21"/>
                <w:highlight w:val="none"/>
              </w:rPr>
            </w:pPr>
            <w:r>
              <w:rPr>
                <w:rFonts w:hint="eastAsia" w:ascii="仿宋" w:hAnsi="仿宋" w:eastAsia="仿宋" w:cs="仿宋"/>
                <w:color w:val="FF0000"/>
                <w:szCs w:val="21"/>
                <w:highlight w:val="none"/>
              </w:rPr>
              <w:t>商务要求评审</w:t>
            </w:r>
          </w:p>
        </w:tc>
        <w:tc>
          <w:tcPr>
            <w:tcW w:w="4264" w:type="dxa"/>
            <w:noWrap w:val="0"/>
            <w:vAlign w:val="center"/>
          </w:tcPr>
          <w:p w14:paraId="6F8638FE">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FF0000"/>
                <w:szCs w:val="21"/>
                <w:highlight w:val="none"/>
                <w:lang w:eastAsia="zh-CN"/>
              </w:rPr>
              <w:t>实质性（“★”项）商务条款是否全部完全响应；</w:t>
            </w:r>
          </w:p>
        </w:tc>
        <w:tc>
          <w:tcPr>
            <w:tcW w:w="1849" w:type="dxa"/>
            <w:noWrap w:val="0"/>
            <w:vAlign w:val="center"/>
          </w:tcPr>
          <w:p w14:paraId="7D85E3DD">
            <w:pPr>
              <w:ind w:left="-171"/>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51D3A601">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01CF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09FD81DD">
            <w:pPr>
              <w:rPr>
                <w:rFonts w:hint="eastAsia"/>
                <w:color w:val="auto"/>
                <w:highlight w:val="none"/>
              </w:rPr>
            </w:pPr>
          </w:p>
        </w:tc>
        <w:tc>
          <w:tcPr>
            <w:tcW w:w="1052" w:type="dxa"/>
            <w:noWrap w:val="0"/>
            <w:vAlign w:val="center"/>
          </w:tcPr>
          <w:p w14:paraId="11E83EA1">
            <w:pPr>
              <w:ind w:left="40" w:leftChars="19"/>
              <w:jc w:val="center"/>
              <w:rPr>
                <w:rFonts w:hint="eastAsia" w:ascii="仿宋" w:hAnsi="仿宋" w:eastAsia="仿宋" w:cs="仿宋"/>
                <w:color w:val="auto"/>
                <w:szCs w:val="21"/>
                <w:highlight w:val="none"/>
              </w:rPr>
            </w:pPr>
            <w:r>
              <w:rPr>
                <w:rFonts w:hint="eastAsia" w:ascii="仿宋" w:hAnsi="仿宋" w:eastAsia="仿宋" w:cs="仿宋"/>
                <w:color w:val="FF0000"/>
                <w:szCs w:val="21"/>
                <w:highlight w:val="none"/>
                <w:lang w:eastAsia="zh-CN"/>
              </w:rPr>
              <w:t>技术</w:t>
            </w:r>
            <w:r>
              <w:rPr>
                <w:rFonts w:hint="eastAsia" w:ascii="仿宋" w:hAnsi="仿宋" w:eastAsia="仿宋" w:cs="仿宋"/>
                <w:color w:val="FF0000"/>
                <w:szCs w:val="21"/>
                <w:highlight w:val="none"/>
              </w:rPr>
              <w:t>要求评审</w:t>
            </w:r>
          </w:p>
        </w:tc>
        <w:tc>
          <w:tcPr>
            <w:tcW w:w="4264" w:type="dxa"/>
            <w:noWrap w:val="0"/>
            <w:vAlign w:val="center"/>
          </w:tcPr>
          <w:p w14:paraId="679EEA36">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FF0000"/>
                <w:szCs w:val="21"/>
                <w:highlight w:val="none"/>
                <w:lang w:eastAsia="zh-CN"/>
              </w:rPr>
              <w:t>实质性（“★”项）技术要求条款是否全部完全响应；</w:t>
            </w:r>
          </w:p>
        </w:tc>
        <w:tc>
          <w:tcPr>
            <w:tcW w:w="1849" w:type="dxa"/>
            <w:noWrap w:val="0"/>
            <w:vAlign w:val="center"/>
          </w:tcPr>
          <w:p w14:paraId="419C89E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5141FE2">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39139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11CC3E5">
            <w:pPr>
              <w:rPr>
                <w:rFonts w:hint="eastAsia"/>
                <w:color w:val="auto"/>
                <w:highlight w:val="none"/>
              </w:rPr>
            </w:pPr>
          </w:p>
        </w:tc>
        <w:tc>
          <w:tcPr>
            <w:tcW w:w="1052" w:type="dxa"/>
            <w:noWrap w:val="0"/>
            <w:vAlign w:val="center"/>
          </w:tcPr>
          <w:p w14:paraId="377120BF">
            <w:pPr>
              <w:ind w:left="40" w:leftChars="19"/>
              <w:jc w:val="center"/>
              <w:rPr>
                <w:rFonts w:hint="eastAsia" w:ascii="仿宋" w:hAnsi="仿宋" w:eastAsia="仿宋" w:cs="仿宋"/>
                <w:color w:val="auto"/>
                <w:szCs w:val="21"/>
                <w:highlight w:val="none"/>
              </w:rPr>
            </w:pPr>
            <w:r>
              <w:rPr>
                <w:rFonts w:hint="eastAsia" w:ascii="仿宋" w:hAnsi="仿宋" w:eastAsia="仿宋" w:cs="仿宋"/>
                <w:color w:val="FF0000"/>
                <w:szCs w:val="21"/>
                <w:highlight w:val="none"/>
              </w:rPr>
              <w:t>报价合理性</w:t>
            </w:r>
          </w:p>
        </w:tc>
        <w:tc>
          <w:tcPr>
            <w:tcW w:w="4264" w:type="dxa"/>
            <w:noWrap w:val="0"/>
            <w:vAlign w:val="center"/>
          </w:tcPr>
          <w:p w14:paraId="52D8348D">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FF0000"/>
                <w:szCs w:val="21"/>
                <w:highlight w:val="none"/>
                <w:lang w:eastAsia="zh-CN"/>
              </w:rPr>
              <w:t>报价方案是唯一确定、报价合理。</w:t>
            </w:r>
            <w:r>
              <w:rPr>
                <w:rFonts w:hint="eastAsia" w:ascii="仿宋" w:hAnsi="仿宋" w:eastAsia="仿宋" w:cs="仿宋"/>
                <w:color w:val="FF0000"/>
                <w:szCs w:val="21"/>
                <w:highlight w:val="none"/>
                <w:lang w:val="en-US" w:eastAsia="zh-CN"/>
              </w:rPr>
              <w:t xml:space="preserve"> </w:t>
            </w:r>
            <w:r>
              <w:rPr>
                <w:rFonts w:hint="eastAsia" w:ascii="仿宋" w:hAnsi="仿宋" w:eastAsia="仿宋" w:cs="仿宋"/>
                <w:color w:val="FF0000"/>
                <w:szCs w:val="21"/>
                <w:highlight w:val="none"/>
                <w:lang w:eastAsia="zh-CN"/>
              </w:rPr>
              <w:t>如有分项报价要求，各分项报价不得高于各分项最高预算单价，合计总报价是固定唯一价且无超出采购预算或最高限价；</w:t>
            </w:r>
          </w:p>
        </w:tc>
        <w:tc>
          <w:tcPr>
            <w:tcW w:w="1849" w:type="dxa"/>
            <w:noWrap w:val="0"/>
            <w:vAlign w:val="center"/>
          </w:tcPr>
          <w:p w14:paraId="0FB21F9C">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009BD786">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5DF62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2F47EAD2">
            <w:pPr>
              <w:rPr>
                <w:rFonts w:hint="eastAsia"/>
                <w:color w:val="auto"/>
                <w:highlight w:val="none"/>
              </w:rPr>
            </w:pPr>
          </w:p>
        </w:tc>
        <w:tc>
          <w:tcPr>
            <w:tcW w:w="1052" w:type="dxa"/>
            <w:noWrap w:val="0"/>
            <w:vAlign w:val="center"/>
          </w:tcPr>
          <w:p w14:paraId="42C05FAB">
            <w:pPr>
              <w:ind w:left="40" w:leftChars="19"/>
              <w:jc w:val="center"/>
              <w:rPr>
                <w:rFonts w:hint="eastAsia" w:ascii="仿宋" w:hAnsi="仿宋" w:eastAsia="仿宋" w:cs="仿宋"/>
                <w:color w:val="auto"/>
                <w:szCs w:val="21"/>
                <w:highlight w:val="none"/>
              </w:rPr>
            </w:pPr>
            <w:r>
              <w:rPr>
                <w:rFonts w:hint="eastAsia" w:ascii="仿宋" w:hAnsi="仿宋" w:eastAsia="仿宋" w:cs="仿宋"/>
                <w:color w:val="FF0000"/>
                <w:szCs w:val="21"/>
                <w:highlight w:val="none"/>
                <w:lang w:eastAsia="zh-CN"/>
              </w:rPr>
              <w:t>其他</w:t>
            </w:r>
          </w:p>
        </w:tc>
        <w:tc>
          <w:tcPr>
            <w:tcW w:w="4264" w:type="dxa"/>
            <w:noWrap w:val="0"/>
            <w:vAlign w:val="center"/>
          </w:tcPr>
          <w:p w14:paraId="4DD0F9C1">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FF0000"/>
                <w:szCs w:val="21"/>
                <w:highlight w:val="none"/>
                <w:lang w:eastAsia="zh-CN"/>
              </w:rPr>
              <w:t>按有关法律、法规、规章和比选文件中规定的其他无效投标情形。</w:t>
            </w:r>
          </w:p>
        </w:tc>
        <w:tc>
          <w:tcPr>
            <w:tcW w:w="1849" w:type="dxa"/>
            <w:noWrap w:val="0"/>
            <w:vAlign w:val="center"/>
          </w:tcPr>
          <w:p w14:paraId="62614E3A">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F9B2F50">
            <w:pPr>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2C823C73">
      <w:pPr>
        <w:rPr>
          <w:rFonts w:hint="eastAsia"/>
          <w:color w:val="auto"/>
          <w:highlight w:val="none"/>
        </w:rPr>
      </w:pPr>
    </w:p>
    <w:p w14:paraId="041E36A5">
      <w:pPr>
        <w:pStyle w:val="9"/>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合格性和有效性审核的重要内容之一，响应供应商必须严格按照其内容及要求在响应文件中对应序列如实提供，对缺漏和不符合项将会直接导致响应无效！在对应的□打“√”，并标注页码。</w:t>
      </w:r>
    </w:p>
    <w:p w14:paraId="57F567A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DB6BEA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141B8B2F">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3969942">
      <w:pPr>
        <w:pStyle w:val="12"/>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7"/>
        <w:tblW w:w="86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5760"/>
        <w:gridCol w:w="1455"/>
      </w:tblGrid>
      <w:tr w14:paraId="44D8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72" w:type="dxa"/>
            <w:noWrap w:val="0"/>
            <w:vAlign w:val="center"/>
          </w:tcPr>
          <w:p w14:paraId="31F70224">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评审分项</w:t>
            </w:r>
          </w:p>
          <w:p w14:paraId="50A86C3E">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（评分标准）</w:t>
            </w:r>
          </w:p>
        </w:tc>
        <w:tc>
          <w:tcPr>
            <w:tcW w:w="5760" w:type="dxa"/>
            <w:noWrap w:val="0"/>
            <w:vAlign w:val="center"/>
          </w:tcPr>
          <w:p w14:paraId="18FC7554">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评审内容</w:t>
            </w:r>
          </w:p>
        </w:tc>
        <w:tc>
          <w:tcPr>
            <w:tcW w:w="1455" w:type="dxa"/>
            <w:noWrap w:val="0"/>
            <w:vAlign w:val="center"/>
          </w:tcPr>
          <w:p w14:paraId="6E01B639">
            <w:pPr>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证明文件</w:t>
            </w:r>
          </w:p>
        </w:tc>
      </w:tr>
      <w:tr w14:paraId="48A23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5C8C9038">
            <w:pPr>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报价情况</w:t>
            </w:r>
          </w:p>
        </w:tc>
        <w:tc>
          <w:tcPr>
            <w:tcW w:w="5760" w:type="dxa"/>
            <w:noWrap w:val="0"/>
            <w:vAlign w:val="center"/>
          </w:tcPr>
          <w:p w14:paraId="4C9C8A9C">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报价得分=（基准价/响应报价）×价格权值×100（以最低报价为基准价）</w:t>
            </w:r>
          </w:p>
        </w:tc>
        <w:tc>
          <w:tcPr>
            <w:tcW w:w="1455" w:type="dxa"/>
            <w:noWrap w:val="0"/>
            <w:vAlign w:val="center"/>
          </w:tcPr>
          <w:p w14:paraId="39473A0B">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122DC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472" w:type="dxa"/>
            <w:noWrap w:val="0"/>
            <w:vAlign w:val="center"/>
          </w:tcPr>
          <w:p w14:paraId="00FE9771">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对“服务要求”的响应程度（▲号条款）</w:t>
            </w:r>
          </w:p>
        </w:tc>
        <w:tc>
          <w:tcPr>
            <w:tcW w:w="5760" w:type="dxa"/>
            <w:noWrap w:val="0"/>
            <w:vAlign w:val="center"/>
          </w:tcPr>
          <w:p w14:paraId="27786636">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所投产品参数全部满足“服务要求”中带▲的重要参数，得18分； ①有一项不满足带▲的重要参数的得16分； ②有二项不满足带▲的重要参数的得14分； ③有三项不满足带▲的重要参数的得12分； 以此类推，当带▲号条款负偏离达到9项（含）以上时，视为严重偏离此评分项不得分。</w:t>
            </w:r>
          </w:p>
          <w:p w14:paraId="4EA10AF3">
            <w:pPr>
              <w:jc w:val="center"/>
              <w:rPr>
                <w:rFonts w:hint="eastAsia" w:ascii="仿宋" w:hAnsi="仿宋" w:eastAsia="仿宋" w:cs="仿宋"/>
                <w:b w:val="0"/>
                <w:bCs w:val="0"/>
                <w:color w:val="auto"/>
                <w:sz w:val="21"/>
                <w:szCs w:val="21"/>
                <w:highlight w:val="none"/>
              </w:rPr>
            </w:pPr>
          </w:p>
          <w:p w14:paraId="67E43D18">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响应文件未要求提供证明材料的技术参数，以投标文件格式技术和服务要求响应表为准。。</w:t>
            </w:r>
          </w:p>
        </w:tc>
        <w:tc>
          <w:tcPr>
            <w:tcW w:w="1455" w:type="dxa"/>
            <w:noWrap w:val="0"/>
            <w:vAlign w:val="center"/>
          </w:tcPr>
          <w:p w14:paraId="6734D964">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42FD8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472" w:type="dxa"/>
            <w:noWrap w:val="0"/>
            <w:vAlign w:val="center"/>
          </w:tcPr>
          <w:p w14:paraId="2A4B0AF7">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对本项目的熟悉程度</w:t>
            </w:r>
          </w:p>
        </w:tc>
        <w:tc>
          <w:tcPr>
            <w:tcW w:w="5760" w:type="dxa"/>
            <w:noWrap w:val="0"/>
            <w:vAlign w:val="center"/>
          </w:tcPr>
          <w:p w14:paraId="15BAC870">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根据响应供应商对本项目的熟悉程度（包括但不限于对本项目维护系统的熟悉程度、技术要点的了解和工作思路等）进行评分：</w:t>
            </w:r>
          </w:p>
          <w:p w14:paraId="755A292A">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对本项目维护系统的熟悉程度高、技术要点的了解程度高、工作思路清晰的得10分；</w:t>
            </w:r>
          </w:p>
          <w:p w14:paraId="5CDE28AD">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对本项目维护系统的熟悉程度较高、技术要点的了解程度较高、工作思路较清晰的得7分；</w:t>
            </w:r>
          </w:p>
          <w:p w14:paraId="35D8518C">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对本项目维护系统的熟悉程度一般、技术要点的了解程度一般、工作思路基本清晰的得4分；</w:t>
            </w:r>
          </w:p>
          <w:p w14:paraId="76E1DFEB">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无提供不得分。</w:t>
            </w:r>
          </w:p>
        </w:tc>
        <w:tc>
          <w:tcPr>
            <w:tcW w:w="1455" w:type="dxa"/>
            <w:noWrap w:val="0"/>
            <w:vAlign w:val="center"/>
          </w:tcPr>
          <w:p w14:paraId="5872B796">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见响应文件第（      ）页</w:t>
            </w:r>
          </w:p>
        </w:tc>
      </w:tr>
      <w:tr w14:paraId="59B8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489D5363">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项目组织计划</w:t>
            </w:r>
          </w:p>
        </w:tc>
        <w:tc>
          <w:tcPr>
            <w:tcW w:w="5760" w:type="dxa"/>
            <w:noWrap w:val="0"/>
            <w:vAlign w:val="center"/>
          </w:tcPr>
          <w:p w14:paraId="73775D70">
            <w:pPr>
              <w:jc w:val="center"/>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根据响应供应商提供的</w:t>
            </w:r>
            <w:r>
              <w:rPr>
                <w:rFonts w:hint="eastAsia" w:ascii="仿宋" w:hAnsi="仿宋" w:eastAsia="仿宋" w:cs="仿宋"/>
                <w:b w:val="0"/>
                <w:bCs w:val="0"/>
                <w:color w:val="auto"/>
                <w:sz w:val="21"/>
                <w:szCs w:val="21"/>
                <w:highlight w:val="none"/>
                <w:lang w:val="en-US" w:eastAsia="zh-CN"/>
              </w:rPr>
              <w:t>维保</w:t>
            </w:r>
            <w:r>
              <w:rPr>
                <w:rFonts w:hint="eastAsia" w:ascii="仿宋" w:hAnsi="仿宋" w:eastAsia="仿宋" w:cs="仿宋"/>
                <w:b w:val="0"/>
                <w:bCs w:val="0"/>
                <w:color w:val="auto"/>
                <w:sz w:val="21"/>
                <w:szCs w:val="21"/>
                <w:highlight w:val="none"/>
                <w:lang w:val="zh-CN" w:eastAsia="zh-CN"/>
              </w:rPr>
              <w:t>服务组织计划（包括但不限于技术人员安排、流程规定等因素）进行评分：</w:t>
            </w:r>
          </w:p>
          <w:p w14:paraId="44127378">
            <w:pPr>
              <w:jc w:val="center"/>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提供优质的服务，制定的</w:t>
            </w:r>
            <w:r>
              <w:rPr>
                <w:rFonts w:hint="eastAsia" w:ascii="仿宋" w:hAnsi="仿宋" w:eastAsia="仿宋" w:cs="仿宋"/>
                <w:b w:val="0"/>
                <w:bCs w:val="0"/>
                <w:color w:val="auto"/>
                <w:sz w:val="21"/>
                <w:szCs w:val="21"/>
                <w:highlight w:val="none"/>
                <w:lang w:val="en-US" w:eastAsia="zh-CN"/>
              </w:rPr>
              <w:t>维保</w:t>
            </w:r>
            <w:r>
              <w:rPr>
                <w:rFonts w:hint="eastAsia" w:ascii="仿宋" w:hAnsi="仿宋" w:eastAsia="仿宋" w:cs="仿宋"/>
                <w:b w:val="0"/>
                <w:bCs w:val="0"/>
                <w:color w:val="auto"/>
                <w:sz w:val="21"/>
                <w:szCs w:val="21"/>
                <w:highlight w:val="none"/>
                <w:lang w:val="zh-CN" w:eastAsia="zh-CN"/>
              </w:rPr>
              <w:t>服务组织计划非常合理完整的，得</w:t>
            </w: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lang w:val="zh-CN" w:eastAsia="zh-CN"/>
              </w:rPr>
              <w:t>分；</w:t>
            </w:r>
          </w:p>
          <w:p w14:paraId="37848F44">
            <w:pPr>
              <w:jc w:val="center"/>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提供良好的服务，制定的</w:t>
            </w:r>
            <w:r>
              <w:rPr>
                <w:rFonts w:hint="eastAsia" w:ascii="仿宋" w:hAnsi="仿宋" w:eastAsia="仿宋" w:cs="仿宋"/>
                <w:b w:val="0"/>
                <w:bCs w:val="0"/>
                <w:color w:val="auto"/>
                <w:sz w:val="21"/>
                <w:szCs w:val="21"/>
                <w:highlight w:val="none"/>
                <w:lang w:val="en-US" w:eastAsia="zh-CN"/>
              </w:rPr>
              <w:t>维保</w:t>
            </w:r>
            <w:r>
              <w:rPr>
                <w:rFonts w:hint="eastAsia" w:ascii="仿宋" w:hAnsi="仿宋" w:eastAsia="仿宋" w:cs="仿宋"/>
                <w:b w:val="0"/>
                <w:bCs w:val="0"/>
                <w:color w:val="auto"/>
                <w:sz w:val="21"/>
                <w:szCs w:val="21"/>
                <w:highlight w:val="none"/>
                <w:lang w:val="zh-CN" w:eastAsia="zh-CN"/>
              </w:rPr>
              <w:t>服务组织计划合理完整的，得</w:t>
            </w:r>
            <w:r>
              <w:rPr>
                <w:rFonts w:hint="eastAsia" w:ascii="仿宋" w:hAnsi="仿宋" w:eastAsia="仿宋" w:cs="仿宋"/>
                <w:b w:val="0"/>
                <w:bCs w:val="0"/>
                <w:color w:val="auto"/>
                <w:sz w:val="21"/>
                <w:szCs w:val="21"/>
                <w:highlight w:val="none"/>
                <w:lang w:val="en-US" w:eastAsia="zh-CN"/>
              </w:rPr>
              <w:t>7</w:t>
            </w:r>
            <w:r>
              <w:rPr>
                <w:rFonts w:hint="eastAsia" w:ascii="仿宋" w:hAnsi="仿宋" w:eastAsia="仿宋" w:cs="仿宋"/>
                <w:b w:val="0"/>
                <w:bCs w:val="0"/>
                <w:color w:val="auto"/>
                <w:sz w:val="21"/>
                <w:szCs w:val="21"/>
                <w:highlight w:val="none"/>
                <w:lang w:val="zh-CN" w:eastAsia="zh-CN"/>
              </w:rPr>
              <w:t>分；</w:t>
            </w:r>
          </w:p>
          <w:p w14:paraId="153E1353">
            <w:pPr>
              <w:jc w:val="center"/>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提供的服务一般，制定的</w:t>
            </w:r>
            <w:r>
              <w:rPr>
                <w:rFonts w:hint="eastAsia" w:ascii="仿宋" w:hAnsi="仿宋" w:eastAsia="仿宋" w:cs="仿宋"/>
                <w:b w:val="0"/>
                <w:bCs w:val="0"/>
                <w:color w:val="auto"/>
                <w:sz w:val="21"/>
                <w:szCs w:val="21"/>
                <w:highlight w:val="none"/>
                <w:lang w:val="en-US" w:eastAsia="zh-CN"/>
              </w:rPr>
              <w:t>维保</w:t>
            </w:r>
            <w:r>
              <w:rPr>
                <w:rFonts w:hint="eastAsia" w:ascii="仿宋" w:hAnsi="仿宋" w:eastAsia="仿宋" w:cs="仿宋"/>
                <w:b w:val="0"/>
                <w:bCs w:val="0"/>
                <w:color w:val="auto"/>
                <w:sz w:val="21"/>
                <w:szCs w:val="21"/>
                <w:highlight w:val="none"/>
                <w:lang w:val="zh-CN" w:eastAsia="zh-CN"/>
              </w:rPr>
              <w:t>服务组织计划较合理完整的，得</w:t>
            </w:r>
            <w:r>
              <w:rPr>
                <w:rFonts w:hint="eastAsia" w:ascii="仿宋" w:hAnsi="仿宋" w:eastAsia="仿宋" w:cs="仿宋"/>
                <w:b w:val="0"/>
                <w:bCs w:val="0"/>
                <w:color w:val="auto"/>
                <w:sz w:val="21"/>
                <w:szCs w:val="21"/>
                <w:highlight w:val="none"/>
                <w:lang w:val="en-US" w:eastAsia="zh-CN"/>
              </w:rPr>
              <w:t>4</w:t>
            </w:r>
            <w:r>
              <w:rPr>
                <w:rFonts w:hint="eastAsia" w:ascii="仿宋" w:hAnsi="仿宋" w:eastAsia="仿宋" w:cs="仿宋"/>
                <w:b w:val="0"/>
                <w:bCs w:val="0"/>
                <w:color w:val="auto"/>
                <w:sz w:val="21"/>
                <w:szCs w:val="21"/>
                <w:highlight w:val="none"/>
                <w:lang w:val="zh-CN" w:eastAsia="zh-CN"/>
              </w:rPr>
              <w:t>分；</w:t>
            </w:r>
          </w:p>
          <w:p w14:paraId="4E8CBB93">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zh-CN" w:eastAsia="zh-CN"/>
              </w:rPr>
              <w:t xml:space="preserve">无提供不得分。 </w:t>
            </w:r>
          </w:p>
        </w:tc>
        <w:tc>
          <w:tcPr>
            <w:tcW w:w="1455" w:type="dxa"/>
            <w:noWrap w:val="0"/>
            <w:vAlign w:val="center"/>
          </w:tcPr>
          <w:p w14:paraId="41C75DB7">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0EAB7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31CECBEF">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质量保证措施</w:t>
            </w:r>
            <w:r>
              <w:rPr>
                <w:rFonts w:hint="eastAsia" w:ascii="仿宋" w:hAnsi="仿宋" w:eastAsia="仿宋" w:cs="仿宋"/>
                <w:b w:val="0"/>
                <w:bCs w:val="0"/>
                <w:color w:val="auto"/>
                <w:sz w:val="21"/>
                <w:szCs w:val="21"/>
                <w:highlight w:val="none"/>
                <w:lang w:val="zh-CN" w:eastAsia="zh-CN"/>
              </w:rPr>
              <w:t>方案</w:t>
            </w:r>
          </w:p>
        </w:tc>
        <w:tc>
          <w:tcPr>
            <w:tcW w:w="5760" w:type="dxa"/>
            <w:noWrap w:val="0"/>
            <w:vAlign w:val="center"/>
          </w:tcPr>
          <w:p w14:paraId="5F7901A4">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根据响应供应商提供的质量保证措施方案进行评分：</w:t>
            </w:r>
          </w:p>
          <w:p w14:paraId="527CC9EA">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质量保证措施方案详细、具体、可行性强，得6分；</w:t>
            </w:r>
          </w:p>
          <w:p w14:paraId="4EB0C7F7">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质量保证措施方案较详细、较具体、具有可行性，得4分；</w:t>
            </w:r>
          </w:p>
          <w:p w14:paraId="314ECC87">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质量保证措施方案一般，可行性一般，得2分；</w:t>
            </w:r>
          </w:p>
          <w:p w14:paraId="6F9A498E">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无提供不得分。</w:t>
            </w:r>
          </w:p>
        </w:tc>
        <w:tc>
          <w:tcPr>
            <w:tcW w:w="1455" w:type="dxa"/>
            <w:noWrap w:val="0"/>
            <w:vAlign w:val="center"/>
          </w:tcPr>
          <w:p w14:paraId="0B9216A1">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520E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5C29777C">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安全保证措施</w:t>
            </w:r>
          </w:p>
        </w:tc>
        <w:tc>
          <w:tcPr>
            <w:tcW w:w="5760" w:type="dxa"/>
            <w:noWrap w:val="0"/>
            <w:vAlign w:val="center"/>
          </w:tcPr>
          <w:p w14:paraId="2D894CC5">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根据响应供应商提供的安全保障措施方案进行评分：</w:t>
            </w:r>
          </w:p>
          <w:p w14:paraId="6B572425">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安全保障措施方案科学合理，可操作性强，针对性强，得8分；</w:t>
            </w:r>
          </w:p>
          <w:p w14:paraId="4D5DB76F">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安全保障措施方案科学较合理，可操作性较强，针对性较强，得5分；</w:t>
            </w:r>
          </w:p>
          <w:p w14:paraId="316BC471">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安全保障措施方案科学基本合理，可操作性一般，针对性一般，得2分；</w:t>
            </w:r>
          </w:p>
          <w:p w14:paraId="1D8BF5A1">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无提供不得分。</w:t>
            </w:r>
          </w:p>
        </w:tc>
        <w:tc>
          <w:tcPr>
            <w:tcW w:w="1455" w:type="dxa"/>
            <w:noWrap w:val="0"/>
            <w:vAlign w:val="center"/>
          </w:tcPr>
          <w:p w14:paraId="33266AC7">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39131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1D7847A0">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应急措施</w:t>
            </w:r>
          </w:p>
        </w:tc>
        <w:tc>
          <w:tcPr>
            <w:tcW w:w="5760" w:type="dxa"/>
            <w:noWrap w:val="0"/>
            <w:vAlign w:val="center"/>
          </w:tcPr>
          <w:p w14:paraId="485FA60E">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根据响应供应商提供的应急保障措施进行评分：</w:t>
            </w:r>
          </w:p>
          <w:p w14:paraId="0005A3CD">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应急保障措施科学完整合理，可操作性强，针对性强，得8分；</w:t>
            </w:r>
          </w:p>
          <w:p w14:paraId="41644187">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应急保障措施较科学完整合理，可操作性较强，针对性较强，得5分；</w:t>
            </w:r>
          </w:p>
          <w:p w14:paraId="6E010283">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应急保障措施一般，可操作性一般，针对性一般，得2分；</w:t>
            </w:r>
          </w:p>
          <w:p w14:paraId="5017155C">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无提供不得分。</w:t>
            </w:r>
          </w:p>
        </w:tc>
        <w:tc>
          <w:tcPr>
            <w:tcW w:w="1455" w:type="dxa"/>
            <w:noWrap w:val="0"/>
            <w:vAlign w:val="center"/>
          </w:tcPr>
          <w:p w14:paraId="631E2AA7">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r w14:paraId="2866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72" w:type="dxa"/>
            <w:noWrap w:val="0"/>
            <w:vAlign w:val="center"/>
          </w:tcPr>
          <w:p w14:paraId="0CCF9071">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同类业绩情况</w:t>
            </w:r>
          </w:p>
        </w:tc>
        <w:tc>
          <w:tcPr>
            <w:tcW w:w="5760" w:type="dxa"/>
            <w:noWrap w:val="0"/>
            <w:vAlign w:val="center"/>
          </w:tcPr>
          <w:p w14:paraId="5B81B335">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根据投标人202</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年1月1日至今（以合同签订时间为准）的同类业绩情况进行评分，每提供一个业绩得</w:t>
            </w: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rPr>
              <w:t>分，本项最高得</w:t>
            </w:r>
            <w:r>
              <w:rPr>
                <w:rFonts w:hint="eastAsia" w:ascii="仿宋" w:hAnsi="仿宋" w:eastAsia="仿宋" w:cs="仿宋"/>
                <w:b w:val="0"/>
                <w:bCs w:val="0"/>
                <w:color w:val="auto"/>
                <w:sz w:val="21"/>
                <w:szCs w:val="21"/>
                <w:highlight w:val="none"/>
                <w:lang w:val="en-US" w:eastAsia="zh-CN"/>
              </w:rPr>
              <w:t>10</w:t>
            </w:r>
            <w:r>
              <w:rPr>
                <w:rFonts w:hint="eastAsia" w:ascii="仿宋" w:hAnsi="仿宋" w:eastAsia="仿宋" w:cs="仿宋"/>
                <w:b w:val="0"/>
                <w:bCs w:val="0"/>
                <w:color w:val="auto"/>
                <w:sz w:val="21"/>
                <w:szCs w:val="21"/>
                <w:highlight w:val="none"/>
              </w:rPr>
              <w:t>分。</w:t>
            </w:r>
          </w:p>
          <w:p w14:paraId="5F0E69EE">
            <w:pPr>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同类业绩证明文件是中标/成交通知书或合同关键页的复印件或扫描件（合同关键页是指包括：①能显示服务项目等相关信息；②签订合同双方的单位名称、合同项目名称；③签订合同双方的签章、盖章及签订日期），无提供不得分。））</w:t>
            </w:r>
          </w:p>
        </w:tc>
        <w:tc>
          <w:tcPr>
            <w:tcW w:w="1455" w:type="dxa"/>
            <w:noWrap w:val="0"/>
            <w:vAlign w:val="center"/>
          </w:tcPr>
          <w:p w14:paraId="10BC4894">
            <w:pPr>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见响应文件第（      ）页</w:t>
            </w:r>
          </w:p>
        </w:tc>
      </w:tr>
    </w:tbl>
    <w:p w14:paraId="18875011">
      <w:pPr>
        <w:jc w:val="center"/>
        <w:rPr>
          <w:rFonts w:hint="eastAsia" w:ascii="仿宋" w:hAnsi="仿宋" w:eastAsia="仿宋" w:cs="仿宋"/>
          <w:color w:val="auto"/>
          <w:sz w:val="24"/>
          <w:szCs w:val="24"/>
          <w:highlight w:val="none"/>
        </w:rPr>
      </w:pPr>
    </w:p>
    <w:p w14:paraId="16F3214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1127B4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0524F595">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E37F78C">
      <w:pPr>
        <w:rPr>
          <w:rFonts w:hint="eastAsia" w:ascii="仿宋" w:hAnsi="仿宋" w:eastAsia="仿宋" w:cs="仿宋"/>
          <w:color w:val="auto"/>
          <w:sz w:val="24"/>
          <w:highlight w:val="none"/>
        </w:rPr>
      </w:pPr>
    </w:p>
    <w:p w14:paraId="0AB44962">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r>
        <w:rPr>
          <w:rFonts w:hint="eastAsia" w:ascii="仿宋" w:hAnsi="仿宋" w:eastAsia="仿宋" w:cs="仿宋"/>
          <w:b/>
          <w:bCs/>
          <w:color w:val="auto"/>
          <w:sz w:val="28"/>
          <w:szCs w:val="28"/>
          <w:highlight w:val="none"/>
        </w:rPr>
        <w:t>3 资格性文件</w:t>
      </w:r>
    </w:p>
    <w:p w14:paraId="0EA57E63">
      <w:pPr>
        <w:pStyle w:val="6"/>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411ACF1C">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68C33CE0">
      <w:pPr>
        <w:autoSpaceDE w:val="0"/>
        <w:autoSpaceDN w:val="0"/>
        <w:spacing w:line="3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57D42DBA">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03BA5355">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4FE47EE3">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322A411D">
      <w:pPr>
        <w:autoSpaceDE w:val="0"/>
        <w:autoSpaceDN w:val="0"/>
        <w:adjustRightInd w:val="0"/>
        <w:spacing w:line="380" w:lineRule="exact"/>
        <w:ind w:right="246"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 服务部分</w:t>
      </w:r>
      <w:r>
        <w:rPr>
          <w:rFonts w:hint="eastAsia" w:ascii="仿宋" w:hAnsi="仿宋" w:eastAsia="仿宋" w:cs="仿宋"/>
          <w:color w:val="auto"/>
          <w:sz w:val="24"/>
          <w:highlight w:val="none"/>
        </w:rPr>
        <w:t>。</w:t>
      </w:r>
    </w:p>
    <w:p w14:paraId="2575F329">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76A37A19">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7E6E6B99">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3D7AC967">
      <w:pPr>
        <w:spacing w:line="38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59FDCFC3">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3B10D27B">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6718D289">
      <w:pPr>
        <w:spacing w:line="3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6.我方完全服从贵院采购流程与规定并尊重评委会所作的评定结果，同时清楚理解到报价最低并非意味着必定获得成交资格。</w:t>
      </w:r>
    </w:p>
    <w:p w14:paraId="3A3FE2D4">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响应供应商：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20CC0FD8">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867B82F">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1102C7EE">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7257D23D">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0CBDE18A">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响应供应商（法定代表人授权代表）代表签字：</w:t>
      </w:r>
      <w:r>
        <w:rPr>
          <w:rFonts w:hint="eastAsia" w:ascii="仿宋" w:hAnsi="仿宋" w:eastAsia="仿宋" w:cs="仿宋"/>
          <w:color w:val="auto"/>
          <w:sz w:val="24"/>
          <w:highlight w:val="none"/>
          <w:u w:val="single"/>
        </w:rPr>
        <w:t xml:space="preserve">             </w:t>
      </w:r>
    </w:p>
    <w:p w14:paraId="0B8FCD58">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响应供应商名称(公章)： </w:t>
      </w:r>
      <w:r>
        <w:rPr>
          <w:rFonts w:hint="eastAsia" w:ascii="仿宋" w:hAnsi="仿宋" w:eastAsia="仿宋" w:cs="仿宋"/>
          <w:color w:val="auto"/>
          <w:sz w:val="24"/>
          <w:highlight w:val="none"/>
          <w:u w:val="single"/>
        </w:rPr>
        <w:t xml:space="preserve">                  </w:t>
      </w:r>
    </w:p>
    <w:p w14:paraId="7411DCBF">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128572AA">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465B6F9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068DECE7">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5B30FCD4">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6A42D297">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65A1C1E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2421EC5E">
      <w:pPr>
        <w:rPr>
          <w:rFonts w:hint="eastAsia" w:ascii="仿宋" w:hAnsi="仿宋" w:eastAsia="仿宋" w:cs="仿宋"/>
          <w:color w:val="auto"/>
          <w:sz w:val="24"/>
          <w:highlight w:val="none"/>
        </w:rPr>
      </w:pPr>
    </w:p>
    <w:p w14:paraId="7080183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13157747">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签发日期：           单位：           （盖章）</w:t>
      </w:r>
    </w:p>
    <w:p w14:paraId="7EC68C2E">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附：代表人性别：            年龄：           身份证号码：</w:t>
      </w:r>
    </w:p>
    <w:p w14:paraId="48E10C67">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14:paraId="01B5B1D6">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014EEBD5">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25C52005">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4F5C86E3">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6A4D70DB">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3D8BFF6E">
      <w:pPr>
        <w:spacing w:line="44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6337222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20A19A1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27C109DE">
      <w:pPr>
        <w:spacing w:line="44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4AB99EB4">
      <w:pPr>
        <w:rPr>
          <w:rFonts w:hint="eastAsia" w:ascii="仿宋" w:hAnsi="仿宋" w:eastAsia="仿宋" w:cs="仿宋"/>
          <w:color w:val="auto"/>
          <w:sz w:val="28"/>
          <w:szCs w:val="28"/>
          <w:highlight w:val="none"/>
        </w:rPr>
      </w:pPr>
    </w:p>
    <w:p w14:paraId="2017C3DA">
      <w:pPr>
        <w:rPr>
          <w:rFonts w:hint="eastAsia" w:ascii="仿宋" w:hAnsi="仿宋" w:eastAsia="仿宋" w:cs="仿宋"/>
          <w:color w:val="auto"/>
          <w:sz w:val="28"/>
          <w:szCs w:val="28"/>
          <w:highlight w:val="none"/>
        </w:rPr>
      </w:pPr>
    </w:p>
    <w:p w14:paraId="250DBFC0">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626B53BB">
      <w:pPr>
        <w:rPr>
          <w:rFonts w:hint="eastAsia" w:ascii="仿宋" w:hAnsi="仿宋" w:eastAsia="仿宋" w:cs="仿宋"/>
          <w:b/>
          <w:color w:val="auto"/>
          <w:sz w:val="28"/>
          <w:szCs w:val="28"/>
          <w:highlight w:val="none"/>
        </w:rPr>
      </w:pPr>
    </w:p>
    <w:p w14:paraId="116A9FE8">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DD60323">
                            <w:pPr>
                              <w:jc w:val="center"/>
                              <w:rPr>
                                <w:rFonts w:hint="eastAsia" w:hAnsi="宋体"/>
                                <w:szCs w:val="21"/>
                              </w:rPr>
                            </w:pPr>
                          </w:p>
                          <w:p w14:paraId="3B97330F">
                            <w:pPr>
                              <w:jc w:val="center"/>
                              <w:rPr>
                                <w:rFonts w:hint="eastAsia" w:hAnsi="宋体"/>
                                <w:szCs w:val="21"/>
                              </w:rPr>
                            </w:pPr>
                          </w:p>
                          <w:p w14:paraId="67594A46">
                            <w:pPr>
                              <w:jc w:val="center"/>
                              <w:rPr>
                                <w:rFonts w:hint="eastAsia" w:hAnsi="宋体"/>
                                <w:szCs w:val="21"/>
                              </w:rPr>
                            </w:pPr>
                          </w:p>
                          <w:p w14:paraId="616F3352">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6DD60323">
                      <w:pPr>
                        <w:jc w:val="center"/>
                        <w:rPr>
                          <w:rFonts w:hint="eastAsia" w:hAnsi="宋体"/>
                          <w:szCs w:val="21"/>
                        </w:rPr>
                      </w:pPr>
                    </w:p>
                    <w:p w14:paraId="3B97330F">
                      <w:pPr>
                        <w:jc w:val="center"/>
                        <w:rPr>
                          <w:rFonts w:hint="eastAsia" w:hAnsi="宋体"/>
                          <w:szCs w:val="21"/>
                        </w:rPr>
                      </w:pPr>
                    </w:p>
                    <w:p w14:paraId="67594A46">
                      <w:pPr>
                        <w:jc w:val="center"/>
                        <w:rPr>
                          <w:rFonts w:hint="eastAsia" w:hAnsi="宋体"/>
                          <w:szCs w:val="21"/>
                        </w:rPr>
                      </w:pPr>
                    </w:p>
                    <w:p w14:paraId="616F3352">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02CABB4">
                            <w:pPr>
                              <w:jc w:val="center"/>
                              <w:rPr>
                                <w:rFonts w:hint="eastAsia" w:hAnsi="宋体"/>
                                <w:szCs w:val="21"/>
                              </w:rPr>
                            </w:pPr>
                          </w:p>
                          <w:p w14:paraId="18949722">
                            <w:pPr>
                              <w:jc w:val="center"/>
                              <w:rPr>
                                <w:rFonts w:hint="eastAsia" w:hAnsi="宋体"/>
                                <w:szCs w:val="21"/>
                              </w:rPr>
                            </w:pPr>
                          </w:p>
                          <w:p w14:paraId="1B30FB6F">
                            <w:pPr>
                              <w:jc w:val="center"/>
                              <w:rPr>
                                <w:rFonts w:hint="eastAsia" w:hAnsi="宋体"/>
                                <w:szCs w:val="21"/>
                              </w:rPr>
                            </w:pPr>
                          </w:p>
                          <w:p w14:paraId="191F10BD">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602CABB4">
                      <w:pPr>
                        <w:jc w:val="center"/>
                        <w:rPr>
                          <w:rFonts w:hint="eastAsia" w:hAnsi="宋体"/>
                          <w:szCs w:val="21"/>
                        </w:rPr>
                      </w:pPr>
                    </w:p>
                    <w:p w14:paraId="18949722">
                      <w:pPr>
                        <w:jc w:val="center"/>
                        <w:rPr>
                          <w:rFonts w:hint="eastAsia" w:hAnsi="宋体"/>
                          <w:szCs w:val="21"/>
                        </w:rPr>
                      </w:pPr>
                    </w:p>
                    <w:p w14:paraId="1B30FB6F">
                      <w:pPr>
                        <w:jc w:val="center"/>
                        <w:rPr>
                          <w:rFonts w:hint="eastAsia" w:hAnsi="宋体"/>
                          <w:szCs w:val="21"/>
                        </w:rPr>
                      </w:pPr>
                    </w:p>
                    <w:p w14:paraId="191F10BD">
                      <w:pPr>
                        <w:jc w:val="center"/>
                        <w:rPr>
                          <w:szCs w:val="21"/>
                        </w:rPr>
                      </w:pPr>
                      <w:r>
                        <w:rPr>
                          <w:rFonts w:hint="eastAsia" w:hAnsi="宋体"/>
                          <w:szCs w:val="21"/>
                        </w:rPr>
                        <w:t>法定代表人身份证复印件正面</w:t>
                      </w:r>
                    </w:p>
                  </w:txbxContent>
                </v:textbox>
              </v:shape>
            </w:pict>
          </mc:Fallback>
        </mc:AlternateContent>
      </w:r>
    </w:p>
    <w:p w14:paraId="15F33DE2">
      <w:pPr>
        <w:rPr>
          <w:rFonts w:hint="eastAsia" w:ascii="仿宋" w:hAnsi="仿宋" w:eastAsia="仿宋" w:cs="仿宋"/>
          <w:b/>
          <w:color w:val="auto"/>
          <w:sz w:val="28"/>
          <w:szCs w:val="28"/>
          <w:highlight w:val="none"/>
        </w:rPr>
      </w:pPr>
    </w:p>
    <w:p w14:paraId="2ACE8E90">
      <w:pPr>
        <w:spacing w:line="480" w:lineRule="exact"/>
        <w:rPr>
          <w:rFonts w:hint="eastAsia" w:ascii="仿宋" w:hAnsi="仿宋" w:eastAsia="仿宋" w:cs="仿宋"/>
          <w:b/>
          <w:color w:val="auto"/>
          <w:sz w:val="28"/>
          <w:szCs w:val="28"/>
          <w:highlight w:val="none"/>
        </w:rPr>
      </w:pPr>
    </w:p>
    <w:p w14:paraId="77834167">
      <w:pPr>
        <w:spacing w:line="480" w:lineRule="exact"/>
        <w:rPr>
          <w:rFonts w:hint="eastAsia" w:ascii="仿宋" w:hAnsi="仿宋" w:eastAsia="仿宋" w:cs="仿宋"/>
          <w:b/>
          <w:color w:val="auto"/>
          <w:sz w:val="28"/>
          <w:szCs w:val="28"/>
          <w:highlight w:val="none"/>
        </w:rPr>
      </w:pPr>
    </w:p>
    <w:p w14:paraId="1D9A3505">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000E86D4">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645E2C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40F29C01">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兹授权</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同志，为我方签订经济合同及办理其他事务代理人，其权限是：</w:t>
      </w:r>
    </w:p>
    <w:p w14:paraId="2CCACDA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6BFD342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授权单位：          （盖章）     法定代表人             （签名或盖私章）</w:t>
      </w:r>
    </w:p>
    <w:p w14:paraId="2158DB9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有效期限：至        年       月      日       签发日期：</w:t>
      </w:r>
    </w:p>
    <w:p w14:paraId="75308DF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附：代理人性别：        年龄：       职务：         身份证号码：</w:t>
      </w:r>
    </w:p>
    <w:p w14:paraId="60431B7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联系电话：</w:t>
      </w:r>
    </w:p>
    <w:p w14:paraId="65C2EEC0">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营业执照号码：                         经济性质：</w:t>
      </w:r>
    </w:p>
    <w:p w14:paraId="4FE1BE17">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主营（产）：</w:t>
      </w:r>
    </w:p>
    <w:p w14:paraId="2ABD9D9D">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兼营（产）：</w:t>
      </w:r>
    </w:p>
    <w:p w14:paraId="6A1EAB8D">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进口物品经营许可证号码：</w:t>
      </w:r>
    </w:p>
    <w:p w14:paraId="344F02A1">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主营：</w:t>
      </w:r>
    </w:p>
    <w:p w14:paraId="74AE603C">
      <w:pPr>
        <w:spacing w:line="480" w:lineRule="exact"/>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兼营：</w:t>
      </w:r>
    </w:p>
    <w:p w14:paraId="05069E77">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说明：1.法定代表人为企业事业单位、国家机关、社会团体的主要行政负责人。</w:t>
      </w:r>
    </w:p>
    <w:p w14:paraId="310CAF1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2.内容必须填写真实、清楚、涂改无效，不得转让、买卖。</w:t>
      </w:r>
    </w:p>
    <w:p w14:paraId="35FAA94B">
      <w:pPr>
        <w:spacing w:line="480" w:lineRule="exact"/>
        <w:ind w:firstLine="720" w:firstLineChars="300"/>
        <w:rPr>
          <w:rFonts w:hint="eastAsia" w:ascii="仿宋" w:hAnsi="仿宋" w:eastAsia="仿宋" w:cs="仿宋"/>
          <w:b/>
          <w:color w:val="auto"/>
          <w:sz w:val="24"/>
          <w:highlight w:val="none"/>
        </w:rPr>
      </w:pPr>
      <w:r>
        <w:rPr>
          <w:rFonts w:hint="eastAsia" w:ascii="仿宋" w:hAnsi="仿宋" w:eastAsia="仿宋" w:cs="仿宋"/>
          <w:color w:val="auto"/>
          <w:sz w:val="24"/>
          <w:highlight w:val="none"/>
        </w:rPr>
        <w:t>3.将此证明书提交对方作为合同附件</w:t>
      </w:r>
      <w:r>
        <w:rPr>
          <w:rFonts w:hint="eastAsia" w:ascii="仿宋" w:hAnsi="仿宋" w:eastAsia="仿宋" w:cs="仿宋"/>
          <w:b/>
          <w:color w:val="auto"/>
          <w:sz w:val="24"/>
          <w:highlight w:val="none"/>
        </w:rPr>
        <w:t>。</w:t>
      </w:r>
    </w:p>
    <w:p w14:paraId="58AA5584">
      <w:pPr>
        <w:spacing w:line="48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4.授权权限：全权代表本公司参与上述采购项目的响应，负责提供与签署确认一切文书资料，以及向贵方递交的任何补充承诺。</w:t>
      </w:r>
    </w:p>
    <w:p w14:paraId="68998726">
      <w:pPr>
        <w:spacing w:line="440" w:lineRule="exact"/>
        <w:ind w:firstLine="736" w:firstLineChars="307"/>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5.有效期限：必须超出响应文件中标注的响应有效期，自本单位盖公章之日起生效。</w:t>
      </w:r>
      <w:r>
        <w:rPr>
          <w:rFonts w:hint="eastAsia" w:ascii="仿宋" w:hAnsi="仿宋" w:eastAsia="仿宋" w:cs="仿宋"/>
          <w:color w:val="auto"/>
          <w:sz w:val="24"/>
          <w:highlight w:val="none"/>
          <w:lang w:val="en-US" w:eastAsia="zh-CN"/>
        </w:rPr>
        <w:t xml:space="preserve">  </w:t>
      </w:r>
    </w:p>
    <w:p w14:paraId="21B17F83">
      <w:pPr>
        <w:spacing w:line="440" w:lineRule="exact"/>
        <w:ind w:firstLine="736" w:firstLineChars="307"/>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6.响应签字代表为法定代表人，则本表不适用。</w:t>
      </w:r>
    </w:p>
    <w:p w14:paraId="47FFF486">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81F5D1E">
                            <w:pPr>
                              <w:jc w:val="center"/>
                              <w:rPr>
                                <w:rFonts w:hint="eastAsia" w:hAnsi="宋体"/>
                                <w:szCs w:val="21"/>
                              </w:rPr>
                            </w:pPr>
                          </w:p>
                          <w:p w14:paraId="661967CE">
                            <w:pPr>
                              <w:jc w:val="center"/>
                              <w:rPr>
                                <w:rFonts w:hint="eastAsia" w:hAnsi="宋体"/>
                                <w:szCs w:val="21"/>
                              </w:rPr>
                            </w:pPr>
                          </w:p>
                          <w:p w14:paraId="04993F54">
                            <w:pPr>
                              <w:jc w:val="center"/>
                              <w:rPr>
                                <w:rFonts w:hint="eastAsia" w:hAnsi="宋体"/>
                                <w:szCs w:val="21"/>
                              </w:rPr>
                            </w:pPr>
                          </w:p>
                          <w:p w14:paraId="05A65296">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181F5D1E">
                      <w:pPr>
                        <w:jc w:val="center"/>
                        <w:rPr>
                          <w:rFonts w:hint="eastAsia" w:hAnsi="宋体"/>
                          <w:szCs w:val="21"/>
                        </w:rPr>
                      </w:pPr>
                    </w:p>
                    <w:p w14:paraId="661967CE">
                      <w:pPr>
                        <w:jc w:val="center"/>
                        <w:rPr>
                          <w:rFonts w:hint="eastAsia" w:hAnsi="宋体"/>
                          <w:szCs w:val="21"/>
                        </w:rPr>
                      </w:pPr>
                    </w:p>
                    <w:p w14:paraId="04993F54">
                      <w:pPr>
                        <w:jc w:val="center"/>
                        <w:rPr>
                          <w:rFonts w:hint="eastAsia" w:hAnsi="宋体"/>
                          <w:szCs w:val="21"/>
                        </w:rPr>
                      </w:pPr>
                    </w:p>
                    <w:p w14:paraId="05A65296">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A5EFAE">
                            <w:pPr>
                              <w:jc w:val="center"/>
                              <w:rPr>
                                <w:rFonts w:hint="eastAsia" w:hAnsi="宋体"/>
                                <w:szCs w:val="21"/>
                              </w:rPr>
                            </w:pPr>
                          </w:p>
                          <w:p w14:paraId="1E57740A">
                            <w:pPr>
                              <w:jc w:val="center"/>
                              <w:rPr>
                                <w:rFonts w:hint="eastAsia" w:hAnsi="宋体"/>
                                <w:szCs w:val="21"/>
                              </w:rPr>
                            </w:pPr>
                          </w:p>
                          <w:p w14:paraId="60B00E47">
                            <w:pPr>
                              <w:jc w:val="center"/>
                              <w:rPr>
                                <w:rFonts w:hint="eastAsia" w:hAnsi="宋体"/>
                                <w:szCs w:val="21"/>
                              </w:rPr>
                            </w:pPr>
                          </w:p>
                          <w:p w14:paraId="1104A5EF">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77A5EFAE">
                      <w:pPr>
                        <w:jc w:val="center"/>
                        <w:rPr>
                          <w:rFonts w:hint="eastAsia" w:hAnsi="宋体"/>
                          <w:szCs w:val="21"/>
                        </w:rPr>
                      </w:pPr>
                    </w:p>
                    <w:p w14:paraId="1E57740A">
                      <w:pPr>
                        <w:jc w:val="center"/>
                        <w:rPr>
                          <w:rFonts w:hint="eastAsia" w:hAnsi="宋体"/>
                          <w:szCs w:val="21"/>
                        </w:rPr>
                      </w:pPr>
                    </w:p>
                    <w:p w14:paraId="60B00E47">
                      <w:pPr>
                        <w:jc w:val="center"/>
                        <w:rPr>
                          <w:rFonts w:hint="eastAsia" w:hAnsi="宋体"/>
                          <w:szCs w:val="21"/>
                        </w:rPr>
                      </w:pPr>
                    </w:p>
                    <w:p w14:paraId="1104A5EF">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F2BB9E">
                            <w:pPr>
                              <w:jc w:val="center"/>
                              <w:rPr>
                                <w:rFonts w:hint="eastAsia" w:hAnsi="宋体"/>
                                <w:szCs w:val="21"/>
                              </w:rPr>
                            </w:pPr>
                          </w:p>
                          <w:p w14:paraId="749798C4">
                            <w:pPr>
                              <w:jc w:val="center"/>
                              <w:rPr>
                                <w:rFonts w:hint="eastAsia" w:hAnsi="宋体"/>
                                <w:szCs w:val="21"/>
                              </w:rPr>
                            </w:pPr>
                          </w:p>
                          <w:p w14:paraId="312FBE29">
                            <w:pPr>
                              <w:jc w:val="center"/>
                              <w:rPr>
                                <w:rFonts w:hint="eastAsia" w:hAnsi="宋体"/>
                                <w:szCs w:val="21"/>
                              </w:rPr>
                            </w:pPr>
                          </w:p>
                          <w:p w14:paraId="4F8D0377">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30F2BB9E">
                      <w:pPr>
                        <w:jc w:val="center"/>
                        <w:rPr>
                          <w:rFonts w:hint="eastAsia" w:hAnsi="宋体"/>
                          <w:szCs w:val="21"/>
                        </w:rPr>
                      </w:pPr>
                    </w:p>
                    <w:p w14:paraId="749798C4">
                      <w:pPr>
                        <w:jc w:val="center"/>
                        <w:rPr>
                          <w:rFonts w:hint="eastAsia" w:hAnsi="宋体"/>
                          <w:szCs w:val="21"/>
                        </w:rPr>
                      </w:pPr>
                    </w:p>
                    <w:p w14:paraId="312FBE29">
                      <w:pPr>
                        <w:jc w:val="center"/>
                        <w:rPr>
                          <w:rFonts w:hint="eastAsia" w:hAnsi="宋体"/>
                          <w:szCs w:val="21"/>
                        </w:rPr>
                      </w:pPr>
                    </w:p>
                    <w:p w14:paraId="4F8D0377">
                      <w:pPr>
                        <w:jc w:val="center"/>
                        <w:rPr>
                          <w:szCs w:val="21"/>
                        </w:rPr>
                      </w:pPr>
                      <w:r>
                        <w:rPr>
                          <w:rFonts w:hint="eastAsia" w:hAnsi="宋体"/>
                          <w:szCs w:val="21"/>
                        </w:rPr>
                        <w:t>代理人身份证复印件</w:t>
                      </w:r>
                    </w:p>
                  </w:txbxContent>
                </v:textbox>
              </v:shape>
            </w:pict>
          </mc:Fallback>
        </mc:AlternateContent>
      </w:r>
    </w:p>
    <w:p w14:paraId="668D5DA8">
      <w:pPr>
        <w:spacing w:line="300" w:lineRule="auto"/>
        <w:jc w:val="center"/>
        <w:rPr>
          <w:rFonts w:hint="eastAsia" w:ascii="仿宋" w:hAnsi="仿宋" w:eastAsia="仿宋" w:cs="仿宋"/>
          <w:b/>
          <w:color w:val="auto"/>
          <w:sz w:val="28"/>
          <w:szCs w:val="28"/>
          <w:highlight w:val="none"/>
        </w:rPr>
      </w:pPr>
    </w:p>
    <w:p w14:paraId="10456230">
      <w:pPr>
        <w:spacing w:line="300" w:lineRule="auto"/>
        <w:jc w:val="center"/>
        <w:rPr>
          <w:rFonts w:hint="eastAsia" w:ascii="仿宋" w:hAnsi="仿宋" w:eastAsia="仿宋" w:cs="仿宋"/>
          <w:b/>
          <w:color w:val="auto"/>
          <w:sz w:val="28"/>
          <w:szCs w:val="28"/>
          <w:highlight w:val="none"/>
        </w:rPr>
      </w:pPr>
    </w:p>
    <w:p w14:paraId="2EA0FCE0">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7B2152F">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4B869AE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1AC65721">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响应邀请，本签字人愿意参加响应，提供比选文件中规定的货物及服务，并证明提交的下列文件和说明是准确的和真实的。</w:t>
      </w:r>
    </w:p>
    <w:p w14:paraId="57E0F23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4ACD702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71C804B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响应供应商人内部的财务报表复印件（新成立公司提供成立至今的月或季度财务报表复印件）；或③截至响应文件递交截止日近12个月内银行出具的资信证明（复印件）；</w:t>
      </w:r>
    </w:p>
    <w:p w14:paraId="6A33527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（3）比选截止时间近12个月内任意一个月的依法缴纳税收证明材料（如依法免税，则须提供相应文件证明其依法免税）；</w:t>
      </w:r>
    </w:p>
    <w:p w14:paraId="5F14190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（4）比选截止时间近12个月内任意一个月的依法缴纳社会保险凭据（如依法不需要缴纳社保，则须提供相应文件证明其依法不需要缴纳）；（5）履行合同所必需的设备和专业技术能力的证明材料或书面声明；</w:t>
      </w:r>
    </w:p>
    <w:p w14:paraId="68AF970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4C0D1E0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0C11FB1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4CD5BBC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7AB182F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4.为本采购项目提供整体设计、规范编制或者项目管理、监理、检测等服务的供应商，不得再参加本采购项目的采购活动。(供应商出具声明函)</w:t>
      </w:r>
    </w:p>
    <w:p w14:paraId="310BDCD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4EA6C35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本项目是专门面向中小企业采购的项目。（提供《中小企业声明函》，具体格式文件见比选文件P60中小企业声明函（工程、服务），未按要求提供声明函的将导致响应无效）。本项目中小企业划分标准所属行业为：软件和信息技术服务业。</w:t>
      </w:r>
    </w:p>
    <w:p w14:paraId="4A604CA6">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7.已在招采办报名。</w:t>
      </w:r>
    </w:p>
    <w:p w14:paraId="7EDA74D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2E5885BA">
      <w:pPr>
        <w:adjustRightInd w:val="0"/>
        <w:snapToGrid w:val="0"/>
        <w:spacing w:line="300" w:lineRule="auto"/>
        <w:rPr>
          <w:rFonts w:hint="eastAsia" w:ascii="仿宋" w:hAnsi="仿宋" w:eastAsia="仿宋" w:cs="仿宋"/>
          <w:color w:val="auto"/>
          <w:sz w:val="24"/>
          <w:highlight w:val="none"/>
        </w:rPr>
      </w:pPr>
    </w:p>
    <w:p w14:paraId="1C35AB7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43EE7CC">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3EA6EE2">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1FC9F07F">
      <w:pPr>
        <w:pStyle w:val="3"/>
        <w:rPr>
          <w:rFonts w:hint="eastAsia"/>
          <w:color w:val="auto"/>
          <w:sz w:val="24"/>
          <w:szCs w:val="24"/>
          <w:highlight w:val="none"/>
        </w:rPr>
      </w:pPr>
      <w:r>
        <w:rPr>
          <w:color w:val="auto"/>
          <w:sz w:val="24"/>
          <w:highlight w:val="none"/>
        </w:rPr>
        <w:br w:type="page"/>
      </w:r>
      <w:r>
        <w:rPr>
          <w:rFonts w:hint="eastAsia"/>
          <w:color w:val="auto"/>
          <w:highlight w:val="none"/>
        </w:rPr>
        <w:t>4 商务部分</w:t>
      </w:r>
    </w:p>
    <w:p w14:paraId="20E1A401">
      <w:pPr>
        <w:pStyle w:val="6"/>
        <w:spacing w:before="0"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4.1响应供应商综合概况</w:t>
      </w:r>
    </w:p>
    <w:p w14:paraId="5DBA2987">
      <w:pPr>
        <w:tabs>
          <w:tab w:val="left" w:pos="180"/>
        </w:tabs>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4.1.1响应供应商情况介绍表</w:t>
      </w:r>
    </w:p>
    <w:tbl>
      <w:tblPr>
        <w:tblStyle w:val="17"/>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197"/>
        <w:gridCol w:w="1410"/>
        <w:gridCol w:w="219"/>
        <w:gridCol w:w="1345"/>
        <w:gridCol w:w="247"/>
        <w:gridCol w:w="969"/>
        <w:gridCol w:w="761"/>
        <w:gridCol w:w="282"/>
        <w:gridCol w:w="1313"/>
      </w:tblGrid>
      <w:tr w14:paraId="27D3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5523D34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7743" w:type="dxa"/>
            <w:gridSpan w:val="9"/>
            <w:noWrap w:val="0"/>
            <w:vAlign w:val="center"/>
          </w:tcPr>
          <w:p w14:paraId="3B384EA9">
            <w:pPr>
              <w:tabs>
                <w:tab w:val="left" w:pos="540"/>
              </w:tabs>
              <w:ind w:left="-132" w:leftChars="-64" w:right="-105" w:rightChars="-50" w:hanging="2"/>
              <w:jc w:val="center"/>
              <w:rPr>
                <w:rFonts w:hint="eastAsia" w:ascii="仿宋" w:hAnsi="仿宋" w:eastAsia="仿宋" w:cs="仿宋"/>
                <w:color w:val="auto"/>
                <w:szCs w:val="21"/>
                <w:highlight w:val="none"/>
              </w:rPr>
            </w:pPr>
          </w:p>
        </w:tc>
      </w:tr>
      <w:tr w14:paraId="6E25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3B3C4899">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7743" w:type="dxa"/>
            <w:gridSpan w:val="9"/>
            <w:noWrap w:val="0"/>
            <w:vAlign w:val="center"/>
          </w:tcPr>
          <w:p w14:paraId="7E71924A">
            <w:pPr>
              <w:tabs>
                <w:tab w:val="left" w:pos="540"/>
              </w:tabs>
              <w:ind w:left="-132" w:leftChars="-64" w:right="-105" w:rightChars="-50" w:hanging="2"/>
              <w:jc w:val="center"/>
              <w:rPr>
                <w:rFonts w:hint="eastAsia" w:ascii="仿宋" w:hAnsi="仿宋" w:eastAsia="仿宋" w:cs="仿宋"/>
                <w:color w:val="auto"/>
                <w:szCs w:val="21"/>
                <w:highlight w:val="none"/>
              </w:rPr>
            </w:pPr>
          </w:p>
        </w:tc>
      </w:tr>
      <w:tr w14:paraId="0E4C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191BD048">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主管部门</w:t>
            </w:r>
          </w:p>
        </w:tc>
        <w:tc>
          <w:tcPr>
            <w:tcW w:w="1197" w:type="dxa"/>
            <w:noWrap w:val="0"/>
            <w:vAlign w:val="center"/>
          </w:tcPr>
          <w:p w14:paraId="3FCD4C89">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78A6026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w:t>
            </w:r>
          </w:p>
        </w:tc>
        <w:tc>
          <w:tcPr>
            <w:tcW w:w="1592" w:type="dxa"/>
            <w:gridSpan w:val="2"/>
            <w:noWrap w:val="0"/>
            <w:vAlign w:val="center"/>
          </w:tcPr>
          <w:p w14:paraId="68F3480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240B543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0957C2F0">
            <w:pPr>
              <w:tabs>
                <w:tab w:val="left" w:pos="540"/>
              </w:tabs>
              <w:ind w:left="-132" w:leftChars="-64" w:right="-105" w:rightChars="-50" w:hanging="2"/>
              <w:jc w:val="center"/>
              <w:rPr>
                <w:rFonts w:hint="eastAsia" w:ascii="仿宋" w:hAnsi="仿宋" w:eastAsia="仿宋" w:cs="仿宋"/>
                <w:color w:val="auto"/>
                <w:szCs w:val="21"/>
                <w:highlight w:val="none"/>
              </w:rPr>
            </w:pPr>
          </w:p>
        </w:tc>
      </w:tr>
      <w:tr w14:paraId="4035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34BAFB35">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经济类型</w:t>
            </w:r>
          </w:p>
        </w:tc>
        <w:tc>
          <w:tcPr>
            <w:tcW w:w="1197" w:type="dxa"/>
            <w:noWrap w:val="0"/>
            <w:vAlign w:val="center"/>
          </w:tcPr>
          <w:p w14:paraId="4C64BA9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24F1CE6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w:t>
            </w:r>
          </w:p>
        </w:tc>
        <w:tc>
          <w:tcPr>
            <w:tcW w:w="1592" w:type="dxa"/>
            <w:gridSpan w:val="2"/>
            <w:noWrap w:val="0"/>
            <w:vAlign w:val="center"/>
          </w:tcPr>
          <w:p w14:paraId="5757F5C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4FD8BC3D">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95" w:type="dxa"/>
            <w:gridSpan w:val="2"/>
            <w:noWrap w:val="0"/>
            <w:vAlign w:val="top"/>
          </w:tcPr>
          <w:p w14:paraId="224C0AE2">
            <w:pPr>
              <w:tabs>
                <w:tab w:val="left" w:pos="540"/>
              </w:tabs>
              <w:ind w:left="-132" w:leftChars="-64" w:right="-105" w:rightChars="-50" w:hanging="2"/>
              <w:jc w:val="center"/>
              <w:rPr>
                <w:rFonts w:hint="eastAsia" w:ascii="仿宋" w:hAnsi="仿宋" w:eastAsia="仿宋" w:cs="仿宋"/>
                <w:color w:val="auto"/>
                <w:szCs w:val="21"/>
                <w:highlight w:val="none"/>
              </w:rPr>
            </w:pPr>
          </w:p>
        </w:tc>
      </w:tr>
      <w:tr w14:paraId="320A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6B727DA7">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197" w:type="dxa"/>
            <w:noWrap w:val="0"/>
            <w:vAlign w:val="center"/>
          </w:tcPr>
          <w:p w14:paraId="5DF3264B">
            <w:pPr>
              <w:tabs>
                <w:tab w:val="left" w:pos="540"/>
              </w:tabs>
              <w:ind w:left="-132" w:leftChars="-64" w:right="-105" w:rightChars="-50" w:hanging="2"/>
              <w:jc w:val="center"/>
              <w:rPr>
                <w:rFonts w:hint="eastAsia" w:ascii="仿宋" w:hAnsi="仿宋" w:eastAsia="仿宋" w:cs="仿宋"/>
                <w:color w:val="auto"/>
                <w:szCs w:val="21"/>
                <w:highlight w:val="none"/>
              </w:rPr>
            </w:pPr>
          </w:p>
        </w:tc>
        <w:tc>
          <w:tcPr>
            <w:tcW w:w="1629" w:type="dxa"/>
            <w:gridSpan w:val="2"/>
            <w:noWrap w:val="0"/>
            <w:vAlign w:val="center"/>
          </w:tcPr>
          <w:p w14:paraId="118D119D">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592" w:type="dxa"/>
            <w:gridSpan w:val="2"/>
            <w:noWrap w:val="0"/>
            <w:vAlign w:val="center"/>
          </w:tcPr>
          <w:p w14:paraId="1BE8C2B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30" w:type="dxa"/>
            <w:gridSpan w:val="2"/>
            <w:noWrap w:val="0"/>
            <w:vAlign w:val="center"/>
          </w:tcPr>
          <w:p w14:paraId="40AB7433">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传真</w:t>
            </w:r>
          </w:p>
        </w:tc>
        <w:tc>
          <w:tcPr>
            <w:tcW w:w="1595" w:type="dxa"/>
            <w:gridSpan w:val="2"/>
            <w:noWrap w:val="0"/>
            <w:vAlign w:val="top"/>
          </w:tcPr>
          <w:p w14:paraId="7DB5F169">
            <w:pPr>
              <w:tabs>
                <w:tab w:val="left" w:pos="540"/>
              </w:tabs>
              <w:ind w:left="-132" w:leftChars="-64" w:right="-105" w:rightChars="-50" w:hanging="2"/>
              <w:jc w:val="center"/>
              <w:rPr>
                <w:rFonts w:hint="eastAsia" w:ascii="仿宋" w:hAnsi="仿宋" w:eastAsia="仿宋" w:cs="仿宋"/>
                <w:color w:val="auto"/>
                <w:szCs w:val="21"/>
                <w:highlight w:val="none"/>
              </w:rPr>
            </w:pPr>
          </w:p>
        </w:tc>
      </w:tr>
      <w:tr w14:paraId="69C0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noWrap w:val="0"/>
            <w:vAlign w:val="center"/>
          </w:tcPr>
          <w:p w14:paraId="17B8EBA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单位简介及机构设置</w:t>
            </w:r>
          </w:p>
        </w:tc>
        <w:tc>
          <w:tcPr>
            <w:tcW w:w="7743" w:type="dxa"/>
            <w:gridSpan w:val="9"/>
            <w:noWrap w:val="0"/>
            <w:vAlign w:val="top"/>
          </w:tcPr>
          <w:p w14:paraId="6E3B14E8">
            <w:pPr>
              <w:tabs>
                <w:tab w:val="left" w:pos="540"/>
              </w:tabs>
              <w:ind w:left="-132" w:leftChars="-64" w:right="-105" w:rightChars="-50" w:hanging="2"/>
              <w:jc w:val="center"/>
              <w:rPr>
                <w:rFonts w:hint="eastAsia" w:ascii="仿宋" w:hAnsi="仿宋" w:eastAsia="仿宋" w:cs="仿宋"/>
                <w:color w:val="auto"/>
                <w:szCs w:val="21"/>
                <w:highlight w:val="none"/>
              </w:rPr>
            </w:pPr>
          </w:p>
        </w:tc>
      </w:tr>
      <w:tr w14:paraId="30C6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016" w:type="dxa"/>
            <w:noWrap w:val="0"/>
            <w:vAlign w:val="center"/>
          </w:tcPr>
          <w:p w14:paraId="38F8CB4D">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单位优势及特长</w:t>
            </w:r>
          </w:p>
        </w:tc>
        <w:tc>
          <w:tcPr>
            <w:tcW w:w="7743" w:type="dxa"/>
            <w:gridSpan w:val="9"/>
            <w:noWrap w:val="0"/>
            <w:vAlign w:val="top"/>
          </w:tcPr>
          <w:p w14:paraId="473C5C0B">
            <w:pPr>
              <w:tabs>
                <w:tab w:val="left" w:pos="540"/>
              </w:tabs>
              <w:ind w:left="-132" w:leftChars="-64" w:right="-105" w:rightChars="-50" w:hanging="2"/>
              <w:jc w:val="center"/>
              <w:rPr>
                <w:rFonts w:hint="eastAsia" w:ascii="仿宋" w:hAnsi="仿宋" w:eastAsia="仿宋" w:cs="仿宋"/>
                <w:color w:val="auto"/>
                <w:szCs w:val="21"/>
                <w:highlight w:val="none"/>
              </w:rPr>
            </w:pPr>
          </w:p>
        </w:tc>
      </w:tr>
      <w:tr w14:paraId="073C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restart"/>
            <w:noWrap w:val="0"/>
            <w:vAlign w:val="center"/>
          </w:tcPr>
          <w:p w14:paraId="26B1F8F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197" w:type="dxa"/>
            <w:noWrap w:val="0"/>
            <w:vAlign w:val="top"/>
          </w:tcPr>
          <w:p w14:paraId="5697346E">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410" w:type="dxa"/>
            <w:noWrap w:val="0"/>
            <w:vAlign w:val="top"/>
          </w:tcPr>
          <w:p w14:paraId="2632FE6A">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top"/>
          </w:tcPr>
          <w:p w14:paraId="6D8B758F">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572" w:type="dxa"/>
            <w:gridSpan w:val="5"/>
            <w:noWrap w:val="0"/>
            <w:vAlign w:val="top"/>
          </w:tcPr>
          <w:p w14:paraId="7F717EBC">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4773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5BD2F250">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5E1B558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410" w:type="dxa"/>
            <w:noWrap w:val="0"/>
            <w:vAlign w:val="top"/>
          </w:tcPr>
          <w:p w14:paraId="007D7DA3">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64" w:type="dxa"/>
            <w:gridSpan w:val="2"/>
            <w:noWrap w:val="0"/>
            <w:vAlign w:val="top"/>
          </w:tcPr>
          <w:p w14:paraId="2EA923EE">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572" w:type="dxa"/>
            <w:gridSpan w:val="5"/>
            <w:noWrap w:val="0"/>
            <w:vAlign w:val="top"/>
          </w:tcPr>
          <w:p w14:paraId="385798FE">
            <w:pPr>
              <w:tabs>
                <w:tab w:val="left" w:pos="540"/>
              </w:tabs>
              <w:ind w:left="-134" w:leftChars="-64" w:right="-105" w:rightChars="-50" w:firstLine="3045" w:firstLineChars="145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M</w:t>
            </w:r>
            <w:r>
              <w:rPr>
                <w:rFonts w:hint="eastAsia" w:ascii="仿宋" w:hAnsi="仿宋" w:eastAsia="仿宋" w:cs="仿宋"/>
                <w:color w:val="auto"/>
                <w:szCs w:val="21"/>
                <w:highlight w:val="none"/>
                <w:vertAlign w:val="superscript"/>
              </w:rPr>
              <w:t>2</w:t>
            </w:r>
          </w:p>
        </w:tc>
      </w:tr>
      <w:tr w14:paraId="0E98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70739CD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restart"/>
            <w:noWrap w:val="0"/>
            <w:vAlign w:val="center"/>
          </w:tcPr>
          <w:p w14:paraId="50EAA997">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1410" w:type="dxa"/>
            <w:noWrap w:val="0"/>
            <w:vAlign w:val="top"/>
          </w:tcPr>
          <w:p w14:paraId="43BF1A9B">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p>
        </w:tc>
        <w:tc>
          <w:tcPr>
            <w:tcW w:w="1564" w:type="dxa"/>
            <w:gridSpan w:val="2"/>
            <w:noWrap w:val="0"/>
            <w:vAlign w:val="center"/>
          </w:tcPr>
          <w:p w14:paraId="53B3AFFC">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5BDEC7D9">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14:paraId="58DA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7F70CB0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vMerge w:val="continue"/>
            <w:noWrap w:val="0"/>
            <w:vAlign w:val="top"/>
          </w:tcPr>
          <w:p w14:paraId="33B87C2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49418A8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p>
        </w:tc>
        <w:tc>
          <w:tcPr>
            <w:tcW w:w="1564" w:type="dxa"/>
            <w:gridSpan w:val="2"/>
            <w:noWrap w:val="0"/>
            <w:vAlign w:val="center"/>
          </w:tcPr>
          <w:p w14:paraId="30E9AAEE">
            <w:pPr>
              <w:tabs>
                <w:tab w:val="left" w:pos="540"/>
              </w:tabs>
              <w:ind w:left="-132" w:leftChars="-64" w:right="-105" w:rightChars="-50" w:hanging="2"/>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3572" w:type="dxa"/>
            <w:gridSpan w:val="5"/>
            <w:noWrap w:val="0"/>
            <w:vAlign w:val="top"/>
          </w:tcPr>
          <w:p w14:paraId="49820D11">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14:paraId="2592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16" w:type="dxa"/>
            <w:vMerge w:val="restart"/>
            <w:noWrap w:val="0"/>
            <w:vAlign w:val="center"/>
          </w:tcPr>
          <w:p w14:paraId="25DB65E9">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197" w:type="dxa"/>
            <w:noWrap w:val="0"/>
            <w:vAlign w:val="top"/>
          </w:tcPr>
          <w:p w14:paraId="6A6FDBB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410" w:type="dxa"/>
            <w:noWrap w:val="0"/>
            <w:vAlign w:val="center"/>
          </w:tcPr>
          <w:p w14:paraId="2D7A57F2">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14:paraId="343B2E17">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64" w:type="dxa"/>
            <w:gridSpan w:val="2"/>
            <w:noWrap w:val="0"/>
            <w:vAlign w:val="center"/>
          </w:tcPr>
          <w:p w14:paraId="65C54700">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14:paraId="3DB591BA">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16" w:type="dxa"/>
            <w:gridSpan w:val="2"/>
            <w:noWrap w:val="0"/>
            <w:vAlign w:val="top"/>
          </w:tcPr>
          <w:p w14:paraId="5633D7F1">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利润总额（万元）</w:t>
            </w:r>
          </w:p>
        </w:tc>
        <w:tc>
          <w:tcPr>
            <w:tcW w:w="1043" w:type="dxa"/>
            <w:gridSpan w:val="2"/>
            <w:noWrap w:val="0"/>
            <w:vAlign w:val="top"/>
          </w:tcPr>
          <w:p w14:paraId="6F2C7E5F">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净利润（万元）</w:t>
            </w:r>
          </w:p>
        </w:tc>
        <w:tc>
          <w:tcPr>
            <w:tcW w:w="1313" w:type="dxa"/>
            <w:noWrap w:val="0"/>
            <w:vAlign w:val="top"/>
          </w:tcPr>
          <w:p w14:paraId="35268ABF">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14:paraId="788DA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4F18B63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5E17F9DF">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57EB1C3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2415CBC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2F862F67">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5B85202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47EAAD74">
            <w:pPr>
              <w:tabs>
                <w:tab w:val="left" w:pos="540"/>
              </w:tabs>
              <w:ind w:left="-132" w:leftChars="-64" w:right="-105" w:rightChars="-50" w:hanging="2"/>
              <w:jc w:val="center"/>
              <w:rPr>
                <w:rFonts w:hint="eastAsia" w:ascii="仿宋" w:hAnsi="仿宋" w:eastAsia="仿宋" w:cs="仿宋"/>
                <w:color w:val="auto"/>
                <w:szCs w:val="21"/>
                <w:highlight w:val="none"/>
              </w:rPr>
            </w:pPr>
          </w:p>
        </w:tc>
      </w:tr>
      <w:tr w14:paraId="4066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016" w:type="dxa"/>
            <w:vMerge w:val="continue"/>
            <w:noWrap w:val="0"/>
            <w:vAlign w:val="top"/>
          </w:tcPr>
          <w:p w14:paraId="72113A7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039711B6">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4BF568A9">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106E8971">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6F4931FC">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53454BA4">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265C05FB">
            <w:pPr>
              <w:tabs>
                <w:tab w:val="left" w:pos="540"/>
              </w:tabs>
              <w:ind w:left="-132" w:leftChars="-64" w:right="-105" w:rightChars="-50" w:hanging="2"/>
              <w:jc w:val="center"/>
              <w:rPr>
                <w:rFonts w:hint="eastAsia" w:ascii="仿宋" w:hAnsi="仿宋" w:eastAsia="仿宋" w:cs="仿宋"/>
                <w:color w:val="auto"/>
                <w:szCs w:val="21"/>
                <w:highlight w:val="none"/>
              </w:rPr>
            </w:pPr>
          </w:p>
        </w:tc>
      </w:tr>
      <w:tr w14:paraId="7983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16" w:type="dxa"/>
            <w:vMerge w:val="continue"/>
            <w:noWrap w:val="0"/>
            <w:vAlign w:val="top"/>
          </w:tcPr>
          <w:p w14:paraId="5BE1A6C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197" w:type="dxa"/>
            <w:noWrap w:val="0"/>
            <w:vAlign w:val="top"/>
          </w:tcPr>
          <w:p w14:paraId="75296BA3">
            <w:pPr>
              <w:tabs>
                <w:tab w:val="left" w:pos="540"/>
              </w:tabs>
              <w:ind w:left="-132" w:leftChars="-64" w:right="-105" w:rightChars="-50" w:hanging="2"/>
              <w:jc w:val="center"/>
              <w:rPr>
                <w:rFonts w:hint="eastAsia" w:ascii="仿宋" w:hAnsi="仿宋" w:eastAsia="仿宋" w:cs="仿宋"/>
                <w:color w:val="auto"/>
                <w:szCs w:val="21"/>
                <w:highlight w:val="none"/>
              </w:rPr>
            </w:pPr>
          </w:p>
        </w:tc>
        <w:tc>
          <w:tcPr>
            <w:tcW w:w="1410" w:type="dxa"/>
            <w:noWrap w:val="0"/>
            <w:vAlign w:val="top"/>
          </w:tcPr>
          <w:p w14:paraId="7F05A9E5">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4" w:type="dxa"/>
            <w:gridSpan w:val="2"/>
            <w:noWrap w:val="0"/>
            <w:vAlign w:val="top"/>
          </w:tcPr>
          <w:p w14:paraId="5F0195D2">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16" w:type="dxa"/>
            <w:gridSpan w:val="2"/>
            <w:noWrap w:val="0"/>
            <w:vAlign w:val="top"/>
          </w:tcPr>
          <w:p w14:paraId="2015396E">
            <w:pPr>
              <w:tabs>
                <w:tab w:val="left" w:pos="540"/>
              </w:tabs>
              <w:ind w:left="-132" w:leftChars="-64" w:right="-105" w:rightChars="-50" w:hanging="2"/>
              <w:jc w:val="center"/>
              <w:rPr>
                <w:rFonts w:hint="eastAsia" w:ascii="仿宋" w:hAnsi="仿宋" w:eastAsia="仿宋" w:cs="仿宋"/>
                <w:color w:val="auto"/>
                <w:szCs w:val="21"/>
                <w:highlight w:val="none"/>
              </w:rPr>
            </w:pPr>
          </w:p>
        </w:tc>
        <w:tc>
          <w:tcPr>
            <w:tcW w:w="1043" w:type="dxa"/>
            <w:gridSpan w:val="2"/>
            <w:noWrap w:val="0"/>
            <w:vAlign w:val="top"/>
          </w:tcPr>
          <w:p w14:paraId="35C3881A">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13" w:type="dxa"/>
            <w:noWrap w:val="0"/>
            <w:vAlign w:val="top"/>
          </w:tcPr>
          <w:p w14:paraId="2E9FD77A">
            <w:pPr>
              <w:tabs>
                <w:tab w:val="left" w:pos="540"/>
              </w:tabs>
              <w:ind w:left="-132" w:leftChars="-64" w:right="-105" w:rightChars="-50" w:hanging="2"/>
              <w:jc w:val="center"/>
              <w:rPr>
                <w:rFonts w:hint="eastAsia" w:ascii="仿宋" w:hAnsi="仿宋" w:eastAsia="仿宋" w:cs="仿宋"/>
                <w:color w:val="auto"/>
                <w:szCs w:val="21"/>
                <w:highlight w:val="none"/>
              </w:rPr>
            </w:pPr>
          </w:p>
        </w:tc>
      </w:tr>
    </w:tbl>
    <w:p w14:paraId="1C188D5B">
      <w:pPr>
        <w:pStyle w:val="21"/>
        <w:spacing w:line="360" w:lineRule="auto"/>
        <w:ind w:left="960" w:hanging="960" w:hangingChars="400"/>
        <w:rPr>
          <w:rFonts w:hint="eastAsia" w:ascii="仿宋" w:hAnsi="仿宋" w:eastAsia="仿宋" w:cs="仿宋"/>
          <w:bCs w:val="0"/>
          <w:color w:val="auto"/>
          <w:spacing w:val="0"/>
          <w:kern w:val="2"/>
          <w:szCs w:val="24"/>
          <w:highlight w:val="none"/>
          <w:lang w:val="en-GB"/>
        </w:rPr>
      </w:pPr>
      <w:r>
        <w:rPr>
          <w:rFonts w:hint="eastAsia" w:ascii="仿宋" w:hAnsi="仿宋" w:eastAsia="仿宋" w:cs="仿宋"/>
          <w:bCs w:val="0"/>
          <w:color w:val="auto"/>
          <w:spacing w:val="0"/>
          <w:kern w:val="2"/>
          <w:szCs w:val="24"/>
          <w:highlight w:val="none"/>
          <w:lang w:val="en-GB"/>
        </w:rPr>
        <w:t>注：1）文字描述：单位性质、发展历程、经营规模及服务理念、主营产品、技术力量等。</w:t>
      </w:r>
    </w:p>
    <w:p w14:paraId="42A64D13">
      <w:pPr>
        <w:pStyle w:val="21"/>
        <w:ind w:firstLine="480" w:firstLineChars="200"/>
        <w:rPr>
          <w:rFonts w:hint="eastAsia" w:ascii="仿宋" w:hAnsi="仿宋" w:eastAsia="仿宋" w:cs="仿宋"/>
          <w:color w:val="auto"/>
          <w:kern w:val="2"/>
          <w:szCs w:val="24"/>
          <w:highlight w:val="none"/>
          <w:lang w:val="en-GB"/>
        </w:rPr>
      </w:pPr>
      <w:r>
        <w:rPr>
          <w:rFonts w:hint="eastAsia" w:ascii="仿宋" w:hAnsi="仿宋" w:eastAsia="仿宋" w:cs="仿宋"/>
          <w:bCs w:val="0"/>
          <w:color w:val="auto"/>
          <w:spacing w:val="0"/>
          <w:kern w:val="2"/>
          <w:szCs w:val="24"/>
          <w:highlight w:val="none"/>
          <w:lang w:val="en-GB"/>
        </w:rPr>
        <w:t>2)</w:t>
      </w:r>
      <w:r>
        <w:rPr>
          <w:rFonts w:hint="eastAsia" w:ascii="仿宋" w:hAnsi="仿宋" w:eastAsia="仿宋" w:cs="仿宋"/>
          <w:color w:val="auto"/>
          <w:kern w:val="2"/>
          <w:szCs w:val="24"/>
          <w:highlight w:val="none"/>
          <w:lang w:val="en-GB"/>
        </w:rPr>
        <w:t>如响应供应商此表数据有虚假，一经查实，自行承担相关责任。</w:t>
      </w:r>
    </w:p>
    <w:p w14:paraId="52331BB1">
      <w:pPr>
        <w:pStyle w:val="21"/>
        <w:rPr>
          <w:rFonts w:hint="eastAsia" w:ascii="仿宋" w:hAnsi="仿宋" w:eastAsia="仿宋" w:cs="仿宋"/>
          <w:color w:val="auto"/>
          <w:kern w:val="2"/>
          <w:szCs w:val="24"/>
          <w:highlight w:val="none"/>
          <w:lang w:val="en-GB"/>
        </w:rPr>
      </w:pPr>
    </w:p>
    <w:p w14:paraId="6E73B0FD">
      <w:pPr>
        <w:pStyle w:val="21"/>
        <w:ind w:firstLine="520" w:firstLineChars="200"/>
        <w:rPr>
          <w:rFonts w:hint="eastAsia" w:ascii="仿宋" w:hAnsi="仿宋" w:eastAsia="仿宋" w:cs="仿宋"/>
          <w:color w:val="auto"/>
          <w:kern w:val="2"/>
          <w:szCs w:val="24"/>
          <w:highlight w:val="none"/>
          <w:lang w:val="en-GB"/>
        </w:rPr>
      </w:pPr>
    </w:p>
    <w:p w14:paraId="67C97EDB">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FB497F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6AA7FC8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6E288A4F">
      <w:pPr>
        <w:pStyle w:val="21"/>
        <w:ind w:firstLine="520" w:firstLineChars="200"/>
        <w:rPr>
          <w:rFonts w:hint="eastAsia" w:ascii="仿宋" w:hAnsi="仿宋" w:eastAsia="仿宋" w:cs="仿宋"/>
          <w:color w:val="auto"/>
          <w:kern w:val="2"/>
          <w:szCs w:val="24"/>
          <w:highlight w:val="none"/>
          <w:lang w:val="en-GB"/>
        </w:rPr>
      </w:pPr>
    </w:p>
    <w:p w14:paraId="147F9F94">
      <w:pPr>
        <w:pStyle w:val="21"/>
        <w:rPr>
          <w:rFonts w:ascii="仿宋" w:hAnsi="仿宋" w:eastAsia="仿宋" w:cs="仿宋"/>
          <w:b/>
          <w:color w:val="auto"/>
          <w:highlight w:val="none"/>
        </w:rPr>
      </w:pPr>
    </w:p>
    <w:p w14:paraId="72296C04">
      <w:pPr>
        <w:tabs>
          <w:tab w:val="left" w:pos="540"/>
        </w:tabs>
        <w:spacing w:line="400" w:lineRule="exact"/>
        <w:rPr>
          <w:rFonts w:hint="eastAsia" w:ascii="仿宋" w:hAnsi="仿宋" w:eastAsia="仿宋" w:cs="仿宋"/>
          <w:b/>
          <w:color w:val="auto"/>
          <w:sz w:val="24"/>
          <w:highlight w:val="none"/>
        </w:rPr>
      </w:pPr>
      <w:r>
        <w:rPr>
          <w:rFonts w:ascii="仿宋" w:hAnsi="仿宋" w:eastAsia="仿宋" w:cs="仿宋"/>
          <w:b/>
          <w:color w:val="auto"/>
          <w:sz w:val="24"/>
          <w:highlight w:val="none"/>
        </w:rPr>
        <w:br w:type="page"/>
      </w:r>
      <w:r>
        <w:rPr>
          <w:rFonts w:hint="eastAsia" w:ascii="仿宋" w:hAnsi="仿宋" w:eastAsia="仿宋" w:cs="仿宋"/>
          <w:b/>
          <w:color w:val="auto"/>
          <w:sz w:val="24"/>
          <w:highlight w:val="none"/>
        </w:rPr>
        <w:t xml:space="preserve">4.1.4 </w:t>
      </w:r>
      <w:r>
        <w:rPr>
          <w:rFonts w:hint="eastAsia" w:ascii="仿宋" w:hAnsi="仿宋" w:eastAsia="仿宋" w:cs="仿宋"/>
          <w:b/>
          <w:color w:val="auto"/>
          <w:sz w:val="24"/>
          <w:highlight w:val="none"/>
          <w:lang w:val="en-GB"/>
        </w:rPr>
        <w:t>其它必需重要事项说明及承诺(单页)</w:t>
      </w:r>
    </w:p>
    <w:p w14:paraId="5E735B6A">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1、参加本项目前三年内，在经营活动中没有违法记录承诺函。</w:t>
      </w:r>
    </w:p>
    <w:p w14:paraId="4AB6C5F0">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13F9C008">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3B704C83">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公司名称  </w:t>
      </w:r>
      <w:r>
        <w:rPr>
          <w:rFonts w:hint="eastAsia" w:ascii="仿宋" w:hAnsi="仿宋" w:eastAsia="仿宋" w:cs="仿宋"/>
          <w:color w:val="auto"/>
          <w:sz w:val="24"/>
          <w:highlight w:val="none"/>
        </w:rPr>
        <w:t>法定代表人的资格，郑重声明：</w:t>
      </w:r>
    </w:p>
    <w:p w14:paraId="66C0A07A">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5B295E43">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1D50132">
      <w:pPr>
        <w:adjustRightInd w:val="0"/>
        <w:snapToGrid w:val="0"/>
        <w:spacing w:line="400" w:lineRule="exact"/>
        <w:ind w:firstLine="555"/>
        <w:rPr>
          <w:rFonts w:hint="eastAsia" w:ascii="仿宋" w:hAnsi="仿宋" w:eastAsia="仿宋" w:cs="仿宋"/>
          <w:color w:val="auto"/>
          <w:sz w:val="24"/>
          <w:highlight w:val="none"/>
        </w:rPr>
      </w:pPr>
    </w:p>
    <w:p w14:paraId="61E93B7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0A7FED2">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62E56AC9">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2E09259E">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2、诚信响应承诺书。</w:t>
      </w:r>
    </w:p>
    <w:p w14:paraId="75E17CAE">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3305F468">
      <w:pPr>
        <w:spacing w:line="400" w:lineRule="exact"/>
        <w:ind w:left="-540" w:leftChars="-257"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19784C4D">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37C137E3">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201D466B">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26C2FDC7">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02F0FBBA">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2E327ACC">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3A0FEB34">
      <w:pPr>
        <w:spacing w:line="400" w:lineRule="exact"/>
        <w:ind w:left="-540" w:leftChars="-257"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14278B9A">
      <w:pPr>
        <w:spacing w:line="400" w:lineRule="exact"/>
        <w:ind w:firstLine="420"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15CB603C">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AD9FCCE">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388941DC">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3C1A65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6F293B5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91338B6">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70099A9B">
      <w:pPr>
        <w:adjustRightInd w:val="0"/>
        <w:snapToGrid w:val="0"/>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4.2.1 实质性响应商务条款</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77"/>
        <w:gridCol w:w="3651"/>
        <w:gridCol w:w="736"/>
        <w:gridCol w:w="1430"/>
        <w:gridCol w:w="1030"/>
      </w:tblGrid>
      <w:tr w14:paraId="464E9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0" w:type="dxa"/>
            <w:gridSpan w:val="6"/>
            <w:noWrap w:val="0"/>
            <w:vAlign w:val="center"/>
          </w:tcPr>
          <w:p w14:paraId="28B0F7DB">
            <w:pPr>
              <w:spacing w:after="1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”项）商务条款响应表</w:t>
            </w:r>
          </w:p>
        </w:tc>
      </w:tr>
      <w:tr w14:paraId="653A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96" w:type="dxa"/>
            <w:shd w:val="clear" w:color="auto" w:fill="F1F1F1"/>
            <w:noWrap w:val="0"/>
            <w:vAlign w:val="center"/>
          </w:tcPr>
          <w:p w14:paraId="01EFA01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77" w:type="dxa"/>
            <w:shd w:val="clear" w:color="auto" w:fill="F1F1F1"/>
            <w:noWrap w:val="0"/>
            <w:vAlign w:val="center"/>
          </w:tcPr>
          <w:p w14:paraId="191439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651" w:type="dxa"/>
            <w:shd w:val="clear" w:color="auto" w:fill="F1F1F1"/>
            <w:noWrap w:val="0"/>
            <w:vAlign w:val="center"/>
          </w:tcPr>
          <w:p w14:paraId="76C8A25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要求</w:t>
            </w:r>
          </w:p>
        </w:tc>
        <w:tc>
          <w:tcPr>
            <w:tcW w:w="736" w:type="dxa"/>
            <w:shd w:val="clear" w:color="auto" w:fill="F1F1F1"/>
            <w:noWrap w:val="0"/>
            <w:vAlign w:val="center"/>
          </w:tcPr>
          <w:p w14:paraId="360061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430" w:type="dxa"/>
            <w:shd w:val="clear" w:color="auto" w:fill="F1F1F1"/>
            <w:noWrap w:val="0"/>
            <w:vAlign w:val="center"/>
          </w:tcPr>
          <w:p w14:paraId="3DAC806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030" w:type="dxa"/>
            <w:shd w:val="clear" w:color="auto" w:fill="F1F1F1"/>
            <w:noWrap w:val="0"/>
            <w:vAlign w:val="center"/>
          </w:tcPr>
          <w:p w14:paraId="745025C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774F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596" w:type="dxa"/>
            <w:noWrap w:val="0"/>
            <w:vAlign w:val="center"/>
          </w:tcPr>
          <w:p w14:paraId="500A5F5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7" w:type="dxa"/>
            <w:noWrap w:val="0"/>
            <w:vAlign w:val="center"/>
          </w:tcPr>
          <w:p w14:paraId="19C6C6BD">
            <w:pPr>
              <w:spacing w:line="380" w:lineRule="exact"/>
              <w:ind w:left="40" w:leftChars="19"/>
              <w:jc w:val="left"/>
              <w:rPr>
                <w:rFonts w:hint="eastAsia" w:ascii="仿宋" w:hAnsi="仿宋" w:eastAsia="仿宋" w:cs="仿宋"/>
                <w:color w:val="auto"/>
                <w:szCs w:val="21"/>
                <w:highlight w:val="none"/>
                <w:lang w:val="en-US" w:eastAsia="zh-CN"/>
              </w:rPr>
            </w:pPr>
          </w:p>
        </w:tc>
        <w:tc>
          <w:tcPr>
            <w:tcW w:w="3651" w:type="dxa"/>
            <w:noWrap w:val="0"/>
            <w:vAlign w:val="top"/>
          </w:tcPr>
          <w:p w14:paraId="43AC82A9">
            <w:pPr>
              <w:spacing w:line="380" w:lineRule="exact"/>
              <w:ind w:left="40" w:leftChars="19"/>
              <w:jc w:val="left"/>
              <w:rPr>
                <w:rFonts w:hint="eastAsia" w:ascii="仿宋" w:hAnsi="仿宋" w:eastAsia="仿宋" w:cs="仿宋"/>
                <w:color w:val="auto"/>
                <w:szCs w:val="21"/>
                <w:highlight w:val="none"/>
                <w:lang w:val="en-US" w:eastAsia="zh-CN"/>
              </w:rPr>
            </w:pPr>
          </w:p>
        </w:tc>
        <w:tc>
          <w:tcPr>
            <w:tcW w:w="736" w:type="dxa"/>
            <w:noWrap w:val="0"/>
            <w:vAlign w:val="center"/>
          </w:tcPr>
          <w:p w14:paraId="4C60ECB4">
            <w:pPr>
              <w:spacing w:line="380" w:lineRule="exact"/>
              <w:ind w:left="40" w:leftChars="19"/>
              <w:jc w:val="left"/>
              <w:rPr>
                <w:rFonts w:hint="eastAsia" w:ascii="仿宋" w:hAnsi="仿宋" w:eastAsia="仿宋" w:cs="仿宋"/>
                <w:color w:val="auto"/>
                <w:szCs w:val="21"/>
                <w:highlight w:val="none"/>
                <w:lang w:val="zh-CN"/>
              </w:rPr>
            </w:pPr>
          </w:p>
        </w:tc>
        <w:tc>
          <w:tcPr>
            <w:tcW w:w="1430" w:type="dxa"/>
            <w:noWrap w:val="0"/>
            <w:vAlign w:val="center"/>
          </w:tcPr>
          <w:p w14:paraId="33B16C4C">
            <w:pPr>
              <w:spacing w:line="380" w:lineRule="exact"/>
              <w:ind w:left="40" w:leftChars="19"/>
              <w:jc w:val="left"/>
              <w:rPr>
                <w:rFonts w:hint="eastAsia" w:ascii="仿宋" w:hAnsi="仿宋" w:eastAsia="仿宋" w:cs="仿宋"/>
                <w:color w:val="auto"/>
                <w:szCs w:val="21"/>
                <w:highlight w:val="none"/>
                <w:lang w:val="zh-CN"/>
              </w:rPr>
            </w:pPr>
          </w:p>
        </w:tc>
        <w:tc>
          <w:tcPr>
            <w:tcW w:w="1030" w:type="dxa"/>
            <w:noWrap w:val="0"/>
            <w:vAlign w:val="center"/>
          </w:tcPr>
          <w:p w14:paraId="17076346">
            <w:pPr>
              <w:spacing w:line="380" w:lineRule="exact"/>
              <w:ind w:left="40" w:leftChars="19"/>
              <w:jc w:val="left"/>
              <w:rPr>
                <w:rFonts w:hint="eastAsia" w:ascii="仿宋" w:hAnsi="仿宋" w:eastAsia="仿宋" w:cs="仿宋"/>
                <w:color w:val="auto"/>
                <w:szCs w:val="21"/>
                <w:highlight w:val="none"/>
                <w:lang w:val="zh-CN"/>
              </w:rPr>
            </w:pPr>
          </w:p>
        </w:tc>
      </w:tr>
      <w:tr w14:paraId="5DCB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96" w:type="dxa"/>
            <w:noWrap w:val="0"/>
            <w:vAlign w:val="center"/>
          </w:tcPr>
          <w:p w14:paraId="65328BCB">
            <w:pPr>
              <w:rPr>
                <w:rFonts w:hint="eastAsia" w:ascii="仿宋" w:hAnsi="仿宋" w:eastAsia="仿宋" w:cs="仿宋"/>
                <w:color w:val="auto"/>
                <w:szCs w:val="21"/>
                <w:highlight w:val="none"/>
              </w:rPr>
            </w:pPr>
          </w:p>
        </w:tc>
        <w:tc>
          <w:tcPr>
            <w:tcW w:w="1077" w:type="dxa"/>
            <w:noWrap w:val="0"/>
            <w:vAlign w:val="center"/>
          </w:tcPr>
          <w:p w14:paraId="0A1CC159">
            <w:pPr>
              <w:jc w:val="center"/>
              <w:rPr>
                <w:rFonts w:hint="eastAsia" w:ascii="仿宋" w:hAnsi="仿宋" w:eastAsia="仿宋" w:cs="仿宋"/>
                <w:color w:val="auto"/>
                <w:szCs w:val="21"/>
                <w:highlight w:val="none"/>
              </w:rPr>
            </w:pPr>
          </w:p>
        </w:tc>
        <w:tc>
          <w:tcPr>
            <w:tcW w:w="3651" w:type="dxa"/>
            <w:noWrap w:val="0"/>
            <w:vAlign w:val="top"/>
          </w:tcPr>
          <w:p w14:paraId="159F203B">
            <w:pPr>
              <w:jc w:val="left"/>
              <w:rPr>
                <w:rFonts w:hint="eastAsia" w:ascii="仿宋" w:hAnsi="仿宋" w:eastAsia="仿宋" w:cs="仿宋"/>
                <w:color w:val="auto"/>
                <w:szCs w:val="21"/>
                <w:highlight w:val="none"/>
              </w:rPr>
            </w:pPr>
          </w:p>
        </w:tc>
        <w:tc>
          <w:tcPr>
            <w:tcW w:w="736" w:type="dxa"/>
            <w:noWrap w:val="0"/>
            <w:vAlign w:val="top"/>
          </w:tcPr>
          <w:p w14:paraId="2C1E826D">
            <w:pPr>
              <w:rPr>
                <w:rFonts w:hint="eastAsia" w:ascii="仿宋" w:hAnsi="仿宋" w:eastAsia="仿宋" w:cs="仿宋"/>
                <w:color w:val="auto"/>
                <w:szCs w:val="21"/>
                <w:highlight w:val="none"/>
              </w:rPr>
            </w:pPr>
          </w:p>
        </w:tc>
        <w:tc>
          <w:tcPr>
            <w:tcW w:w="1430" w:type="dxa"/>
            <w:noWrap w:val="0"/>
            <w:vAlign w:val="top"/>
          </w:tcPr>
          <w:p w14:paraId="22150756">
            <w:pPr>
              <w:rPr>
                <w:rFonts w:hint="eastAsia" w:ascii="仿宋" w:hAnsi="仿宋" w:eastAsia="仿宋" w:cs="仿宋"/>
                <w:color w:val="auto"/>
                <w:szCs w:val="21"/>
                <w:highlight w:val="none"/>
              </w:rPr>
            </w:pPr>
          </w:p>
        </w:tc>
        <w:tc>
          <w:tcPr>
            <w:tcW w:w="1030" w:type="dxa"/>
            <w:noWrap w:val="0"/>
            <w:vAlign w:val="top"/>
          </w:tcPr>
          <w:p w14:paraId="5EC4DF01">
            <w:pPr>
              <w:rPr>
                <w:rFonts w:hint="eastAsia" w:ascii="仿宋" w:hAnsi="仿宋" w:eastAsia="仿宋" w:cs="仿宋"/>
                <w:color w:val="auto"/>
                <w:szCs w:val="21"/>
                <w:highlight w:val="none"/>
              </w:rPr>
            </w:pPr>
          </w:p>
        </w:tc>
      </w:tr>
      <w:tr w14:paraId="7C9A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6" w:type="dxa"/>
            <w:noWrap w:val="0"/>
            <w:vAlign w:val="center"/>
          </w:tcPr>
          <w:p w14:paraId="30411AA2">
            <w:pPr>
              <w:rPr>
                <w:rFonts w:hint="eastAsia" w:ascii="仿宋" w:hAnsi="仿宋" w:eastAsia="仿宋" w:cs="仿宋"/>
                <w:color w:val="auto"/>
                <w:szCs w:val="21"/>
                <w:highlight w:val="none"/>
              </w:rPr>
            </w:pPr>
          </w:p>
        </w:tc>
        <w:tc>
          <w:tcPr>
            <w:tcW w:w="1077" w:type="dxa"/>
            <w:noWrap w:val="0"/>
            <w:vAlign w:val="center"/>
          </w:tcPr>
          <w:p w14:paraId="740C2CAA">
            <w:pPr>
              <w:jc w:val="center"/>
              <w:rPr>
                <w:rFonts w:hint="eastAsia" w:ascii="仿宋" w:hAnsi="仿宋" w:eastAsia="仿宋" w:cs="仿宋"/>
                <w:b/>
                <w:bCs/>
                <w:i w:val="0"/>
                <w:color w:val="auto"/>
                <w:kern w:val="0"/>
                <w:sz w:val="22"/>
                <w:szCs w:val="22"/>
                <w:highlight w:val="none"/>
                <w:u w:val="none"/>
                <w:lang w:val="en-US" w:eastAsia="zh-CN" w:bidi="ar"/>
              </w:rPr>
            </w:pPr>
          </w:p>
        </w:tc>
        <w:tc>
          <w:tcPr>
            <w:tcW w:w="3651" w:type="dxa"/>
            <w:noWrap w:val="0"/>
            <w:vAlign w:val="top"/>
          </w:tcPr>
          <w:p w14:paraId="1013F9C4">
            <w:pPr>
              <w:jc w:val="center"/>
              <w:rPr>
                <w:rFonts w:hint="eastAsia" w:ascii="仿宋" w:hAnsi="仿宋" w:eastAsia="仿宋" w:cs="仿宋"/>
                <w:b/>
                <w:bCs/>
                <w:i w:val="0"/>
                <w:color w:val="auto"/>
                <w:kern w:val="0"/>
                <w:sz w:val="22"/>
                <w:szCs w:val="22"/>
                <w:highlight w:val="none"/>
                <w:u w:val="none"/>
                <w:lang w:val="en-US" w:eastAsia="zh-CN" w:bidi="ar"/>
              </w:rPr>
            </w:pPr>
          </w:p>
        </w:tc>
        <w:tc>
          <w:tcPr>
            <w:tcW w:w="736" w:type="dxa"/>
            <w:noWrap w:val="0"/>
            <w:vAlign w:val="top"/>
          </w:tcPr>
          <w:p w14:paraId="24A81688">
            <w:pPr>
              <w:rPr>
                <w:rFonts w:hint="eastAsia" w:ascii="仿宋" w:hAnsi="仿宋" w:eastAsia="仿宋" w:cs="仿宋"/>
                <w:color w:val="auto"/>
                <w:szCs w:val="21"/>
                <w:highlight w:val="none"/>
              </w:rPr>
            </w:pPr>
          </w:p>
        </w:tc>
        <w:tc>
          <w:tcPr>
            <w:tcW w:w="1430" w:type="dxa"/>
            <w:noWrap w:val="0"/>
            <w:vAlign w:val="top"/>
          </w:tcPr>
          <w:p w14:paraId="64D0AD29">
            <w:pPr>
              <w:rPr>
                <w:rFonts w:hint="eastAsia" w:ascii="仿宋" w:hAnsi="仿宋" w:eastAsia="仿宋" w:cs="仿宋"/>
                <w:color w:val="auto"/>
                <w:szCs w:val="21"/>
                <w:highlight w:val="none"/>
              </w:rPr>
            </w:pPr>
          </w:p>
        </w:tc>
        <w:tc>
          <w:tcPr>
            <w:tcW w:w="1030" w:type="dxa"/>
            <w:noWrap w:val="0"/>
            <w:vAlign w:val="top"/>
          </w:tcPr>
          <w:p w14:paraId="6826983D">
            <w:pPr>
              <w:rPr>
                <w:rFonts w:hint="eastAsia" w:ascii="仿宋" w:hAnsi="仿宋" w:eastAsia="仿宋" w:cs="仿宋"/>
                <w:color w:val="auto"/>
                <w:szCs w:val="21"/>
                <w:highlight w:val="none"/>
              </w:rPr>
            </w:pPr>
          </w:p>
        </w:tc>
      </w:tr>
    </w:tbl>
    <w:p w14:paraId="63DD4A23">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w:t>
      </w:r>
      <w:r>
        <w:rPr>
          <w:rFonts w:hint="eastAsia" w:ascii="仿宋" w:hAnsi="仿宋" w:eastAsia="仿宋" w:cs="仿宋"/>
          <w:color w:val="auto"/>
          <w:sz w:val="24"/>
          <w:highlight w:val="none"/>
          <w:lang w:val="en-GB"/>
        </w:rPr>
        <w:t>响应供应商</w:t>
      </w:r>
      <w:r>
        <w:rPr>
          <w:rFonts w:hint="eastAsia" w:ascii="仿宋" w:hAnsi="仿宋" w:eastAsia="仿宋" w:cs="仿宋"/>
          <w:color w:val="auto"/>
          <w:sz w:val="24"/>
          <w:highlight w:val="none"/>
        </w:rPr>
        <w:t>响应供应商必须对上述一般上述实质性商务条款逐条响应，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标“</w:t>
      </w:r>
      <w:r>
        <w:rPr>
          <w:rFonts w:hint="eastAsia" w:ascii="仿宋" w:hAnsi="仿宋" w:eastAsia="仿宋" w:cs="仿宋"/>
          <w:b/>
          <w:color w:val="auto"/>
          <w:sz w:val="24"/>
          <w:highlight w:val="none"/>
        </w:rPr>
        <w:t>★</w:t>
      </w:r>
      <w:r>
        <w:rPr>
          <w:rFonts w:hint="eastAsia" w:ascii="仿宋" w:hAnsi="仿宋" w:eastAsia="仿宋" w:cs="仿宋"/>
          <w:color w:val="auto"/>
          <w:sz w:val="24"/>
          <w:highlight w:val="none"/>
        </w:rPr>
        <w:t>”项为不可负偏离（劣于），任何一项负偏离该响应无效。</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w:t>
      </w:r>
    </w:p>
    <w:p w14:paraId="42605D6A">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2.本表内容不得擅自修改。</w:t>
      </w:r>
    </w:p>
    <w:p w14:paraId="7A2B54E8">
      <w:pPr>
        <w:adjustRightInd w:val="0"/>
        <w:snapToGrid w:val="0"/>
        <w:spacing w:line="300" w:lineRule="auto"/>
        <w:rPr>
          <w:rFonts w:hint="eastAsia" w:ascii="仿宋" w:hAnsi="仿宋" w:eastAsia="仿宋" w:cs="仿宋"/>
          <w:color w:val="auto"/>
          <w:sz w:val="24"/>
          <w:highlight w:val="none"/>
        </w:rPr>
      </w:pPr>
    </w:p>
    <w:p w14:paraId="456B1A6A">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8B3E3E5">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6F29C78C">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65313C45">
      <w:pPr>
        <w:adjustRightInd w:val="0"/>
        <w:snapToGrid w:val="0"/>
        <w:spacing w:line="300" w:lineRule="auto"/>
        <w:rPr>
          <w:rFonts w:hint="eastAsia" w:ascii="仿宋" w:hAnsi="仿宋" w:eastAsia="仿宋" w:cs="仿宋"/>
          <w:color w:val="auto"/>
          <w:sz w:val="24"/>
          <w:highlight w:val="none"/>
        </w:rPr>
      </w:pPr>
    </w:p>
    <w:p w14:paraId="66FE996A">
      <w:pPr>
        <w:pStyle w:val="6"/>
        <w:spacing w:before="0" w:after="0"/>
        <w:jc w:val="left"/>
        <w:rPr>
          <w:rFonts w:hint="eastAsia" w:ascii="仿宋" w:hAnsi="仿宋" w:eastAsia="仿宋" w:cs="仿宋"/>
          <w:color w:val="auto"/>
          <w:highlight w:val="none"/>
        </w:rPr>
      </w:pPr>
      <w:r>
        <w:rPr>
          <w:rFonts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4.2.2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11DC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0AFE5AA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0DD1E33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490A6B6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0AAD5BA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05B3C72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68E5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0792D8A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4696E3B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17219915">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10057619">
            <w:pPr>
              <w:jc w:val="center"/>
              <w:rPr>
                <w:rFonts w:hint="eastAsia" w:ascii="仿宋" w:hAnsi="仿宋" w:eastAsia="仿宋" w:cs="仿宋"/>
                <w:color w:val="auto"/>
                <w:szCs w:val="21"/>
                <w:highlight w:val="none"/>
              </w:rPr>
            </w:pPr>
          </w:p>
        </w:tc>
        <w:tc>
          <w:tcPr>
            <w:tcW w:w="1391" w:type="dxa"/>
            <w:noWrap w:val="0"/>
            <w:vAlign w:val="center"/>
          </w:tcPr>
          <w:p w14:paraId="031C60CD">
            <w:pPr>
              <w:jc w:val="center"/>
              <w:rPr>
                <w:rFonts w:hint="eastAsia" w:ascii="仿宋" w:hAnsi="仿宋" w:eastAsia="仿宋" w:cs="仿宋"/>
                <w:color w:val="auto"/>
                <w:szCs w:val="21"/>
                <w:highlight w:val="none"/>
              </w:rPr>
            </w:pPr>
          </w:p>
        </w:tc>
      </w:tr>
      <w:tr w14:paraId="36CF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701B2C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0B3B52B7">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008C55BD">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4E4B7C11">
            <w:pPr>
              <w:jc w:val="center"/>
              <w:rPr>
                <w:rFonts w:hint="eastAsia" w:ascii="仿宋" w:hAnsi="仿宋" w:eastAsia="仿宋" w:cs="仿宋"/>
                <w:color w:val="auto"/>
                <w:szCs w:val="21"/>
                <w:highlight w:val="none"/>
              </w:rPr>
            </w:pPr>
          </w:p>
        </w:tc>
        <w:tc>
          <w:tcPr>
            <w:tcW w:w="1391" w:type="dxa"/>
            <w:noWrap w:val="0"/>
            <w:vAlign w:val="center"/>
          </w:tcPr>
          <w:p w14:paraId="2A220B44">
            <w:pPr>
              <w:jc w:val="center"/>
              <w:rPr>
                <w:rFonts w:hint="eastAsia" w:ascii="仿宋" w:hAnsi="仿宋" w:eastAsia="仿宋" w:cs="仿宋"/>
                <w:color w:val="auto"/>
                <w:szCs w:val="21"/>
                <w:highlight w:val="none"/>
              </w:rPr>
            </w:pPr>
          </w:p>
        </w:tc>
      </w:tr>
      <w:tr w14:paraId="1C82C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6128DC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4FABAC73">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78DA7200">
            <w:pPr>
              <w:jc w:val="center"/>
              <w:rPr>
                <w:rFonts w:hint="eastAsia" w:ascii="仿宋" w:hAnsi="仿宋" w:eastAsia="仿宋" w:cs="仿宋"/>
                <w:color w:val="auto"/>
                <w:szCs w:val="21"/>
                <w:highlight w:val="none"/>
              </w:rPr>
            </w:pPr>
          </w:p>
        </w:tc>
        <w:tc>
          <w:tcPr>
            <w:tcW w:w="1322" w:type="dxa"/>
            <w:noWrap w:val="0"/>
            <w:vAlign w:val="center"/>
          </w:tcPr>
          <w:p w14:paraId="0650A932">
            <w:pPr>
              <w:ind w:right="-35"/>
              <w:jc w:val="center"/>
              <w:rPr>
                <w:rFonts w:hint="eastAsia" w:ascii="仿宋" w:hAnsi="仿宋" w:eastAsia="仿宋" w:cs="仿宋"/>
                <w:color w:val="auto"/>
                <w:szCs w:val="21"/>
                <w:highlight w:val="none"/>
              </w:rPr>
            </w:pPr>
          </w:p>
        </w:tc>
        <w:tc>
          <w:tcPr>
            <w:tcW w:w="1391" w:type="dxa"/>
            <w:noWrap w:val="0"/>
            <w:vAlign w:val="center"/>
          </w:tcPr>
          <w:p w14:paraId="357DAD12">
            <w:pPr>
              <w:ind w:right="-35"/>
              <w:jc w:val="center"/>
              <w:rPr>
                <w:rFonts w:hint="eastAsia" w:ascii="仿宋" w:hAnsi="仿宋" w:eastAsia="仿宋" w:cs="仿宋"/>
                <w:color w:val="auto"/>
                <w:szCs w:val="21"/>
                <w:highlight w:val="none"/>
              </w:rPr>
            </w:pPr>
          </w:p>
        </w:tc>
      </w:tr>
      <w:tr w14:paraId="17E4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3C0EA82C">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69F8C18A">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59D85C9F">
            <w:pPr>
              <w:jc w:val="center"/>
              <w:rPr>
                <w:rFonts w:hint="eastAsia" w:ascii="仿宋" w:hAnsi="仿宋" w:eastAsia="仿宋" w:cs="仿宋"/>
                <w:color w:val="auto"/>
                <w:szCs w:val="21"/>
                <w:highlight w:val="none"/>
              </w:rPr>
            </w:pPr>
          </w:p>
        </w:tc>
        <w:tc>
          <w:tcPr>
            <w:tcW w:w="1322" w:type="dxa"/>
            <w:noWrap w:val="0"/>
            <w:vAlign w:val="center"/>
          </w:tcPr>
          <w:p w14:paraId="76FD37D2">
            <w:pPr>
              <w:ind w:right="-35"/>
              <w:jc w:val="center"/>
              <w:rPr>
                <w:rFonts w:hint="eastAsia" w:ascii="仿宋" w:hAnsi="仿宋" w:eastAsia="仿宋" w:cs="仿宋"/>
                <w:color w:val="auto"/>
                <w:szCs w:val="21"/>
                <w:highlight w:val="none"/>
              </w:rPr>
            </w:pPr>
          </w:p>
        </w:tc>
        <w:tc>
          <w:tcPr>
            <w:tcW w:w="1391" w:type="dxa"/>
            <w:noWrap w:val="0"/>
            <w:vAlign w:val="center"/>
          </w:tcPr>
          <w:p w14:paraId="1C891C4E">
            <w:pPr>
              <w:ind w:right="-35"/>
              <w:jc w:val="center"/>
              <w:rPr>
                <w:rFonts w:hint="eastAsia" w:ascii="仿宋" w:hAnsi="仿宋" w:eastAsia="仿宋" w:cs="仿宋"/>
                <w:color w:val="auto"/>
                <w:szCs w:val="21"/>
                <w:highlight w:val="none"/>
              </w:rPr>
            </w:pPr>
          </w:p>
        </w:tc>
      </w:tr>
      <w:tr w14:paraId="4CFD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64AA0AC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7BACCCD9">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629074F8">
            <w:pPr>
              <w:jc w:val="center"/>
              <w:rPr>
                <w:rFonts w:hint="eastAsia" w:ascii="仿宋" w:hAnsi="仿宋" w:eastAsia="仿宋" w:cs="仿宋"/>
                <w:color w:val="auto"/>
                <w:szCs w:val="21"/>
                <w:highlight w:val="none"/>
              </w:rPr>
            </w:pPr>
          </w:p>
        </w:tc>
        <w:tc>
          <w:tcPr>
            <w:tcW w:w="1322" w:type="dxa"/>
            <w:noWrap w:val="0"/>
            <w:vAlign w:val="center"/>
          </w:tcPr>
          <w:p w14:paraId="7D73A721">
            <w:pPr>
              <w:ind w:right="-35"/>
              <w:jc w:val="center"/>
              <w:rPr>
                <w:rFonts w:hint="eastAsia" w:ascii="仿宋" w:hAnsi="仿宋" w:eastAsia="仿宋" w:cs="仿宋"/>
                <w:color w:val="auto"/>
                <w:szCs w:val="21"/>
                <w:highlight w:val="none"/>
              </w:rPr>
            </w:pPr>
          </w:p>
        </w:tc>
        <w:tc>
          <w:tcPr>
            <w:tcW w:w="1391" w:type="dxa"/>
            <w:noWrap w:val="0"/>
            <w:vAlign w:val="center"/>
          </w:tcPr>
          <w:p w14:paraId="69CB8286">
            <w:pPr>
              <w:ind w:right="-35"/>
              <w:jc w:val="center"/>
              <w:rPr>
                <w:rFonts w:hint="eastAsia" w:ascii="仿宋" w:hAnsi="仿宋" w:eastAsia="仿宋" w:cs="仿宋"/>
                <w:color w:val="auto"/>
                <w:szCs w:val="21"/>
                <w:highlight w:val="none"/>
              </w:rPr>
            </w:pPr>
          </w:p>
        </w:tc>
      </w:tr>
      <w:tr w14:paraId="4447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079BE3B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6334B9BB">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同意采购方以任何形式对我方响应文件内容的真实性和有效性进行审查、验证</w:t>
            </w:r>
          </w:p>
        </w:tc>
        <w:tc>
          <w:tcPr>
            <w:tcW w:w="1381" w:type="dxa"/>
            <w:noWrap w:val="0"/>
            <w:vAlign w:val="center"/>
          </w:tcPr>
          <w:p w14:paraId="3B7709DF">
            <w:pPr>
              <w:jc w:val="center"/>
              <w:rPr>
                <w:rFonts w:hint="eastAsia" w:ascii="仿宋" w:hAnsi="仿宋" w:eastAsia="仿宋" w:cs="仿宋"/>
                <w:color w:val="auto"/>
                <w:szCs w:val="21"/>
                <w:highlight w:val="none"/>
              </w:rPr>
            </w:pPr>
          </w:p>
        </w:tc>
        <w:tc>
          <w:tcPr>
            <w:tcW w:w="1322" w:type="dxa"/>
            <w:noWrap w:val="0"/>
            <w:vAlign w:val="center"/>
          </w:tcPr>
          <w:p w14:paraId="514BA4C0">
            <w:pPr>
              <w:ind w:right="-35"/>
              <w:jc w:val="center"/>
              <w:rPr>
                <w:rFonts w:hint="eastAsia" w:ascii="仿宋" w:hAnsi="仿宋" w:eastAsia="仿宋" w:cs="仿宋"/>
                <w:color w:val="auto"/>
                <w:szCs w:val="21"/>
                <w:highlight w:val="none"/>
              </w:rPr>
            </w:pPr>
          </w:p>
        </w:tc>
        <w:tc>
          <w:tcPr>
            <w:tcW w:w="1391" w:type="dxa"/>
            <w:noWrap w:val="0"/>
            <w:vAlign w:val="center"/>
          </w:tcPr>
          <w:p w14:paraId="0D20078F">
            <w:pPr>
              <w:ind w:right="-35"/>
              <w:jc w:val="center"/>
              <w:rPr>
                <w:rFonts w:hint="eastAsia" w:ascii="仿宋" w:hAnsi="仿宋" w:eastAsia="仿宋" w:cs="仿宋"/>
                <w:color w:val="auto"/>
                <w:szCs w:val="21"/>
                <w:highlight w:val="none"/>
              </w:rPr>
            </w:pPr>
          </w:p>
        </w:tc>
      </w:tr>
      <w:tr w14:paraId="48A6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3D92DE17">
            <w:pPr>
              <w:jc w:val="center"/>
              <w:rPr>
                <w:rFonts w:hint="eastAsia" w:ascii="仿宋" w:hAnsi="仿宋" w:eastAsia="仿宋" w:cs="仿宋"/>
                <w:color w:val="auto"/>
                <w:szCs w:val="21"/>
                <w:highlight w:val="none"/>
                <w:lang w:val="en-US" w:eastAsia="zh-CN"/>
              </w:rPr>
            </w:pPr>
          </w:p>
        </w:tc>
        <w:tc>
          <w:tcPr>
            <w:tcW w:w="3947" w:type="dxa"/>
            <w:noWrap w:val="0"/>
            <w:vAlign w:val="center"/>
          </w:tcPr>
          <w:p w14:paraId="0A3E2B37">
            <w:pPr>
              <w:rPr>
                <w:rFonts w:hint="eastAsia" w:ascii="仿宋" w:hAnsi="仿宋" w:eastAsia="仿宋" w:cs="仿宋"/>
                <w:color w:val="auto"/>
                <w:szCs w:val="21"/>
                <w:highlight w:val="none"/>
                <w:lang w:val="en-GB"/>
              </w:rPr>
            </w:pPr>
          </w:p>
        </w:tc>
        <w:tc>
          <w:tcPr>
            <w:tcW w:w="1381" w:type="dxa"/>
            <w:noWrap w:val="0"/>
            <w:vAlign w:val="center"/>
          </w:tcPr>
          <w:p w14:paraId="79222893">
            <w:pPr>
              <w:jc w:val="center"/>
              <w:rPr>
                <w:rFonts w:hint="eastAsia" w:ascii="仿宋" w:hAnsi="仿宋" w:eastAsia="仿宋" w:cs="仿宋"/>
                <w:color w:val="auto"/>
                <w:szCs w:val="21"/>
                <w:highlight w:val="none"/>
              </w:rPr>
            </w:pPr>
          </w:p>
        </w:tc>
        <w:tc>
          <w:tcPr>
            <w:tcW w:w="1322" w:type="dxa"/>
            <w:noWrap w:val="0"/>
            <w:vAlign w:val="center"/>
          </w:tcPr>
          <w:p w14:paraId="0B960CB9">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5BF4F8D">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6A93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7BE62107">
            <w:pPr>
              <w:jc w:val="center"/>
              <w:rPr>
                <w:rFonts w:hint="eastAsia" w:ascii="仿宋" w:hAnsi="仿宋" w:eastAsia="仿宋" w:cs="仿宋"/>
                <w:color w:val="auto"/>
                <w:szCs w:val="21"/>
                <w:highlight w:val="none"/>
                <w:lang w:val="en-US" w:eastAsia="zh-CN"/>
              </w:rPr>
            </w:pPr>
          </w:p>
        </w:tc>
        <w:tc>
          <w:tcPr>
            <w:tcW w:w="3947" w:type="dxa"/>
            <w:noWrap w:val="0"/>
            <w:vAlign w:val="center"/>
          </w:tcPr>
          <w:p w14:paraId="4BAA852F">
            <w:pPr>
              <w:rPr>
                <w:rFonts w:hint="eastAsia" w:ascii="仿宋" w:hAnsi="仿宋" w:eastAsia="仿宋" w:cs="仿宋"/>
                <w:color w:val="auto"/>
                <w:szCs w:val="21"/>
                <w:highlight w:val="none"/>
                <w:lang w:val="en-GB"/>
              </w:rPr>
            </w:pPr>
          </w:p>
        </w:tc>
        <w:tc>
          <w:tcPr>
            <w:tcW w:w="1381" w:type="dxa"/>
            <w:noWrap w:val="0"/>
            <w:vAlign w:val="center"/>
          </w:tcPr>
          <w:p w14:paraId="45C58BE7">
            <w:pPr>
              <w:jc w:val="center"/>
              <w:rPr>
                <w:rFonts w:hint="eastAsia" w:ascii="仿宋" w:hAnsi="仿宋" w:eastAsia="仿宋" w:cs="仿宋"/>
                <w:color w:val="auto"/>
                <w:szCs w:val="21"/>
                <w:highlight w:val="none"/>
              </w:rPr>
            </w:pPr>
          </w:p>
        </w:tc>
        <w:tc>
          <w:tcPr>
            <w:tcW w:w="1322" w:type="dxa"/>
            <w:noWrap w:val="0"/>
            <w:vAlign w:val="center"/>
          </w:tcPr>
          <w:p w14:paraId="06DA361A">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153E005D">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4F7A5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704D645F">
            <w:pPr>
              <w:jc w:val="center"/>
              <w:rPr>
                <w:rFonts w:hint="eastAsia" w:ascii="仿宋" w:hAnsi="仿宋" w:eastAsia="仿宋" w:cs="仿宋"/>
                <w:color w:val="auto"/>
                <w:szCs w:val="21"/>
                <w:highlight w:val="none"/>
              </w:rPr>
            </w:pPr>
          </w:p>
        </w:tc>
        <w:tc>
          <w:tcPr>
            <w:tcW w:w="6650" w:type="dxa"/>
            <w:gridSpan w:val="3"/>
            <w:noWrap w:val="0"/>
            <w:vAlign w:val="center"/>
          </w:tcPr>
          <w:p w14:paraId="12EDB358">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736C49EE">
            <w:pPr>
              <w:rPr>
                <w:rFonts w:hint="eastAsia" w:ascii="仿宋" w:hAnsi="仿宋" w:eastAsia="仿宋" w:cs="仿宋"/>
                <w:color w:val="auto"/>
                <w:szCs w:val="21"/>
                <w:highlight w:val="none"/>
              </w:rPr>
            </w:pPr>
          </w:p>
        </w:tc>
      </w:tr>
    </w:tbl>
    <w:p w14:paraId="1A90DABD">
      <w:pPr>
        <w:rPr>
          <w:rFonts w:hint="eastAsia" w:ascii="仿宋" w:hAnsi="仿宋" w:eastAsia="仿宋" w:cs="仿宋"/>
          <w:color w:val="auto"/>
          <w:sz w:val="24"/>
          <w:highlight w:val="none"/>
        </w:rPr>
      </w:pPr>
    </w:p>
    <w:p w14:paraId="76FB176B">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4F68CCE2">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4B1CED90">
      <w:pPr>
        <w:rPr>
          <w:rFonts w:hint="eastAsia" w:ascii="仿宋" w:hAnsi="仿宋" w:eastAsia="仿宋" w:cs="仿宋"/>
          <w:color w:val="auto"/>
          <w:szCs w:val="21"/>
          <w:highlight w:val="none"/>
          <w:lang w:val="en-GB"/>
        </w:rPr>
      </w:pPr>
    </w:p>
    <w:p w14:paraId="423021F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680A17B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74A0102A">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r>
        <w:rPr>
          <w:rFonts w:hint="eastAsia"/>
          <w:color w:val="auto"/>
          <w:highlight w:val="none"/>
        </w:rPr>
        <w:br w:type="page"/>
      </w:r>
      <w:r>
        <w:rPr>
          <w:rFonts w:hint="eastAsia" w:ascii="仿宋" w:hAnsi="仿宋" w:eastAsia="仿宋" w:cs="仿宋"/>
          <w:color w:val="auto"/>
          <w:sz w:val="24"/>
          <w:highlight w:val="none"/>
        </w:rPr>
        <w:t>5 服务部分</w:t>
      </w:r>
    </w:p>
    <w:p w14:paraId="5CD13C68">
      <w:pPr>
        <w:pStyle w:val="12"/>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服务要求响应表（单页填写）</w:t>
      </w:r>
    </w:p>
    <w:p w14:paraId="73CDC378">
      <w:pPr>
        <w:pStyle w:val="12"/>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7"/>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241"/>
        <w:gridCol w:w="1897"/>
        <w:gridCol w:w="1701"/>
        <w:gridCol w:w="871"/>
        <w:gridCol w:w="912"/>
        <w:gridCol w:w="775"/>
        <w:gridCol w:w="1141"/>
      </w:tblGrid>
      <w:tr w14:paraId="336A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1D530F38">
            <w:pPr>
              <w:ind w:firstLine="3120"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2656A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6A60BFC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1241" w:type="dxa"/>
            <w:shd w:val="clear" w:color="auto" w:fill="F1F1F1"/>
            <w:noWrap w:val="0"/>
            <w:vAlign w:val="center"/>
          </w:tcPr>
          <w:p w14:paraId="03C263A3">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1897" w:type="dxa"/>
            <w:shd w:val="clear" w:color="auto" w:fill="F1F1F1"/>
            <w:noWrap w:val="0"/>
            <w:vAlign w:val="center"/>
          </w:tcPr>
          <w:p w14:paraId="56DD783F">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服务要求</w:t>
            </w:r>
          </w:p>
        </w:tc>
        <w:tc>
          <w:tcPr>
            <w:tcW w:w="1701" w:type="dxa"/>
            <w:shd w:val="clear" w:color="auto" w:fill="F1F1F1"/>
            <w:noWrap w:val="0"/>
            <w:vAlign w:val="center"/>
          </w:tcPr>
          <w:p w14:paraId="7A506EC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4F5D2BE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2348058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25964E6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2866434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6845FA1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0A332E3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4840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42" w:type="dxa"/>
            <w:noWrap w:val="0"/>
            <w:vAlign w:val="center"/>
          </w:tcPr>
          <w:p w14:paraId="23F39E02">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241" w:type="dxa"/>
            <w:noWrap w:val="0"/>
            <w:vAlign w:val="center"/>
          </w:tcPr>
          <w:p w14:paraId="1604EC9D">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w:t>
            </w:r>
          </w:p>
        </w:tc>
        <w:tc>
          <w:tcPr>
            <w:tcW w:w="1897" w:type="dxa"/>
            <w:noWrap w:val="0"/>
            <w:vAlign w:val="center"/>
          </w:tcPr>
          <w:p w14:paraId="45280D48">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374391F6">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19E93888">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59E5A011">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75D41825">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4FEDE297">
            <w:pPr>
              <w:spacing w:line="380" w:lineRule="exact"/>
              <w:ind w:left="40" w:leftChars="19"/>
              <w:jc w:val="left"/>
              <w:rPr>
                <w:rFonts w:hint="eastAsia" w:ascii="仿宋" w:hAnsi="仿宋" w:eastAsia="仿宋" w:cs="仿宋"/>
                <w:color w:val="auto"/>
                <w:szCs w:val="21"/>
                <w:highlight w:val="none"/>
                <w:lang w:val="zh-CN"/>
              </w:rPr>
            </w:pPr>
          </w:p>
        </w:tc>
      </w:tr>
      <w:tr w14:paraId="7D2D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2" w:type="dxa"/>
            <w:noWrap w:val="0"/>
            <w:vAlign w:val="center"/>
          </w:tcPr>
          <w:p w14:paraId="4869B041">
            <w:pPr>
              <w:spacing w:line="380" w:lineRule="exact"/>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241" w:type="dxa"/>
            <w:noWrap w:val="0"/>
            <w:vAlign w:val="center"/>
          </w:tcPr>
          <w:p w14:paraId="37ABE11E">
            <w:pPr>
              <w:spacing w:line="380" w:lineRule="exact"/>
              <w:ind w:left="40" w:leftChars="19"/>
              <w:jc w:val="left"/>
              <w:rPr>
                <w:rFonts w:hint="eastAsia" w:ascii="仿宋" w:hAnsi="仿宋" w:eastAsia="仿宋" w:cs="仿宋"/>
                <w:color w:val="auto"/>
                <w:szCs w:val="21"/>
                <w:highlight w:val="none"/>
                <w:lang w:val="en-US" w:eastAsia="zh-CN"/>
              </w:rPr>
            </w:pPr>
          </w:p>
        </w:tc>
        <w:tc>
          <w:tcPr>
            <w:tcW w:w="1897" w:type="dxa"/>
            <w:noWrap w:val="0"/>
            <w:vAlign w:val="top"/>
          </w:tcPr>
          <w:p w14:paraId="05BE2287">
            <w:pPr>
              <w:spacing w:line="380" w:lineRule="exact"/>
              <w:ind w:left="40" w:leftChars="19"/>
              <w:jc w:val="left"/>
              <w:rPr>
                <w:rFonts w:hint="eastAsia" w:ascii="仿宋" w:hAnsi="仿宋" w:eastAsia="仿宋" w:cs="仿宋"/>
                <w:color w:val="auto"/>
                <w:szCs w:val="21"/>
                <w:highlight w:val="none"/>
                <w:lang w:val="en-US" w:eastAsia="zh-CN"/>
              </w:rPr>
            </w:pPr>
          </w:p>
        </w:tc>
        <w:tc>
          <w:tcPr>
            <w:tcW w:w="1701" w:type="dxa"/>
            <w:noWrap w:val="0"/>
            <w:vAlign w:val="top"/>
          </w:tcPr>
          <w:p w14:paraId="38C0044A">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34D68899">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20153325">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1DECCA34">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49480917">
            <w:pPr>
              <w:spacing w:line="380" w:lineRule="exact"/>
              <w:ind w:left="40" w:leftChars="19"/>
              <w:jc w:val="left"/>
              <w:rPr>
                <w:rFonts w:hint="eastAsia" w:ascii="仿宋" w:hAnsi="仿宋" w:eastAsia="仿宋" w:cs="仿宋"/>
                <w:color w:val="auto"/>
                <w:szCs w:val="21"/>
                <w:highlight w:val="none"/>
                <w:lang w:val="zh-CN"/>
              </w:rPr>
            </w:pPr>
          </w:p>
        </w:tc>
      </w:tr>
      <w:tr w14:paraId="7DFBB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42" w:type="dxa"/>
            <w:noWrap w:val="0"/>
            <w:vAlign w:val="top"/>
          </w:tcPr>
          <w:p w14:paraId="26EC1F9A">
            <w:pPr>
              <w:spacing w:line="20" w:lineRule="atLeast"/>
              <w:rPr>
                <w:rFonts w:hint="eastAsia" w:ascii="仿宋" w:hAnsi="仿宋" w:eastAsia="仿宋" w:cs="仿宋"/>
                <w:color w:val="auto"/>
                <w:sz w:val="24"/>
                <w:highlight w:val="none"/>
              </w:rPr>
            </w:pPr>
          </w:p>
        </w:tc>
        <w:tc>
          <w:tcPr>
            <w:tcW w:w="1241" w:type="dxa"/>
            <w:noWrap w:val="0"/>
            <w:vAlign w:val="top"/>
          </w:tcPr>
          <w:p w14:paraId="04974375">
            <w:pPr>
              <w:spacing w:line="20" w:lineRule="atLeast"/>
              <w:rPr>
                <w:rFonts w:hint="eastAsia" w:ascii="仿宋" w:hAnsi="仿宋" w:eastAsia="仿宋" w:cs="仿宋"/>
                <w:color w:val="auto"/>
                <w:sz w:val="24"/>
                <w:highlight w:val="none"/>
              </w:rPr>
            </w:pPr>
          </w:p>
        </w:tc>
        <w:tc>
          <w:tcPr>
            <w:tcW w:w="1897" w:type="dxa"/>
            <w:noWrap w:val="0"/>
            <w:vAlign w:val="top"/>
          </w:tcPr>
          <w:p w14:paraId="34CB8474">
            <w:pPr>
              <w:spacing w:line="20" w:lineRule="atLeast"/>
              <w:rPr>
                <w:rFonts w:hint="eastAsia" w:ascii="仿宋" w:hAnsi="仿宋" w:eastAsia="仿宋" w:cs="仿宋"/>
                <w:color w:val="auto"/>
                <w:sz w:val="24"/>
                <w:highlight w:val="none"/>
              </w:rPr>
            </w:pPr>
          </w:p>
        </w:tc>
        <w:tc>
          <w:tcPr>
            <w:tcW w:w="1701" w:type="dxa"/>
            <w:noWrap w:val="0"/>
            <w:vAlign w:val="top"/>
          </w:tcPr>
          <w:p w14:paraId="0C285474">
            <w:pPr>
              <w:spacing w:line="20" w:lineRule="atLeast"/>
              <w:rPr>
                <w:rFonts w:hint="eastAsia" w:ascii="仿宋" w:hAnsi="仿宋" w:eastAsia="仿宋" w:cs="仿宋"/>
                <w:color w:val="auto"/>
                <w:sz w:val="24"/>
                <w:highlight w:val="none"/>
              </w:rPr>
            </w:pPr>
          </w:p>
        </w:tc>
        <w:tc>
          <w:tcPr>
            <w:tcW w:w="871" w:type="dxa"/>
            <w:noWrap w:val="0"/>
            <w:vAlign w:val="top"/>
          </w:tcPr>
          <w:p w14:paraId="444AE7BB">
            <w:pPr>
              <w:spacing w:line="20" w:lineRule="atLeast"/>
              <w:rPr>
                <w:rFonts w:hint="eastAsia" w:ascii="仿宋" w:hAnsi="仿宋" w:eastAsia="仿宋" w:cs="仿宋"/>
                <w:color w:val="auto"/>
                <w:sz w:val="24"/>
                <w:highlight w:val="none"/>
              </w:rPr>
            </w:pPr>
          </w:p>
        </w:tc>
        <w:tc>
          <w:tcPr>
            <w:tcW w:w="912" w:type="dxa"/>
            <w:noWrap w:val="0"/>
            <w:vAlign w:val="top"/>
          </w:tcPr>
          <w:p w14:paraId="16351908">
            <w:pPr>
              <w:spacing w:line="20" w:lineRule="atLeast"/>
              <w:rPr>
                <w:rFonts w:hint="eastAsia" w:ascii="仿宋" w:hAnsi="仿宋" w:eastAsia="仿宋" w:cs="仿宋"/>
                <w:color w:val="auto"/>
                <w:sz w:val="24"/>
                <w:highlight w:val="none"/>
              </w:rPr>
            </w:pPr>
          </w:p>
        </w:tc>
        <w:tc>
          <w:tcPr>
            <w:tcW w:w="775" w:type="dxa"/>
            <w:noWrap w:val="0"/>
            <w:vAlign w:val="top"/>
          </w:tcPr>
          <w:p w14:paraId="70810E08">
            <w:pPr>
              <w:spacing w:line="20" w:lineRule="atLeast"/>
              <w:rPr>
                <w:rFonts w:hint="eastAsia" w:ascii="仿宋" w:hAnsi="仿宋" w:eastAsia="仿宋" w:cs="仿宋"/>
                <w:color w:val="auto"/>
                <w:sz w:val="24"/>
                <w:highlight w:val="none"/>
              </w:rPr>
            </w:pPr>
          </w:p>
        </w:tc>
        <w:tc>
          <w:tcPr>
            <w:tcW w:w="1141" w:type="dxa"/>
            <w:noWrap w:val="0"/>
            <w:vAlign w:val="top"/>
          </w:tcPr>
          <w:p w14:paraId="58121799">
            <w:pPr>
              <w:spacing w:line="20" w:lineRule="atLeast"/>
              <w:rPr>
                <w:rFonts w:hint="eastAsia" w:ascii="仿宋" w:hAnsi="仿宋" w:eastAsia="仿宋" w:cs="仿宋"/>
                <w:color w:val="auto"/>
                <w:sz w:val="24"/>
                <w:highlight w:val="none"/>
              </w:rPr>
            </w:pPr>
          </w:p>
        </w:tc>
      </w:tr>
      <w:tr w14:paraId="68AD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noWrap w:val="0"/>
            <w:vAlign w:val="top"/>
          </w:tcPr>
          <w:p w14:paraId="4BBC9F15">
            <w:pPr>
              <w:spacing w:line="20" w:lineRule="atLeast"/>
              <w:rPr>
                <w:rFonts w:hint="eastAsia" w:ascii="仿宋" w:hAnsi="仿宋" w:eastAsia="仿宋" w:cs="仿宋"/>
                <w:color w:val="auto"/>
                <w:sz w:val="24"/>
                <w:highlight w:val="none"/>
              </w:rPr>
            </w:pPr>
          </w:p>
        </w:tc>
        <w:tc>
          <w:tcPr>
            <w:tcW w:w="1241" w:type="dxa"/>
            <w:noWrap w:val="0"/>
            <w:vAlign w:val="top"/>
          </w:tcPr>
          <w:p w14:paraId="3E65F513">
            <w:pPr>
              <w:spacing w:line="20" w:lineRule="atLeast"/>
              <w:rPr>
                <w:rFonts w:hint="eastAsia" w:ascii="仿宋" w:hAnsi="仿宋" w:eastAsia="仿宋" w:cs="仿宋"/>
                <w:color w:val="auto"/>
                <w:sz w:val="24"/>
                <w:highlight w:val="none"/>
              </w:rPr>
            </w:pPr>
          </w:p>
        </w:tc>
        <w:tc>
          <w:tcPr>
            <w:tcW w:w="1897" w:type="dxa"/>
            <w:noWrap w:val="0"/>
            <w:vAlign w:val="top"/>
          </w:tcPr>
          <w:p w14:paraId="19872C1E">
            <w:pPr>
              <w:spacing w:line="20" w:lineRule="atLeast"/>
              <w:rPr>
                <w:rFonts w:hint="eastAsia" w:ascii="仿宋" w:hAnsi="仿宋" w:eastAsia="仿宋" w:cs="仿宋"/>
                <w:color w:val="auto"/>
                <w:sz w:val="24"/>
                <w:highlight w:val="none"/>
              </w:rPr>
            </w:pPr>
          </w:p>
        </w:tc>
        <w:tc>
          <w:tcPr>
            <w:tcW w:w="1701" w:type="dxa"/>
            <w:noWrap w:val="0"/>
            <w:vAlign w:val="top"/>
          </w:tcPr>
          <w:p w14:paraId="7278DDFC">
            <w:pPr>
              <w:spacing w:line="20" w:lineRule="atLeast"/>
              <w:rPr>
                <w:rFonts w:hint="eastAsia" w:ascii="仿宋" w:hAnsi="仿宋" w:eastAsia="仿宋" w:cs="仿宋"/>
                <w:color w:val="auto"/>
                <w:sz w:val="24"/>
                <w:highlight w:val="none"/>
              </w:rPr>
            </w:pPr>
          </w:p>
        </w:tc>
        <w:tc>
          <w:tcPr>
            <w:tcW w:w="871" w:type="dxa"/>
            <w:noWrap w:val="0"/>
            <w:vAlign w:val="top"/>
          </w:tcPr>
          <w:p w14:paraId="51AF8D8F">
            <w:pPr>
              <w:spacing w:line="20" w:lineRule="atLeast"/>
              <w:rPr>
                <w:rFonts w:hint="eastAsia" w:ascii="仿宋" w:hAnsi="仿宋" w:eastAsia="仿宋" w:cs="仿宋"/>
                <w:color w:val="auto"/>
                <w:sz w:val="24"/>
                <w:highlight w:val="none"/>
              </w:rPr>
            </w:pPr>
          </w:p>
        </w:tc>
        <w:tc>
          <w:tcPr>
            <w:tcW w:w="912" w:type="dxa"/>
            <w:noWrap w:val="0"/>
            <w:vAlign w:val="top"/>
          </w:tcPr>
          <w:p w14:paraId="503121EB">
            <w:pPr>
              <w:spacing w:line="20" w:lineRule="atLeast"/>
              <w:rPr>
                <w:rFonts w:hint="eastAsia" w:ascii="仿宋" w:hAnsi="仿宋" w:eastAsia="仿宋" w:cs="仿宋"/>
                <w:color w:val="auto"/>
                <w:sz w:val="24"/>
                <w:highlight w:val="none"/>
              </w:rPr>
            </w:pPr>
          </w:p>
        </w:tc>
        <w:tc>
          <w:tcPr>
            <w:tcW w:w="775" w:type="dxa"/>
            <w:noWrap w:val="0"/>
            <w:vAlign w:val="top"/>
          </w:tcPr>
          <w:p w14:paraId="66FFE437">
            <w:pPr>
              <w:spacing w:line="20" w:lineRule="atLeast"/>
              <w:rPr>
                <w:rFonts w:hint="eastAsia" w:ascii="仿宋" w:hAnsi="仿宋" w:eastAsia="仿宋" w:cs="仿宋"/>
                <w:color w:val="auto"/>
                <w:sz w:val="24"/>
                <w:highlight w:val="none"/>
              </w:rPr>
            </w:pPr>
          </w:p>
        </w:tc>
        <w:tc>
          <w:tcPr>
            <w:tcW w:w="1141" w:type="dxa"/>
            <w:noWrap w:val="0"/>
            <w:vAlign w:val="top"/>
          </w:tcPr>
          <w:p w14:paraId="69CD95EA">
            <w:pPr>
              <w:spacing w:line="20" w:lineRule="atLeast"/>
              <w:rPr>
                <w:rFonts w:hint="eastAsia" w:ascii="仿宋" w:hAnsi="仿宋" w:eastAsia="仿宋" w:cs="仿宋"/>
                <w:color w:val="auto"/>
                <w:sz w:val="24"/>
                <w:highlight w:val="none"/>
              </w:rPr>
            </w:pPr>
          </w:p>
        </w:tc>
      </w:tr>
    </w:tbl>
    <w:p w14:paraId="61946A8C">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6ED0C41D">
      <w:pPr>
        <w:pStyle w:val="12"/>
        <w:adjustRightInd w:val="0"/>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6D359FC4">
      <w:pPr>
        <w:pStyle w:val="12"/>
        <w:adjustRightInd w:val="0"/>
        <w:snapToGrid w:val="0"/>
        <w:spacing w:line="440" w:lineRule="exact"/>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3B6F4093">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E420F6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02AAAC9D">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2DBF43F">
      <w:pPr>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.2非实质性服务要求条款响应表</w:t>
      </w:r>
    </w:p>
    <w:tbl>
      <w:tblPr>
        <w:tblStyle w:val="17"/>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6A70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gridSpan w:val="8"/>
            <w:noWrap w:val="0"/>
            <w:vAlign w:val="top"/>
          </w:tcPr>
          <w:p w14:paraId="49CD771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79972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1CACD795">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1948D35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4DEE8EE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服务要求</w:t>
            </w:r>
          </w:p>
        </w:tc>
        <w:tc>
          <w:tcPr>
            <w:tcW w:w="1620" w:type="dxa"/>
            <w:shd w:val="clear" w:color="auto" w:fill="F1F1F1"/>
            <w:noWrap w:val="0"/>
            <w:vAlign w:val="center"/>
          </w:tcPr>
          <w:p w14:paraId="2E3C3ADA">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45D59C03">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55933C24">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1EF4BD0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310855E9">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198CB370">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0F81B9A7">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0681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77603D9">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1943ADAF">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623B6FE0">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7F0BD0C4">
            <w:pPr>
              <w:spacing w:line="20" w:lineRule="atLeast"/>
              <w:rPr>
                <w:rFonts w:hint="eastAsia" w:ascii="仿宋" w:hAnsi="仿宋" w:eastAsia="仿宋" w:cs="仿宋"/>
                <w:color w:val="auto"/>
                <w:sz w:val="24"/>
                <w:highlight w:val="none"/>
              </w:rPr>
            </w:pPr>
          </w:p>
        </w:tc>
        <w:tc>
          <w:tcPr>
            <w:tcW w:w="744" w:type="dxa"/>
            <w:noWrap w:val="0"/>
            <w:vAlign w:val="top"/>
          </w:tcPr>
          <w:p w14:paraId="6A306F4B">
            <w:pPr>
              <w:spacing w:line="20" w:lineRule="atLeast"/>
              <w:rPr>
                <w:rFonts w:hint="eastAsia" w:ascii="仿宋" w:hAnsi="仿宋" w:eastAsia="仿宋" w:cs="仿宋"/>
                <w:color w:val="auto"/>
                <w:sz w:val="24"/>
                <w:highlight w:val="none"/>
              </w:rPr>
            </w:pPr>
          </w:p>
        </w:tc>
        <w:tc>
          <w:tcPr>
            <w:tcW w:w="826" w:type="dxa"/>
            <w:noWrap w:val="0"/>
            <w:vAlign w:val="top"/>
          </w:tcPr>
          <w:p w14:paraId="638CF0E2">
            <w:pPr>
              <w:spacing w:line="20" w:lineRule="atLeast"/>
              <w:rPr>
                <w:rFonts w:hint="eastAsia" w:ascii="仿宋" w:hAnsi="仿宋" w:eastAsia="仿宋" w:cs="仿宋"/>
                <w:color w:val="auto"/>
                <w:sz w:val="24"/>
                <w:highlight w:val="none"/>
              </w:rPr>
            </w:pPr>
          </w:p>
        </w:tc>
        <w:tc>
          <w:tcPr>
            <w:tcW w:w="660" w:type="dxa"/>
            <w:noWrap w:val="0"/>
            <w:vAlign w:val="top"/>
          </w:tcPr>
          <w:p w14:paraId="4213E0F4">
            <w:pPr>
              <w:spacing w:line="20" w:lineRule="atLeast"/>
              <w:rPr>
                <w:rFonts w:hint="eastAsia" w:ascii="仿宋" w:hAnsi="仿宋" w:eastAsia="仿宋" w:cs="仿宋"/>
                <w:color w:val="auto"/>
                <w:sz w:val="24"/>
                <w:highlight w:val="none"/>
              </w:rPr>
            </w:pPr>
          </w:p>
        </w:tc>
        <w:tc>
          <w:tcPr>
            <w:tcW w:w="1350" w:type="dxa"/>
            <w:noWrap w:val="0"/>
            <w:vAlign w:val="top"/>
          </w:tcPr>
          <w:p w14:paraId="6EE9FB7A">
            <w:pPr>
              <w:spacing w:line="20" w:lineRule="atLeast"/>
              <w:rPr>
                <w:rFonts w:hint="eastAsia" w:ascii="仿宋" w:hAnsi="仿宋" w:eastAsia="仿宋" w:cs="仿宋"/>
                <w:color w:val="auto"/>
                <w:sz w:val="24"/>
                <w:highlight w:val="none"/>
              </w:rPr>
            </w:pPr>
          </w:p>
        </w:tc>
      </w:tr>
      <w:tr w14:paraId="769D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32B070C">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7AFB549D">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7E1A1F7">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55DB92C">
            <w:pPr>
              <w:spacing w:line="20" w:lineRule="atLeast"/>
              <w:rPr>
                <w:rFonts w:hint="eastAsia" w:ascii="仿宋" w:hAnsi="仿宋" w:eastAsia="仿宋" w:cs="仿宋"/>
                <w:color w:val="auto"/>
                <w:sz w:val="24"/>
                <w:highlight w:val="none"/>
              </w:rPr>
            </w:pPr>
          </w:p>
        </w:tc>
        <w:tc>
          <w:tcPr>
            <w:tcW w:w="744" w:type="dxa"/>
            <w:noWrap w:val="0"/>
            <w:vAlign w:val="top"/>
          </w:tcPr>
          <w:p w14:paraId="08BBEAE2">
            <w:pPr>
              <w:spacing w:line="20" w:lineRule="atLeast"/>
              <w:rPr>
                <w:rFonts w:hint="eastAsia" w:ascii="仿宋" w:hAnsi="仿宋" w:eastAsia="仿宋" w:cs="仿宋"/>
                <w:color w:val="auto"/>
                <w:sz w:val="24"/>
                <w:highlight w:val="none"/>
              </w:rPr>
            </w:pPr>
          </w:p>
        </w:tc>
        <w:tc>
          <w:tcPr>
            <w:tcW w:w="826" w:type="dxa"/>
            <w:noWrap w:val="0"/>
            <w:vAlign w:val="top"/>
          </w:tcPr>
          <w:p w14:paraId="1658B642">
            <w:pPr>
              <w:spacing w:line="20" w:lineRule="atLeast"/>
              <w:rPr>
                <w:rFonts w:hint="eastAsia" w:ascii="仿宋" w:hAnsi="仿宋" w:eastAsia="仿宋" w:cs="仿宋"/>
                <w:color w:val="auto"/>
                <w:sz w:val="24"/>
                <w:highlight w:val="none"/>
              </w:rPr>
            </w:pPr>
          </w:p>
        </w:tc>
        <w:tc>
          <w:tcPr>
            <w:tcW w:w="660" w:type="dxa"/>
            <w:noWrap w:val="0"/>
            <w:vAlign w:val="top"/>
          </w:tcPr>
          <w:p w14:paraId="216AA6F3">
            <w:pPr>
              <w:spacing w:line="20" w:lineRule="atLeast"/>
              <w:rPr>
                <w:rFonts w:hint="eastAsia" w:ascii="仿宋" w:hAnsi="仿宋" w:eastAsia="仿宋" w:cs="仿宋"/>
                <w:color w:val="auto"/>
                <w:sz w:val="24"/>
                <w:highlight w:val="none"/>
              </w:rPr>
            </w:pPr>
          </w:p>
        </w:tc>
        <w:tc>
          <w:tcPr>
            <w:tcW w:w="1350" w:type="dxa"/>
            <w:noWrap w:val="0"/>
            <w:vAlign w:val="top"/>
          </w:tcPr>
          <w:p w14:paraId="55B5BCE6">
            <w:pPr>
              <w:spacing w:line="20" w:lineRule="atLeast"/>
              <w:rPr>
                <w:rFonts w:hint="eastAsia" w:ascii="仿宋" w:hAnsi="仿宋" w:eastAsia="仿宋" w:cs="仿宋"/>
                <w:color w:val="auto"/>
                <w:sz w:val="24"/>
                <w:highlight w:val="none"/>
              </w:rPr>
            </w:pPr>
          </w:p>
        </w:tc>
      </w:tr>
      <w:tr w14:paraId="397E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A26316A">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7F2B2435">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6A61A8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29F9A27F">
            <w:pPr>
              <w:spacing w:line="20" w:lineRule="atLeast"/>
              <w:rPr>
                <w:rFonts w:hint="eastAsia" w:ascii="仿宋" w:hAnsi="仿宋" w:eastAsia="仿宋" w:cs="仿宋"/>
                <w:color w:val="auto"/>
                <w:sz w:val="24"/>
                <w:highlight w:val="none"/>
              </w:rPr>
            </w:pPr>
          </w:p>
        </w:tc>
        <w:tc>
          <w:tcPr>
            <w:tcW w:w="744" w:type="dxa"/>
            <w:noWrap w:val="0"/>
            <w:vAlign w:val="top"/>
          </w:tcPr>
          <w:p w14:paraId="5B65FC95">
            <w:pPr>
              <w:spacing w:line="20" w:lineRule="atLeast"/>
              <w:rPr>
                <w:rFonts w:hint="eastAsia" w:ascii="仿宋" w:hAnsi="仿宋" w:eastAsia="仿宋" w:cs="仿宋"/>
                <w:color w:val="auto"/>
                <w:sz w:val="24"/>
                <w:highlight w:val="none"/>
              </w:rPr>
            </w:pPr>
          </w:p>
        </w:tc>
        <w:tc>
          <w:tcPr>
            <w:tcW w:w="826" w:type="dxa"/>
            <w:noWrap w:val="0"/>
            <w:vAlign w:val="top"/>
          </w:tcPr>
          <w:p w14:paraId="38A4E829">
            <w:pPr>
              <w:spacing w:line="20" w:lineRule="atLeast"/>
              <w:rPr>
                <w:rFonts w:hint="eastAsia" w:ascii="仿宋" w:hAnsi="仿宋" w:eastAsia="仿宋" w:cs="仿宋"/>
                <w:color w:val="auto"/>
                <w:sz w:val="24"/>
                <w:highlight w:val="none"/>
              </w:rPr>
            </w:pPr>
          </w:p>
        </w:tc>
        <w:tc>
          <w:tcPr>
            <w:tcW w:w="660" w:type="dxa"/>
            <w:noWrap w:val="0"/>
            <w:vAlign w:val="top"/>
          </w:tcPr>
          <w:p w14:paraId="7F6891F1">
            <w:pPr>
              <w:spacing w:line="20" w:lineRule="atLeast"/>
              <w:rPr>
                <w:rFonts w:hint="eastAsia" w:ascii="仿宋" w:hAnsi="仿宋" w:eastAsia="仿宋" w:cs="仿宋"/>
                <w:color w:val="auto"/>
                <w:sz w:val="24"/>
                <w:highlight w:val="none"/>
              </w:rPr>
            </w:pPr>
          </w:p>
        </w:tc>
        <w:tc>
          <w:tcPr>
            <w:tcW w:w="1350" w:type="dxa"/>
            <w:noWrap w:val="0"/>
            <w:vAlign w:val="top"/>
          </w:tcPr>
          <w:p w14:paraId="46E90ADC">
            <w:pPr>
              <w:spacing w:line="20" w:lineRule="atLeast"/>
              <w:rPr>
                <w:rFonts w:hint="eastAsia" w:ascii="仿宋" w:hAnsi="仿宋" w:eastAsia="仿宋" w:cs="仿宋"/>
                <w:color w:val="auto"/>
                <w:sz w:val="24"/>
                <w:highlight w:val="none"/>
              </w:rPr>
            </w:pPr>
          </w:p>
        </w:tc>
      </w:tr>
      <w:tr w14:paraId="68FD1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9075EB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1B57CA1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08DB3DC">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215B8F7">
            <w:pPr>
              <w:spacing w:line="20" w:lineRule="atLeast"/>
              <w:rPr>
                <w:rFonts w:hint="eastAsia" w:ascii="仿宋" w:hAnsi="仿宋" w:eastAsia="仿宋" w:cs="仿宋"/>
                <w:color w:val="auto"/>
                <w:sz w:val="24"/>
                <w:highlight w:val="none"/>
              </w:rPr>
            </w:pPr>
          </w:p>
        </w:tc>
        <w:tc>
          <w:tcPr>
            <w:tcW w:w="744" w:type="dxa"/>
            <w:noWrap w:val="0"/>
            <w:vAlign w:val="top"/>
          </w:tcPr>
          <w:p w14:paraId="5F23E5F0">
            <w:pPr>
              <w:spacing w:line="20" w:lineRule="atLeast"/>
              <w:rPr>
                <w:rFonts w:hint="eastAsia" w:ascii="仿宋" w:hAnsi="仿宋" w:eastAsia="仿宋" w:cs="仿宋"/>
                <w:color w:val="auto"/>
                <w:sz w:val="24"/>
                <w:highlight w:val="none"/>
              </w:rPr>
            </w:pPr>
          </w:p>
        </w:tc>
        <w:tc>
          <w:tcPr>
            <w:tcW w:w="826" w:type="dxa"/>
            <w:noWrap w:val="0"/>
            <w:vAlign w:val="top"/>
          </w:tcPr>
          <w:p w14:paraId="4572CEB1">
            <w:pPr>
              <w:spacing w:line="20" w:lineRule="atLeast"/>
              <w:rPr>
                <w:rFonts w:hint="eastAsia" w:ascii="仿宋" w:hAnsi="仿宋" w:eastAsia="仿宋" w:cs="仿宋"/>
                <w:color w:val="auto"/>
                <w:sz w:val="24"/>
                <w:highlight w:val="none"/>
              </w:rPr>
            </w:pPr>
          </w:p>
        </w:tc>
        <w:tc>
          <w:tcPr>
            <w:tcW w:w="660" w:type="dxa"/>
            <w:noWrap w:val="0"/>
            <w:vAlign w:val="top"/>
          </w:tcPr>
          <w:p w14:paraId="605D86B9">
            <w:pPr>
              <w:spacing w:line="20" w:lineRule="atLeast"/>
              <w:rPr>
                <w:rFonts w:hint="eastAsia" w:ascii="仿宋" w:hAnsi="仿宋" w:eastAsia="仿宋" w:cs="仿宋"/>
                <w:color w:val="auto"/>
                <w:sz w:val="24"/>
                <w:highlight w:val="none"/>
              </w:rPr>
            </w:pPr>
          </w:p>
        </w:tc>
        <w:tc>
          <w:tcPr>
            <w:tcW w:w="1350" w:type="dxa"/>
            <w:noWrap w:val="0"/>
            <w:vAlign w:val="top"/>
          </w:tcPr>
          <w:p w14:paraId="7EEA0B76">
            <w:pPr>
              <w:spacing w:line="20" w:lineRule="atLeast"/>
              <w:rPr>
                <w:rFonts w:hint="eastAsia" w:ascii="仿宋" w:hAnsi="仿宋" w:eastAsia="仿宋" w:cs="仿宋"/>
                <w:color w:val="auto"/>
                <w:sz w:val="24"/>
                <w:highlight w:val="none"/>
              </w:rPr>
            </w:pPr>
          </w:p>
        </w:tc>
      </w:tr>
      <w:tr w14:paraId="278C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5482C8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39B6C16B">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FE1952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B64FFA2">
            <w:pPr>
              <w:spacing w:line="20" w:lineRule="atLeast"/>
              <w:rPr>
                <w:rFonts w:hint="eastAsia" w:ascii="仿宋" w:hAnsi="仿宋" w:eastAsia="仿宋" w:cs="仿宋"/>
                <w:color w:val="auto"/>
                <w:sz w:val="24"/>
                <w:highlight w:val="none"/>
              </w:rPr>
            </w:pPr>
          </w:p>
        </w:tc>
        <w:tc>
          <w:tcPr>
            <w:tcW w:w="744" w:type="dxa"/>
            <w:noWrap w:val="0"/>
            <w:vAlign w:val="top"/>
          </w:tcPr>
          <w:p w14:paraId="05F88685">
            <w:pPr>
              <w:spacing w:line="20" w:lineRule="atLeast"/>
              <w:rPr>
                <w:rFonts w:hint="eastAsia" w:ascii="仿宋" w:hAnsi="仿宋" w:eastAsia="仿宋" w:cs="仿宋"/>
                <w:color w:val="auto"/>
                <w:sz w:val="24"/>
                <w:highlight w:val="none"/>
              </w:rPr>
            </w:pPr>
          </w:p>
        </w:tc>
        <w:tc>
          <w:tcPr>
            <w:tcW w:w="826" w:type="dxa"/>
            <w:noWrap w:val="0"/>
            <w:vAlign w:val="top"/>
          </w:tcPr>
          <w:p w14:paraId="455FF265">
            <w:pPr>
              <w:spacing w:line="20" w:lineRule="atLeast"/>
              <w:rPr>
                <w:rFonts w:hint="eastAsia" w:ascii="仿宋" w:hAnsi="仿宋" w:eastAsia="仿宋" w:cs="仿宋"/>
                <w:color w:val="auto"/>
                <w:sz w:val="24"/>
                <w:highlight w:val="none"/>
              </w:rPr>
            </w:pPr>
          </w:p>
        </w:tc>
        <w:tc>
          <w:tcPr>
            <w:tcW w:w="660" w:type="dxa"/>
            <w:noWrap w:val="0"/>
            <w:vAlign w:val="top"/>
          </w:tcPr>
          <w:p w14:paraId="0BE0A832">
            <w:pPr>
              <w:spacing w:line="20" w:lineRule="atLeast"/>
              <w:rPr>
                <w:rFonts w:hint="eastAsia" w:ascii="仿宋" w:hAnsi="仿宋" w:eastAsia="仿宋" w:cs="仿宋"/>
                <w:color w:val="auto"/>
                <w:sz w:val="24"/>
                <w:highlight w:val="none"/>
              </w:rPr>
            </w:pPr>
          </w:p>
        </w:tc>
        <w:tc>
          <w:tcPr>
            <w:tcW w:w="1350" w:type="dxa"/>
            <w:noWrap w:val="0"/>
            <w:vAlign w:val="top"/>
          </w:tcPr>
          <w:p w14:paraId="3E5BB7C5">
            <w:pPr>
              <w:spacing w:line="20" w:lineRule="atLeast"/>
              <w:rPr>
                <w:rFonts w:hint="eastAsia" w:ascii="仿宋" w:hAnsi="仿宋" w:eastAsia="仿宋" w:cs="仿宋"/>
                <w:color w:val="auto"/>
                <w:sz w:val="24"/>
                <w:highlight w:val="none"/>
              </w:rPr>
            </w:pPr>
          </w:p>
        </w:tc>
      </w:tr>
      <w:tr w14:paraId="7A7C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1DA0085">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39E0E59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D5A4E0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AF20104">
            <w:pPr>
              <w:spacing w:line="20" w:lineRule="atLeast"/>
              <w:rPr>
                <w:rFonts w:hint="eastAsia" w:ascii="仿宋" w:hAnsi="仿宋" w:eastAsia="仿宋" w:cs="仿宋"/>
                <w:color w:val="auto"/>
                <w:sz w:val="24"/>
                <w:highlight w:val="none"/>
              </w:rPr>
            </w:pPr>
          </w:p>
        </w:tc>
        <w:tc>
          <w:tcPr>
            <w:tcW w:w="744" w:type="dxa"/>
            <w:noWrap w:val="0"/>
            <w:vAlign w:val="top"/>
          </w:tcPr>
          <w:p w14:paraId="06A0169C">
            <w:pPr>
              <w:spacing w:line="20" w:lineRule="atLeast"/>
              <w:rPr>
                <w:rFonts w:hint="eastAsia" w:ascii="仿宋" w:hAnsi="仿宋" w:eastAsia="仿宋" w:cs="仿宋"/>
                <w:color w:val="auto"/>
                <w:sz w:val="24"/>
                <w:highlight w:val="none"/>
              </w:rPr>
            </w:pPr>
          </w:p>
        </w:tc>
        <w:tc>
          <w:tcPr>
            <w:tcW w:w="826" w:type="dxa"/>
            <w:noWrap w:val="0"/>
            <w:vAlign w:val="top"/>
          </w:tcPr>
          <w:p w14:paraId="3315F125">
            <w:pPr>
              <w:spacing w:line="20" w:lineRule="atLeast"/>
              <w:rPr>
                <w:rFonts w:hint="eastAsia" w:ascii="仿宋" w:hAnsi="仿宋" w:eastAsia="仿宋" w:cs="仿宋"/>
                <w:color w:val="auto"/>
                <w:sz w:val="24"/>
                <w:highlight w:val="none"/>
              </w:rPr>
            </w:pPr>
          </w:p>
        </w:tc>
        <w:tc>
          <w:tcPr>
            <w:tcW w:w="660" w:type="dxa"/>
            <w:noWrap w:val="0"/>
            <w:vAlign w:val="top"/>
          </w:tcPr>
          <w:p w14:paraId="064701A4">
            <w:pPr>
              <w:spacing w:line="20" w:lineRule="atLeast"/>
              <w:rPr>
                <w:rFonts w:hint="eastAsia" w:ascii="仿宋" w:hAnsi="仿宋" w:eastAsia="仿宋" w:cs="仿宋"/>
                <w:color w:val="auto"/>
                <w:sz w:val="24"/>
                <w:highlight w:val="none"/>
              </w:rPr>
            </w:pPr>
          </w:p>
        </w:tc>
        <w:tc>
          <w:tcPr>
            <w:tcW w:w="1350" w:type="dxa"/>
            <w:noWrap w:val="0"/>
            <w:vAlign w:val="top"/>
          </w:tcPr>
          <w:p w14:paraId="232AFBCA">
            <w:pPr>
              <w:spacing w:line="20" w:lineRule="atLeast"/>
              <w:rPr>
                <w:rFonts w:hint="eastAsia" w:ascii="仿宋" w:hAnsi="仿宋" w:eastAsia="仿宋" w:cs="仿宋"/>
                <w:color w:val="auto"/>
                <w:sz w:val="24"/>
                <w:highlight w:val="none"/>
              </w:rPr>
            </w:pPr>
          </w:p>
        </w:tc>
      </w:tr>
      <w:tr w14:paraId="22BD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246C616">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79616257">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C7775EE">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D361446">
            <w:pPr>
              <w:spacing w:line="20" w:lineRule="atLeast"/>
              <w:rPr>
                <w:rFonts w:hint="eastAsia" w:ascii="仿宋" w:hAnsi="仿宋" w:eastAsia="仿宋" w:cs="仿宋"/>
                <w:color w:val="auto"/>
                <w:sz w:val="24"/>
                <w:highlight w:val="none"/>
              </w:rPr>
            </w:pPr>
          </w:p>
        </w:tc>
        <w:tc>
          <w:tcPr>
            <w:tcW w:w="744" w:type="dxa"/>
            <w:noWrap w:val="0"/>
            <w:vAlign w:val="top"/>
          </w:tcPr>
          <w:p w14:paraId="53E92BA2">
            <w:pPr>
              <w:spacing w:line="20" w:lineRule="atLeast"/>
              <w:rPr>
                <w:rFonts w:hint="eastAsia" w:ascii="仿宋" w:hAnsi="仿宋" w:eastAsia="仿宋" w:cs="仿宋"/>
                <w:color w:val="auto"/>
                <w:sz w:val="24"/>
                <w:highlight w:val="none"/>
              </w:rPr>
            </w:pPr>
          </w:p>
        </w:tc>
        <w:tc>
          <w:tcPr>
            <w:tcW w:w="826" w:type="dxa"/>
            <w:noWrap w:val="0"/>
            <w:vAlign w:val="top"/>
          </w:tcPr>
          <w:p w14:paraId="2C6F203F">
            <w:pPr>
              <w:spacing w:line="20" w:lineRule="atLeast"/>
              <w:rPr>
                <w:rFonts w:hint="eastAsia" w:ascii="仿宋" w:hAnsi="仿宋" w:eastAsia="仿宋" w:cs="仿宋"/>
                <w:color w:val="auto"/>
                <w:sz w:val="24"/>
                <w:highlight w:val="none"/>
              </w:rPr>
            </w:pPr>
          </w:p>
        </w:tc>
        <w:tc>
          <w:tcPr>
            <w:tcW w:w="660" w:type="dxa"/>
            <w:noWrap w:val="0"/>
            <w:vAlign w:val="top"/>
          </w:tcPr>
          <w:p w14:paraId="55E8F99C">
            <w:pPr>
              <w:spacing w:line="20" w:lineRule="atLeast"/>
              <w:rPr>
                <w:rFonts w:hint="eastAsia" w:ascii="仿宋" w:hAnsi="仿宋" w:eastAsia="仿宋" w:cs="仿宋"/>
                <w:color w:val="auto"/>
                <w:sz w:val="24"/>
                <w:highlight w:val="none"/>
              </w:rPr>
            </w:pPr>
          </w:p>
        </w:tc>
        <w:tc>
          <w:tcPr>
            <w:tcW w:w="1350" w:type="dxa"/>
            <w:noWrap w:val="0"/>
            <w:vAlign w:val="top"/>
          </w:tcPr>
          <w:p w14:paraId="2DEF3B66">
            <w:pPr>
              <w:spacing w:line="20" w:lineRule="atLeast"/>
              <w:rPr>
                <w:rFonts w:hint="eastAsia" w:ascii="仿宋" w:hAnsi="仿宋" w:eastAsia="仿宋" w:cs="仿宋"/>
                <w:color w:val="auto"/>
                <w:sz w:val="24"/>
                <w:highlight w:val="none"/>
              </w:rPr>
            </w:pPr>
          </w:p>
        </w:tc>
      </w:tr>
      <w:tr w14:paraId="0F572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E64C48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19D36778">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3DCF98D">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925C9A1">
            <w:pPr>
              <w:spacing w:line="20" w:lineRule="atLeast"/>
              <w:rPr>
                <w:rFonts w:hint="eastAsia" w:ascii="仿宋" w:hAnsi="仿宋" w:eastAsia="仿宋" w:cs="仿宋"/>
                <w:color w:val="auto"/>
                <w:sz w:val="24"/>
                <w:highlight w:val="none"/>
              </w:rPr>
            </w:pPr>
          </w:p>
        </w:tc>
        <w:tc>
          <w:tcPr>
            <w:tcW w:w="744" w:type="dxa"/>
            <w:noWrap w:val="0"/>
            <w:vAlign w:val="top"/>
          </w:tcPr>
          <w:p w14:paraId="2E6D25B5">
            <w:pPr>
              <w:spacing w:line="20" w:lineRule="atLeast"/>
              <w:rPr>
                <w:rFonts w:hint="eastAsia" w:ascii="仿宋" w:hAnsi="仿宋" w:eastAsia="仿宋" w:cs="仿宋"/>
                <w:color w:val="auto"/>
                <w:sz w:val="24"/>
                <w:highlight w:val="none"/>
              </w:rPr>
            </w:pPr>
          </w:p>
        </w:tc>
        <w:tc>
          <w:tcPr>
            <w:tcW w:w="826" w:type="dxa"/>
            <w:noWrap w:val="0"/>
            <w:vAlign w:val="top"/>
          </w:tcPr>
          <w:p w14:paraId="02490088">
            <w:pPr>
              <w:spacing w:line="20" w:lineRule="atLeast"/>
              <w:rPr>
                <w:rFonts w:hint="eastAsia" w:ascii="仿宋" w:hAnsi="仿宋" w:eastAsia="仿宋" w:cs="仿宋"/>
                <w:color w:val="auto"/>
                <w:sz w:val="24"/>
                <w:highlight w:val="none"/>
              </w:rPr>
            </w:pPr>
          </w:p>
        </w:tc>
        <w:tc>
          <w:tcPr>
            <w:tcW w:w="660" w:type="dxa"/>
            <w:noWrap w:val="0"/>
            <w:vAlign w:val="top"/>
          </w:tcPr>
          <w:p w14:paraId="4D336743">
            <w:pPr>
              <w:spacing w:line="20" w:lineRule="atLeast"/>
              <w:rPr>
                <w:rFonts w:hint="eastAsia" w:ascii="仿宋" w:hAnsi="仿宋" w:eastAsia="仿宋" w:cs="仿宋"/>
                <w:color w:val="auto"/>
                <w:sz w:val="24"/>
                <w:highlight w:val="none"/>
              </w:rPr>
            </w:pPr>
          </w:p>
        </w:tc>
        <w:tc>
          <w:tcPr>
            <w:tcW w:w="1350" w:type="dxa"/>
            <w:noWrap w:val="0"/>
            <w:vAlign w:val="top"/>
          </w:tcPr>
          <w:p w14:paraId="3FA6D754">
            <w:pPr>
              <w:spacing w:line="20" w:lineRule="atLeast"/>
              <w:rPr>
                <w:rFonts w:hint="eastAsia" w:ascii="仿宋" w:hAnsi="仿宋" w:eastAsia="仿宋" w:cs="仿宋"/>
                <w:color w:val="auto"/>
                <w:sz w:val="24"/>
                <w:highlight w:val="none"/>
              </w:rPr>
            </w:pPr>
          </w:p>
        </w:tc>
      </w:tr>
      <w:tr w14:paraId="1258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9AEB8C5">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1025" w:type="dxa"/>
            <w:noWrap w:val="0"/>
            <w:vAlign w:val="center"/>
          </w:tcPr>
          <w:p w14:paraId="5A4679D1">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14:paraId="47246904">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3C27B88D">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1E14B3AF">
            <w:pPr>
              <w:spacing w:line="20" w:lineRule="atLeast"/>
              <w:rPr>
                <w:rFonts w:hint="eastAsia" w:ascii="仿宋" w:hAnsi="仿宋" w:eastAsia="仿宋" w:cs="仿宋"/>
                <w:color w:val="auto"/>
                <w:sz w:val="24"/>
                <w:highlight w:val="none"/>
              </w:rPr>
            </w:pPr>
          </w:p>
        </w:tc>
        <w:tc>
          <w:tcPr>
            <w:tcW w:w="744" w:type="dxa"/>
            <w:noWrap w:val="0"/>
            <w:vAlign w:val="top"/>
          </w:tcPr>
          <w:p w14:paraId="49A2F2EE">
            <w:pPr>
              <w:spacing w:line="20" w:lineRule="atLeast"/>
              <w:rPr>
                <w:rFonts w:hint="eastAsia" w:ascii="仿宋" w:hAnsi="仿宋" w:eastAsia="仿宋" w:cs="仿宋"/>
                <w:color w:val="auto"/>
                <w:sz w:val="24"/>
                <w:highlight w:val="none"/>
              </w:rPr>
            </w:pPr>
          </w:p>
        </w:tc>
        <w:tc>
          <w:tcPr>
            <w:tcW w:w="826" w:type="dxa"/>
            <w:noWrap w:val="0"/>
            <w:vAlign w:val="top"/>
          </w:tcPr>
          <w:p w14:paraId="1FF727C3">
            <w:pPr>
              <w:spacing w:line="20" w:lineRule="atLeast"/>
              <w:rPr>
                <w:rFonts w:hint="eastAsia" w:ascii="仿宋" w:hAnsi="仿宋" w:eastAsia="仿宋" w:cs="仿宋"/>
                <w:color w:val="auto"/>
                <w:sz w:val="24"/>
                <w:highlight w:val="none"/>
              </w:rPr>
            </w:pPr>
          </w:p>
        </w:tc>
        <w:tc>
          <w:tcPr>
            <w:tcW w:w="660" w:type="dxa"/>
            <w:noWrap w:val="0"/>
            <w:vAlign w:val="top"/>
          </w:tcPr>
          <w:p w14:paraId="6EA7891E">
            <w:pPr>
              <w:spacing w:line="20" w:lineRule="atLeast"/>
              <w:rPr>
                <w:rFonts w:hint="eastAsia" w:ascii="仿宋" w:hAnsi="仿宋" w:eastAsia="仿宋" w:cs="仿宋"/>
                <w:color w:val="auto"/>
                <w:sz w:val="24"/>
                <w:highlight w:val="none"/>
              </w:rPr>
            </w:pPr>
          </w:p>
        </w:tc>
        <w:tc>
          <w:tcPr>
            <w:tcW w:w="1350" w:type="dxa"/>
            <w:noWrap w:val="0"/>
            <w:vAlign w:val="top"/>
          </w:tcPr>
          <w:p w14:paraId="19A87BAF">
            <w:pPr>
              <w:spacing w:line="20" w:lineRule="atLeast"/>
              <w:rPr>
                <w:rFonts w:hint="eastAsia" w:ascii="仿宋" w:hAnsi="仿宋" w:eastAsia="仿宋" w:cs="仿宋"/>
                <w:color w:val="auto"/>
                <w:sz w:val="24"/>
                <w:highlight w:val="none"/>
              </w:rPr>
            </w:pPr>
          </w:p>
        </w:tc>
      </w:tr>
    </w:tbl>
    <w:p w14:paraId="76633F4C">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rPr>
        <w:t>服务要求的内容逐条响应。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14DE61C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2D63CEEE">
      <w:pPr>
        <w:adjustRightInd w:val="0"/>
        <w:snapToGrid w:val="0"/>
        <w:spacing w:line="300" w:lineRule="auto"/>
        <w:rPr>
          <w:rFonts w:ascii="仿宋" w:hAnsi="仿宋" w:eastAsia="仿宋" w:cs="仿宋"/>
          <w:b/>
          <w:color w:val="auto"/>
          <w:sz w:val="24"/>
          <w:highlight w:val="none"/>
        </w:rPr>
      </w:pPr>
    </w:p>
    <w:p w14:paraId="7044E13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4A7F2D3">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响应供应商名称（签章）：</w:t>
      </w:r>
      <w:r>
        <w:rPr>
          <w:rFonts w:hint="eastAsia" w:ascii="仿宋" w:hAnsi="仿宋" w:eastAsia="仿宋" w:cs="仿宋"/>
          <w:color w:val="auto"/>
          <w:sz w:val="24"/>
          <w:highlight w:val="none"/>
          <w:u w:val="single"/>
        </w:rPr>
        <w:t xml:space="preserve">                        </w:t>
      </w:r>
    </w:p>
    <w:p w14:paraId="25AC665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04730B2">
      <w:pPr>
        <w:rPr>
          <w:rFonts w:hint="eastAsia" w:ascii="仿宋" w:hAnsi="仿宋" w:eastAsia="仿宋" w:cs="仿宋"/>
          <w:color w:val="auto"/>
          <w:sz w:val="24"/>
          <w:highlight w:val="none"/>
        </w:rPr>
      </w:pPr>
    </w:p>
    <w:p w14:paraId="4B739252">
      <w:pPr>
        <w:pStyle w:val="10"/>
        <w:tabs>
          <w:tab w:val="left" w:pos="839"/>
        </w:tabs>
        <w:rPr>
          <w:rFonts w:hint="eastAsia" w:ascii="仿宋" w:hAnsi="仿宋" w:eastAsia="仿宋" w:cs="仿宋"/>
          <w:color w:val="auto"/>
          <w:sz w:val="24"/>
          <w:highlight w:val="none"/>
        </w:rPr>
      </w:pPr>
    </w:p>
    <w:p w14:paraId="5615D7E5">
      <w:pPr>
        <w:rPr>
          <w:rFonts w:hint="eastAsia" w:ascii="仿宋" w:hAnsi="仿宋" w:eastAsia="仿宋" w:cs="仿宋"/>
          <w:color w:val="auto"/>
          <w:sz w:val="24"/>
          <w:highlight w:val="none"/>
        </w:rPr>
      </w:pPr>
    </w:p>
    <w:p w14:paraId="62BD0B2D">
      <w:pPr>
        <w:pStyle w:val="10"/>
        <w:tabs>
          <w:tab w:val="left" w:pos="839"/>
        </w:tabs>
        <w:rPr>
          <w:rFonts w:hint="eastAsia" w:ascii="仿宋" w:hAnsi="仿宋" w:eastAsia="仿宋" w:cs="仿宋"/>
          <w:color w:val="auto"/>
          <w:sz w:val="24"/>
          <w:highlight w:val="none"/>
        </w:rPr>
      </w:pPr>
    </w:p>
    <w:p w14:paraId="16AC2FE0">
      <w:pPr>
        <w:rPr>
          <w:rFonts w:hint="eastAsia" w:ascii="仿宋" w:hAnsi="仿宋" w:eastAsia="仿宋" w:cs="仿宋"/>
          <w:color w:val="auto"/>
          <w:sz w:val="24"/>
          <w:highlight w:val="none"/>
        </w:rPr>
      </w:pPr>
    </w:p>
    <w:p w14:paraId="6FCC4408">
      <w:pPr>
        <w:pStyle w:val="10"/>
        <w:tabs>
          <w:tab w:val="left" w:pos="839"/>
        </w:tabs>
        <w:rPr>
          <w:rFonts w:hint="eastAsia" w:ascii="仿宋" w:hAnsi="仿宋" w:eastAsia="仿宋" w:cs="仿宋"/>
          <w:color w:val="auto"/>
          <w:sz w:val="24"/>
          <w:highlight w:val="none"/>
        </w:rPr>
      </w:pPr>
    </w:p>
    <w:p w14:paraId="1711FDC3">
      <w:pPr>
        <w:rPr>
          <w:rFonts w:hint="eastAsia" w:ascii="仿宋" w:hAnsi="仿宋" w:eastAsia="仿宋" w:cs="仿宋"/>
          <w:color w:val="auto"/>
          <w:sz w:val="24"/>
          <w:highlight w:val="none"/>
        </w:rPr>
      </w:pPr>
    </w:p>
    <w:p w14:paraId="6045AFB7">
      <w:pPr>
        <w:pStyle w:val="10"/>
        <w:tabs>
          <w:tab w:val="left" w:pos="839"/>
        </w:tabs>
        <w:rPr>
          <w:rFonts w:hint="eastAsia" w:ascii="仿宋" w:hAnsi="仿宋" w:eastAsia="仿宋" w:cs="仿宋"/>
          <w:color w:val="auto"/>
          <w:sz w:val="24"/>
          <w:highlight w:val="none"/>
        </w:rPr>
      </w:pPr>
    </w:p>
    <w:p w14:paraId="3D9EE1CF">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1816E8FF">
      <w:pPr>
        <w:numPr>
          <w:ilvl w:val="0"/>
          <w:numId w:val="19"/>
        </w:num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价格部分</w:t>
      </w:r>
    </w:p>
    <w:p w14:paraId="0906CDF4">
      <w:pPr>
        <w:numPr>
          <w:ilvl w:val="0"/>
          <w:numId w:val="0"/>
        </w:numPr>
        <w:rPr>
          <w:rFonts w:hint="eastAsia" w:ascii="仿宋" w:hAnsi="仿宋" w:eastAsia="仿宋" w:cs="仿宋"/>
          <w:b/>
          <w:bCs/>
          <w:color w:val="auto"/>
          <w:kern w:val="2"/>
          <w:sz w:val="28"/>
          <w:szCs w:val="28"/>
          <w:highlight w:val="none"/>
          <w:lang w:val="en-US" w:eastAsia="zh-CN" w:bidi="ar-SA"/>
        </w:rPr>
      </w:pPr>
    </w:p>
    <w:p w14:paraId="5B070B65">
      <w:pPr>
        <w:spacing w:line="312" w:lineRule="auto"/>
        <w:jc w:val="left"/>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val="en-US" w:eastAsia="zh-CN" w:bidi="ar-SA"/>
        </w:rPr>
        <w:t>6.1</w:t>
      </w:r>
      <w:r>
        <w:rPr>
          <w:rFonts w:hint="eastAsia" w:ascii="仿宋" w:hAnsi="仿宋" w:eastAsia="仿宋" w:cs="仿宋"/>
          <w:b/>
          <w:bCs w:val="0"/>
          <w:color w:val="auto"/>
          <w:sz w:val="24"/>
          <w:szCs w:val="24"/>
          <w:highlight w:val="none"/>
        </w:rPr>
        <w:t>报价单</w:t>
      </w:r>
    </w:p>
    <w:p w14:paraId="1EBE9FE0">
      <w:pPr>
        <w:numPr>
          <w:ilvl w:val="0"/>
          <w:numId w:val="0"/>
        </w:numPr>
        <w:rPr>
          <w:rFonts w:hint="eastAsia" w:ascii="仿宋" w:hAnsi="仿宋" w:eastAsia="仿宋" w:cs="仿宋"/>
          <w:b/>
          <w:bCs/>
          <w:color w:val="auto"/>
          <w:kern w:val="2"/>
          <w:sz w:val="28"/>
          <w:szCs w:val="28"/>
          <w:highlight w:val="none"/>
          <w:lang w:val="en-US" w:eastAsia="zh-CN" w:bidi="ar-SA"/>
        </w:rPr>
      </w:pPr>
    </w:p>
    <w:p w14:paraId="0B23C9FC">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1C869176">
      <w:pPr>
        <w:jc w:val="center"/>
        <w:rPr>
          <w:rFonts w:hint="eastAsia" w:ascii="仿宋" w:hAnsi="仿宋" w:eastAsia="仿宋" w:cs="仿宋"/>
          <w:b/>
          <w:bCs/>
          <w:color w:val="auto"/>
          <w:sz w:val="32"/>
          <w:szCs w:val="32"/>
          <w:highlight w:val="none"/>
        </w:rPr>
      </w:pPr>
    </w:p>
    <w:tbl>
      <w:tblPr>
        <w:tblStyle w:val="17"/>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745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7E57A0C6">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3FA08D3C">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05CD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10A2EBF7">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6F377ABD">
            <w:pPr>
              <w:pStyle w:val="24"/>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5AAA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3C615CD8">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2CCB7B5F">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1F07C0C5">
      <w:pPr>
        <w:pStyle w:val="10"/>
        <w:keepNext w:val="0"/>
        <w:keepLines w:val="0"/>
        <w:tabs>
          <w:tab w:val="left" w:pos="839"/>
        </w:tabs>
        <w:kinsoku/>
        <w:overflowPunct/>
        <w:topLinePunct w:val="0"/>
        <w:bidi w:val="0"/>
        <w:spacing w:line="312" w:lineRule="auto"/>
        <w:textAlignment w:val="auto"/>
        <w:rPr>
          <w:rFonts w:hint="eastAsia" w:ascii="仿宋" w:hAnsi="仿宋" w:eastAsia="仿宋" w:cs="仿宋"/>
          <w:color w:val="auto"/>
          <w:sz w:val="24"/>
          <w:szCs w:val="24"/>
          <w:highlight w:val="none"/>
        </w:rPr>
      </w:pPr>
    </w:p>
    <w:p w14:paraId="3C8FF791">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5BF5A58">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须按要求完整填写所有信息，不得随意更改本表格式，否则作无效标处理。</w:t>
      </w:r>
    </w:p>
    <w:p w14:paraId="3F69FC2F">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报价保留两位小数。中文大写金额用汉字，如壹、贰、叁、肆、伍、陆、柒、捌、玖、拾、佰、仟、万、亿、元、角、分、零、整（正）等。小写：1234567.89元，大写：壹佰贰拾叁万肆仟伍佰陆拾柒元捌角玖分。</w:t>
      </w:r>
    </w:p>
    <w:p w14:paraId="1C77BED4">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3.此表是投标文件的必要文件，是投标文件的组成部分。</w:t>
      </w:r>
    </w:p>
    <w:p w14:paraId="1EF19BE9">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4.除招标文件另有规定外，投标文件内不得含有任何对本报价进行价格折扣的说明或资料，否则为无效投标。</w:t>
      </w:r>
    </w:p>
    <w:p w14:paraId="4FE6A586">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5.合同履行期限详见招标文件要求，合同履行期限超过招标文件规定的期限为无效投标。</w:t>
      </w:r>
    </w:p>
    <w:p w14:paraId="54E56204">
      <w:pPr>
        <w:keepNext w:val="0"/>
        <w:keepLines w:val="0"/>
        <w:kinsoku/>
        <w:overflowPunct/>
        <w:topLinePunct w:val="0"/>
        <w:bidi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6.投标报价要求详见招标文件要求，本项目不接受有选</w:t>
      </w:r>
      <w:r>
        <w:rPr>
          <w:rFonts w:hint="eastAsia" w:ascii="仿宋" w:hAnsi="仿宋" w:eastAsia="仿宋" w:cs="仿宋"/>
          <w:color w:val="auto"/>
          <w:sz w:val="24"/>
          <w:szCs w:val="24"/>
          <w:highlight w:val="none"/>
          <w:lang w:eastAsia="zh-CN"/>
        </w:rPr>
        <w:t>择性地投标</w:t>
      </w:r>
      <w:r>
        <w:rPr>
          <w:rFonts w:hint="eastAsia" w:ascii="仿宋" w:hAnsi="仿宋" w:eastAsia="仿宋" w:cs="仿宋"/>
          <w:color w:val="auto"/>
          <w:sz w:val="24"/>
          <w:szCs w:val="24"/>
          <w:highlight w:val="none"/>
        </w:rPr>
        <w:t>报价。</w:t>
      </w:r>
    </w:p>
    <w:p w14:paraId="50B31CF9">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7778AEB7">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787E936B">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5BD639B9">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F6522F2">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6447C140">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6E227687">
      <w:pPr>
        <w:keepNext w:val="0"/>
        <w:keepLines w:val="0"/>
        <w:kinsoku/>
        <w:overflowPunct/>
        <w:topLinePunct w:val="0"/>
        <w:bidi w:val="0"/>
        <w:spacing w:line="312" w:lineRule="auto"/>
        <w:jc w:val="left"/>
        <w:textAlignment w:val="auto"/>
        <w:rPr>
          <w:rFonts w:hint="eastAsia" w:ascii="仿宋" w:hAnsi="仿宋" w:eastAsia="仿宋" w:cs="仿宋"/>
          <w:b/>
          <w:color w:val="auto"/>
          <w:sz w:val="24"/>
          <w:szCs w:val="24"/>
          <w:highlight w:val="none"/>
          <w:lang w:val="en-US" w:eastAsia="zh-CN"/>
        </w:rPr>
      </w:pPr>
    </w:p>
    <w:p w14:paraId="5FB86937">
      <w:pP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br w:type="page"/>
      </w:r>
    </w:p>
    <w:p w14:paraId="177E06DD">
      <w:pPr>
        <w:keepNext w:val="0"/>
        <w:keepLines w:val="0"/>
        <w:kinsoku/>
        <w:overflowPunct/>
        <w:topLinePunct w:val="0"/>
        <w:bidi w:val="0"/>
        <w:spacing w:line="312"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6</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分项报价表</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如需</w:t>
      </w:r>
      <w:r>
        <w:rPr>
          <w:rFonts w:hint="eastAsia" w:ascii="仿宋" w:hAnsi="仿宋" w:eastAsia="仿宋" w:cs="仿宋"/>
          <w:b/>
          <w:color w:val="auto"/>
          <w:sz w:val="24"/>
          <w:szCs w:val="24"/>
          <w:highlight w:val="none"/>
          <w:lang w:eastAsia="zh-CN"/>
        </w:rPr>
        <w:t>）</w:t>
      </w:r>
    </w:p>
    <w:p w14:paraId="21D2E4DC">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0C85609A">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采购项目编号：</w:t>
      </w:r>
    </w:p>
    <w:p w14:paraId="294ACAE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p w14:paraId="170B2E1A">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w:t>
      </w:r>
    </w:p>
    <w:p w14:paraId="41C1535E">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采购包：</w:t>
      </w:r>
    </w:p>
    <w:p w14:paraId="728EF18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货币及单位：人民币/元</w:t>
      </w: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2"/>
        <w:gridCol w:w="912"/>
        <w:gridCol w:w="912"/>
        <w:gridCol w:w="912"/>
        <w:gridCol w:w="912"/>
        <w:gridCol w:w="912"/>
        <w:gridCol w:w="912"/>
        <w:gridCol w:w="912"/>
        <w:gridCol w:w="912"/>
        <w:gridCol w:w="912"/>
      </w:tblGrid>
      <w:tr w14:paraId="411E8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1" w:hRule="atLeast"/>
        </w:trPr>
        <w:tc>
          <w:tcPr>
            <w:tcW w:w="912" w:type="dxa"/>
            <w:noWrap w:val="0"/>
            <w:vAlign w:val="top"/>
          </w:tcPr>
          <w:p w14:paraId="44FB43E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12" w:type="dxa"/>
            <w:noWrap w:val="0"/>
            <w:vAlign w:val="top"/>
          </w:tcPr>
          <w:p w14:paraId="1E15DD7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12" w:type="dxa"/>
            <w:noWrap w:val="0"/>
            <w:vAlign w:val="top"/>
          </w:tcPr>
          <w:p w14:paraId="1D17CEE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货物名称</w:t>
            </w:r>
          </w:p>
        </w:tc>
        <w:tc>
          <w:tcPr>
            <w:tcW w:w="912" w:type="dxa"/>
            <w:noWrap w:val="0"/>
            <w:vAlign w:val="top"/>
          </w:tcPr>
          <w:p w14:paraId="6E9F267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12" w:type="dxa"/>
            <w:noWrap w:val="0"/>
            <w:vAlign w:val="top"/>
          </w:tcPr>
          <w:p w14:paraId="61A4DBB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品牌</w:t>
            </w:r>
          </w:p>
        </w:tc>
        <w:tc>
          <w:tcPr>
            <w:tcW w:w="912" w:type="dxa"/>
            <w:noWrap w:val="0"/>
            <w:vAlign w:val="top"/>
          </w:tcPr>
          <w:p w14:paraId="3F13BD5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产地</w:t>
            </w:r>
          </w:p>
        </w:tc>
        <w:tc>
          <w:tcPr>
            <w:tcW w:w="912" w:type="dxa"/>
            <w:noWrap w:val="0"/>
            <w:vAlign w:val="top"/>
          </w:tcPr>
          <w:p w14:paraId="7D04A7F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制造商名称</w:t>
            </w:r>
          </w:p>
        </w:tc>
        <w:tc>
          <w:tcPr>
            <w:tcW w:w="912" w:type="dxa"/>
            <w:noWrap w:val="0"/>
            <w:vAlign w:val="top"/>
          </w:tcPr>
          <w:p w14:paraId="235841E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12" w:type="dxa"/>
            <w:noWrap w:val="0"/>
            <w:vAlign w:val="top"/>
          </w:tcPr>
          <w:p w14:paraId="7FB6C08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12" w:type="dxa"/>
            <w:noWrap w:val="0"/>
            <w:vAlign w:val="top"/>
          </w:tcPr>
          <w:p w14:paraId="717A4FD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1D1C5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7" w:hRule="atLeast"/>
        </w:trPr>
        <w:tc>
          <w:tcPr>
            <w:tcW w:w="912" w:type="dxa"/>
            <w:noWrap w:val="0"/>
            <w:vAlign w:val="top"/>
          </w:tcPr>
          <w:p w14:paraId="07851C4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12" w:type="dxa"/>
            <w:noWrap w:val="0"/>
            <w:vAlign w:val="top"/>
          </w:tcPr>
          <w:p w14:paraId="594A3C9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2ABF42B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6F7E730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60DB265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1D38B8D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3B2C536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475850B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6212AD3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12" w:type="dxa"/>
            <w:noWrap w:val="0"/>
            <w:vAlign w:val="top"/>
          </w:tcPr>
          <w:p w14:paraId="736EDA79">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4886A02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p w14:paraId="539E09F0">
      <w:pPr>
        <w:pStyle w:val="16"/>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lang w:eastAsia="zh-CN"/>
        </w:rPr>
      </w:pPr>
    </w:p>
    <w:tbl>
      <w:tblPr>
        <w:tblStyle w:val="1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8"/>
        <w:gridCol w:w="908"/>
        <w:gridCol w:w="908"/>
        <w:gridCol w:w="908"/>
        <w:gridCol w:w="908"/>
        <w:gridCol w:w="908"/>
        <w:gridCol w:w="908"/>
        <w:gridCol w:w="908"/>
        <w:gridCol w:w="908"/>
        <w:gridCol w:w="908"/>
      </w:tblGrid>
      <w:tr w14:paraId="6436B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4" w:hRule="atLeast"/>
        </w:trPr>
        <w:tc>
          <w:tcPr>
            <w:tcW w:w="908" w:type="dxa"/>
            <w:noWrap w:val="0"/>
            <w:vAlign w:val="top"/>
          </w:tcPr>
          <w:p w14:paraId="57B3BF7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品目号</w:t>
            </w:r>
          </w:p>
        </w:tc>
        <w:tc>
          <w:tcPr>
            <w:tcW w:w="908" w:type="dxa"/>
            <w:noWrap w:val="0"/>
            <w:vAlign w:val="top"/>
          </w:tcPr>
          <w:p w14:paraId="4764EBD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8" w:type="dxa"/>
            <w:noWrap w:val="0"/>
            <w:vAlign w:val="top"/>
          </w:tcPr>
          <w:p w14:paraId="12DF34E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服务名称</w:t>
            </w:r>
          </w:p>
        </w:tc>
        <w:tc>
          <w:tcPr>
            <w:tcW w:w="908" w:type="dxa"/>
            <w:noWrap w:val="0"/>
            <w:vAlign w:val="top"/>
          </w:tcPr>
          <w:p w14:paraId="6D4728B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服务范围</w:t>
            </w:r>
          </w:p>
        </w:tc>
        <w:tc>
          <w:tcPr>
            <w:tcW w:w="908" w:type="dxa"/>
            <w:noWrap w:val="0"/>
            <w:vAlign w:val="top"/>
          </w:tcPr>
          <w:p w14:paraId="0253C3B8">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服务要求</w:t>
            </w:r>
          </w:p>
        </w:tc>
        <w:tc>
          <w:tcPr>
            <w:tcW w:w="908" w:type="dxa"/>
            <w:noWrap w:val="0"/>
            <w:vAlign w:val="top"/>
          </w:tcPr>
          <w:p w14:paraId="47C0A98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服务期限</w:t>
            </w:r>
          </w:p>
        </w:tc>
        <w:tc>
          <w:tcPr>
            <w:tcW w:w="908" w:type="dxa"/>
            <w:noWrap w:val="0"/>
            <w:vAlign w:val="top"/>
          </w:tcPr>
          <w:p w14:paraId="6405696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服务标准</w:t>
            </w:r>
          </w:p>
        </w:tc>
        <w:tc>
          <w:tcPr>
            <w:tcW w:w="908" w:type="dxa"/>
            <w:noWrap w:val="0"/>
            <w:vAlign w:val="top"/>
          </w:tcPr>
          <w:p w14:paraId="609D0936">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908" w:type="dxa"/>
            <w:noWrap w:val="0"/>
            <w:vAlign w:val="top"/>
          </w:tcPr>
          <w:p w14:paraId="6119DFE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08" w:type="dxa"/>
            <w:noWrap w:val="0"/>
            <w:vAlign w:val="top"/>
          </w:tcPr>
          <w:p w14:paraId="5C28A61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r>
      <w:tr w14:paraId="771E4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1" w:hRule="atLeast"/>
        </w:trPr>
        <w:tc>
          <w:tcPr>
            <w:tcW w:w="908" w:type="dxa"/>
            <w:noWrap w:val="0"/>
            <w:vAlign w:val="top"/>
          </w:tcPr>
          <w:p w14:paraId="05216C6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8" w:type="dxa"/>
            <w:noWrap w:val="0"/>
            <w:vAlign w:val="top"/>
          </w:tcPr>
          <w:p w14:paraId="73AF31F7">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1AA61D2A">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505A2F7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34DF9023">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14D830A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2A21B86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52461365">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48CB45A1">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c>
          <w:tcPr>
            <w:tcW w:w="908" w:type="dxa"/>
            <w:noWrap w:val="0"/>
            <w:vAlign w:val="top"/>
          </w:tcPr>
          <w:p w14:paraId="0A40330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tc>
      </w:tr>
    </w:tbl>
    <w:p w14:paraId="6A0F9112">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4A805601">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p>
    <w:p w14:paraId="2E4B26AA">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6E5A7E08">
      <w:pPr>
        <w:keepNext w:val="0"/>
        <w:keepLines w:val="0"/>
        <w:kinsoku/>
        <w:overflowPunct/>
        <w:topLinePunct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08A65715">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BAE49C0">
      <w:pPr>
        <w:pStyle w:val="11"/>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1EADEC35">
      <w:pPr>
        <w:keepNext w:val="0"/>
        <w:keepLines w:val="0"/>
        <w:kinsoku/>
        <w:overflowPunct/>
        <w:topLinePunct w:val="0"/>
        <w:autoSpaceDE w:val="0"/>
        <w:autoSpaceDN w:val="0"/>
        <w:bidi w:val="0"/>
        <w:adjustRightInd w:val="0"/>
        <w:snapToGrid w:val="0"/>
        <w:spacing w:line="312" w:lineRule="auto"/>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政府采购</w:t>
      </w:r>
      <w:r>
        <w:rPr>
          <w:rFonts w:hint="eastAsia" w:ascii="仿宋" w:hAnsi="仿宋" w:eastAsia="仿宋" w:cs="仿宋"/>
          <w:b/>
          <w:color w:val="auto"/>
          <w:sz w:val="24"/>
          <w:szCs w:val="24"/>
          <w:highlight w:val="none"/>
        </w:rPr>
        <w:t>政策适用性说明</w:t>
      </w:r>
    </w:p>
    <w:p w14:paraId="608A3C3B">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6F04C16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中小企业声明函（所投产品制造商为中小企业时提交本函，所属行业应符合采购文件中明确的本项目所属行业）</w:t>
      </w:r>
    </w:p>
    <w:p w14:paraId="5F590484">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中小企业声明函（货物）</w:t>
      </w:r>
    </w:p>
    <w:p w14:paraId="3BFA67C6">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采购活动，提供的货物全部由符合政策要求的中小企业制造。相关企业（含联合体中的中小企业、签订分包意向协议的中小企业）的具体情况如下：</w:t>
      </w:r>
    </w:p>
    <w:p w14:paraId="466EC562">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136EF9CB">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行业；制造商为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27126E0D">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505E7F9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5E5B049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7E28A6C0">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5BAD7A62">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10C66EC1">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3756418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p>
    <w:p w14:paraId="3C486287">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1DCE6D92">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应当对其出具的《中小企业声明函》真实性负责，</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出具的《中小企业声明函》内容不实的，属于提供虚假材料谋取中标。在实际操作中，</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希望获得中小企业扶持政策支持的，应从制造商处获得充分、准确的信息。对相关制造商信息了解不充分，或者不能确定相关信息真实、准确的，不建议出具《中小企业声明函》。</w:t>
      </w:r>
    </w:p>
    <w:p w14:paraId="04F065FE">
      <w:pPr>
        <w:keepNext w:val="0"/>
        <w:keepLines w:val="0"/>
        <w:kinsoku/>
        <w:overflowPunct/>
        <w:topLinePunct w:val="0"/>
        <w:bidi w:val="0"/>
        <w:adjustRightInd w:val="0"/>
        <w:snapToGrid w:val="0"/>
        <w:spacing w:before="120" w:beforeLines="50" w:after="120" w:afterLines="50" w:line="312" w:lineRule="auto"/>
        <w:jc w:val="center"/>
        <w:textAlignment w:val="auto"/>
        <w:outlineLvl w:val="9"/>
        <w:rPr>
          <w:rFonts w:hint="eastAsia" w:ascii="仿宋" w:hAnsi="仿宋" w:eastAsia="仿宋" w:cs="仿宋"/>
          <w:b w:val="0"/>
          <w:bCs w:val="0"/>
          <w:color w:val="auto"/>
          <w:sz w:val="24"/>
          <w:szCs w:val="24"/>
          <w:highlight w:val="none"/>
        </w:rPr>
        <w:sectPr>
          <w:footerReference r:id="rId6" w:type="default"/>
          <w:pgSz w:w="11910" w:h="16840"/>
          <w:pgMar w:top="1417" w:right="1417" w:bottom="1417" w:left="1417" w:header="737" w:footer="454" w:gutter="0"/>
          <w:pgNumType w:fmt="decimal"/>
          <w:cols w:space="720" w:num="1"/>
        </w:sectPr>
      </w:pPr>
    </w:p>
    <w:p w14:paraId="54D5EC3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中小企业声明函（承建本项目工程为中小企业或者承接本项目服务为中小企业时提交本函，所属行业应符合采购文件中明确的本项目所属行业）</w:t>
      </w:r>
    </w:p>
    <w:p w14:paraId="733B4515">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中小企业声明函（工程、服务）</w:t>
      </w:r>
    </w:p>
    <w:p w14:paraId="589B6F5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本公司（联合体）郑重声明，根据《政府采购促进中小企业发展管理办法》（财库﹝2020﹞46号）的规定，本公司（联合体）参加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D700A68">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（软件和信息技术服务业）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0E4F9599">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rPr>
        <w:t>（采购文件中明确的所属行业）</w:t>
      </w:r>
      <w:r>
        <w:rPr>
          <w:rFonts w:hint="eastAsia" w:ascii="仿宋" w:hAnsi="仿宋" w:eastAsia="仿宋" w:cs="仿宋"/>
          <w:color w:val="auto"/>
          <w:sz w:val="24"/>
          <w:szCs w:val="24"/>
          <w:highlight w:val="none"/>
        </w:rPr>
        <w:t>行业；承建（承接）企业为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，从业人员__________________人，营业收入为__________________万元，资产总额为__________________万元1，属于</w:t>
      </w:r>
      <w:r>
        <w:rPr>
          <w:rFonts w:hint="eastAsia" w:ascii="仿宋" w:hAnsi="仿宋" w:eastAsia="仿宋" w:cs="仿宋"/>
          <w:color w:val="auto"/>
          <w:sz w:val="24"/>
          <w:szCs w:val="24"/>
          <w:highlight w:val="none"/>
          <w:u w:val="single"/>
        </w:rPr>
        <w:t>（中型企业、小型企业、微型企业）</w:t>
      </w:r>
      <w:r>
        <w:rPr>
          <w:rFonts w:hint="eastAsia" w:ascii="仿宋" w:hAnsi="仿宋" w:eastAsia="仿宋" w:cs="仿宋"/>
          <w:color w:val="auto"/>
          <w:sz w:val="24"/>
          <w:szCs w:val="24"/>
          <w:highlight w:val="none"/>
        </w:rPr>
        <w:t>；</w:t>
      </w:r>
    </w:p>
    <w:p w14:paraId="37FB1B60">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350F332F">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14:paraId="7142941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14:paraId="3A75684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企业名称（盖章）：__________________</w:t>
      </w:r>
    </w:p>
    <w:p w14:paraId="0368DDFD">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34079C65">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1：从业人员、营业收入、资产总额填报上一年度数据，无上一年度数据的新成立企业可不填报。</w:t>
      </w:r>
    </w:p>
    <w:p w14:paraId="7BD41EDC">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应当自行核实是否属于小微企业，并认真填写声明函，若有虚假将追究其责任。</w:t>
      </w:r>
    </w:p>
    <w:p w14:paraId="7CED956C">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5D52013">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0C6D4D04">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监狱企业</w:t>
      </w:r>
    </w:p>
    <w:p w14:paraId="46ADD6F6">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提供由监狱管理局、戒毒管理局（含新疆生产建设兵团）出具的属于监狱企业的证明文件。</w:t>
      </w:r>
    </w:p>
    <w:p w14:paraId="68523071">
      <w:pPr>
        <w:keepNext w:val="0"/>
        <w:keepLines w:val="0"/>
        <w:kinsoku/>
        <w:overflowPunct/>
        <w:topLinePunct w:val="0"/>
        <w:bidi w:val="0"/>
        <w:spacing w:line="312" w:lineRule="auto"/>
        <w:textAlignment w:val="auto"/>
        <w:outlineLvl w:val="9"/>
        <w:rPr>
          <w:rFonts w:hint="eastAsia" w:ascii="仿宋" w:hAnsi="仿宋" w:eastAsia="仿宋" w:cs="仿宋"/>
          <w:bCs/>
          <w:color w:val="auto"/>
          <w:sz w:val="24"/>
          <w:szCs w:val="24"/>
          <w:highlight w:val="none"/>
          <w:u w:val="single"/>
        </w:rPr>
      </w:pPr>
    </w:p>
    <w:p w14:paraId="08BED3F6">
      <w:pPr>
        <w:keepNext w:val="0"/>
        <w:keepLines w:val="0"/>
        <w:kinsoku/>
        <w:overflowPunct/>
        <w:topLinePunct w:val="0"/>
        <w:bidi w:val="0"/>
        <w:spacing w:line="312" w:lineRule="auto"/>
        <w:ind w:firstLine="480" w:firstLineChars="200"/>
        <w:jc w:val="center"/>
        <w:textAlignment w:val="auto"/>
        <w:outlineLvl w:val="9"/>
        <w:rPr>
          <w:rFonts w:hint="eastAsia" w:ascii="仿宋" w:hAnsi="仿宋" w:eastAsia="仿宋" w:cs="仿宋"/>
          <w:bCs/>
          <w:color w:val="auto"/>
          <w:sz w:val="24"/>
          <w:szCs w:val="24"/>
          <w:highlight w:val="none"/>
        </w:rPr>
      </w:pPr>
    </w:p>
    <w:p w14:paraId="23BEBE10">
      <w:pPr>
        <w:pStyle w:val="11"/>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055BECC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（以下格式文件由</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根据需要选用）</w:t>
      </w:r>
    </w:p>
    <w:p w14:paraId="5913D8F7">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残疾人福利性单位声明函</w:t>
      </w:r>
    </w:p>
    <w:p w14:paraId="399319C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711D6D4">
      <w:pPr>
        <w:keepNext w:val="0"/>
        <w:keepLines w:val="0"/>
        <w:kinsoku/>
        <w:overflowPunct/>
        <w:topLinePunct w:val="0"/>
        <w:bidi w:val="0"/>
        <w:spacing w:line="312"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027E7CBC">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单位名称（盖章）：__________________</w:t>
      </w:r>
    </w:p>
    <w:p w14:paraId="18E3BCEB">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0A75A66E">
      <w:pPr>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注：本函未填写或未勾选视作未做声明。</w:t>
      </w:r>
    </w:p>
    <w:p w14:paraId="5682164F"/>
    <w:p w14:paraId="3587FA52"/>
    <w:p w14:paraId="1E92EEE6"/>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EC303">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1BBD98">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4E1BBD98">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220CC">
    <w:pPr>
      <w:pStyle w:val="13"/>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13897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F138975">
                    <w:pPr>
                      <w:pStyle w:val="1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08BB3">
    <w:pPr>
      <w:pStyle w:val="10"/>
      <w:tabs>
        <w:tab w:val="left" w:pos="839"/>
      </w:tabs>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2607945</wp:posOffset>
              </wp:positionH>
              <wp:positionV relativeFrom="paragraph">
                <wp:posOffset>-266700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F0A1F4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left:205.35pt;margin-top:-21pt;height:144pt;width:144pt;mso-position-horizontal-relative:margin;mso-wrap-style:none;z-index:251663360;mso-width-relative:page;mso-height-relative:page;" filled="f" stroked="f" coordsize="21600,21600" o:gfxdata="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&#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LO2MvXAAAACwEAAA8AAAAAAAAAAQAgAAAAIgAAAGRy&#10;cy9kb3ducmV2LnhtbFBLAQIUABQAAAAIAIdO4kBeByCxzQEAAKkDAAAOAAAAAAAAAAEAIAAAACYB&#10;AABkcnMvZTJvRG9jLnhtbFBLBQYAAAAABgAGAFkBAABlBQAAAAA=&#10;">
              <v:fill on="f" focussize="0,0"/>
              <v:stroke on="f"/>
              <v:imagedata o:title=""/>
              <o:lock v:ext="edit" aspectratio="f"/>
              <v:textbox inset="0mm,0mm,0mm,0mm" style="mso-fit-shape-to-text:t;">
                <w:txbxContent>
                  <w:p w14:paraId="3F0A1F48">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79</w:t>
                    </w:r>
                    <w:r>
                      <w:rPr>
                        <w:rFonts w:hint="eastAsia"/>
                        <w:lang w:eastAsia="zh-CN"/>
                      </w:rPr>
                      <w:fldChar w:fldCharType="end"/>
                    </w:r>
                    <w:r>
                      <w:rPr>
                        <w:rFonts w:hint="eastAsia"/>
                        <w:lang w:eastAsia="zh-CN"/>
                      </w:rPr>
                      <w:t xml:space="preserve"> 页</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E4CB71">
                          <w:pPr>
                            <w:pStyle w:val="13"/>
                            <w:rPr>
                              <w:rFonts w:hint="default" w:eastAsia="宋体"/>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mzM80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GNmHJmROWXvz84/v55+/zr2+M&#10;YiRQ77GiukdPlXG4gYGK5zhSMPEe2mDTlxgxypO8p4u8aohMpkur5WpVUkpSbnYIv3i67gPGOwWW&#10;JaPmgd4vyyqO9xjH0rkkdXNwq43Jb2jcXwHCHCMqL8F0OzEZJ05WHHbDRG8HzYnY9bQINXe095yZ&#10;j450TjszG2E2drNx8EHvu7xUqTv6D4dII+VJU4cRlhgmh14wc522La3Icz9XPf1h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umzM80BAACpAwAADgAAAAAAAAABACAAAAAeAQAAZHJzL2Uy&#10;b0RvYy54bWxQSwUGAAAAAAYABgBZAQAAXQUAAAAA&#10;">
              <v:fill on="f" focussize="0,0"/>
              <v:stroke on="f"/>
              <v:imagedata o:title=""/>
              <o:lock v:ext="edit" aspectratio="f"/>
              <v:textbox inset="0mm,0mm,0mm,0mm" style="mso-fit-shape-to-text:t;">
                <w:txbxContent>
                  <w:p w14:paraId="78E4CB71">
                    <w:pPr>
                      <w:pStyle w:val="13"/>
                      <w:rPr>
                        <w:rFonts w:hint="default" w:eastAsia="宋体"/>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BB2E">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152018">
                          <w:pPr>
                            <w:pStyle w:val="1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04152018">
                    <w:pPr>
                      <w:pStyle w:val="13"/>
                    </w:pPr>
                    <w:r>
                      <w:t xml:space="preserve">第 </w:t>
                    </w:r>
                    <w:r>
                      <w:fldChar w:fldCharType="begin"/>
                    </w:r>
                    <w:r>
                      <w:instrText xml:space="preserve"> PAGE  \* MERGEFORMAT </w:instrText>
                    </w:r>
                    <w:r>
                      <w:fldChar w:fldCharType="separate"/>
                    </w:r>
                    <w:r>
                      <w:t>11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BE26C">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3B9E1"/>
    <w:multiLevelType w:val="singleLevel"/>
    <w:tmpl w:val="84A3B9E1"/>
    <w:lvl w:ilvl="0" w:tentative="0">
      <w:start w:val="1"/>
      <w:numFmt w:val="decimal"/>
      <w:suff w:val="nothing"/>
      <w:lvlText w:val="(%1)"/>
      <w:lvlJc w:val="left"/>
      <w:pPr>
        <w:ind w:left="0" w:firstLine="567"/>
      </w:pPr>
      <w:rPr>
        <w:rFonts w:hint="default"/>
      </w:rPr>
    </w:lvl>
  </w:abstractNum>
  <w:abstractNum w:abstractNumId="1">
    <w:nsid w:val="85FA4351"/>
    <w:multiLevelType w:val="singleLevel"/>
    <w:tmpl w:val="85FA4351"/>
    <w:lvl w:ilvl="0" w:tentative="0">
      <w:start w:val="4"/>
      <w:numFmt w:val="decimal"/>
      <w:suff w:val="nothing"/>
      <w:lvlText w:val="（%1）"/>
      <w:lvlJc w:val="left"/>
    </w:lvl>
  </w:abstractNum>
  <w:abstractNum w:abstractNumId="2">
    <w:nsid w:val="9B003A6C"/>
    <w:multiLevelType w:val="singleLevel"/>
    <w:tmpl w:val="9B003A6C"/>
    <w:lvl w:ilvl="0" w:tentative="0">
      <w:start w:val="1"/>
      <w:numFmt w:val="decimal"/>
      <w:suff w:val="nothing"/>
      <w:lvlText w:val="(%1)"/>
      <w:lvlJc w:val="left"/>
      <w:pPr>
        <w:ind w:left="0" w:firstLine="567"/>
      </w:pPr>
      <w:rPr>
        <w:rFonts w:hint="default"/>
      </w:rPr>
    </w:lvl>
  </w:abstractNum>
  <w:abstractNum w:abstractNumId="3">
    <w:nsid w:val="AF902BD3"/>
    <w:multiLevelType w:val="singleLevel"/>
    <w:tmpl w:val="AF902BD3"/>
    <w:lvl w:ilvl="0" w:tentative="0">
      <w:start w:val="1"/>
      <w:numFmt w:val="decimal"/>
      <w:suff w:val="nothing"/>
      <w:lvlText w:val="(%1)"/>
      <w:lvlJc w:val="left"/>
      <w:pPr>
        <w:ind w:left="0" w:firstLine="567"/>
      </w:pPr>
      <w:rPr>
        <w:rFonts w:hint="default"/>
      </w:rPr>
    </w:lvl>
  </w:abstractNum>
  <w:abstractNum w:abstractNumId="4">
    <w:nsid w:val="C140C2CC"/>
    <w:multiLevelType w:val="singleLevel"/>
    <w:tmpl w:val="C140C2CC"/>
    <w:lvl w:ilvl="0" w:tentative="0">
      <w:start w:val="1"/>
      <w:numFmt w:val="chineseCounting"/>
      <w:suff w:val="nothing"/>
      <w:lvlText w:val="%1、"/>
      <w:lvlJc w:val="left"/>
      <w:rPr>
        <w:rFonts w:hint="eastAsia"/>
      </w:rPr>
    </w:lvl>
  </w:abstractNum>
  <w:abstractNum w:abstractNumId="5">
    <w:nsid w:val="C57B1A6D"/>
    <w:multiLevelType w:val="singleLevel"/>
    <w:tmpl w:val="C57B1A6D"/>
    <w:lvl w:ilvl="0" w:tentative="0">
      <w:start w:val="15"/>
      <w:numFmt w:val="chineseCounting"/>
      <w:suff w:val="nothing"/>
      <w:lvlText w:val="%1、"/>
      <w:lvlJc w:val="left"/>
      <w:rPr>
        <w:rFonts w:hint="eastAsia"/>
      </w:rPr>
    </w:lvl>
  </w:abstractNum>
  <w:abstractNum w:abstractNumId="6">
    <w:nsid w:val="D2010C92"/>
    <w:multiLevelType w:val="singleLevel"/>
    <w:tmpl w:val="D2010C92"/>
    <w:lvl w:ilvl="0" w:tentative="0">
      <w:start w:val="6"/>
      <w:numFmt w:val="decimal"/>
      <w:lvlText w:val="%1."/>
      <w:lvlJc w:val="left"/>
      <w:pPr>
        <w:tabs>
          <w:tab w:val="left" w:pos="312"/>
        </w:tabs>
      </w:pPr>
    </w:lvl>
  </w:abstractNum>
  <w:abstractNum w:abstractNumId="7">
    <w:nsid w:val="F037B219"/>
    <w:multiLevelType w:val="singleLevel"/>
    <w:tmpl w:val="F037B219"/>
    <w:lvl w:ilvl="0" w:tentative="0">
      <w:start w:val="1"/>
      <w:numFmt w:val="decimal"/>
      <w:suff w:val="nothing"/>
      <w:lvlText w:val="(%1)"/>
      <w:lvlJc w:val="left"/>
      <w:pPr>
        <w:ind w:left="0" w:firstLine="567"/>
      </w:pPr>
      <w:rPr>
        <w:rFonts w:hint="default"/>
      </w:rPr>
    </w:lvl>
  </w:abstractNum>
  <w:abstractNum w:abstractNumId="8">
    <w:nsid w:val="013C733C"/>
    <w:multiLevelType w:val="singleLevel"/>
    <w:tmpl w:val="013C733C"/>
    <w:lvl w:ilvl="0" w:tentative="0">
      <w:start w:val="1"/>
      <w:numFmt w:val="decimal"/>
      <w:suff w:val="nothing"/>
      <w:lvlText w:val="(%1)"/>
      <w:lvlJc w:val="left"/>
      <w:pPr>
        <w:ind w:left="0" w:firstLine="567"/>
      </w:pPr>
      <w:rPr>
        <w:rFonts w:hint="default"/>
      </w:rPr>
    </w:lvl>
  </w:abstractNum>
  <w:abstractNum w:abstractNumId="9">
    <w:nsid w:val="1512DE7F"/>
    <w:multiLevelType w:val="singleLevel"/>
    <w:tmpl w:val="1512DE7F"/>
    <w:lvl w:ilvl="0" w:tentative="0">
      <w:start w:val="1"/>
      <w:numFmt w:val="decimal"/>
      <w:lvlText w:val="%1."/>
      <w:lvlJc w:val="left"/>
      <w:pPr>
        <w:tabs>
          <w:tab w:val="left" w:pos="312"/>
        </w:tabs>
      </w:pPr>
    </w:lvl>
  </w:abstractNum>
  <w:abstractNum w:abstractNumId="10">
    <w:nsid w:val="2EB02D94"/>
    <w:multiLevelType w:val="singleLevel"/>
    <w:tmpl w:val="2EB02D94"/>
    <w:lvl w:ilvl="0" w:tentative="0">
      <w:start w:val="14"/>
      <w:numFmt w:val="decimal"/>
      <w:suff w:val="nothing"/>
      <w:lvlText w:val="%1、"/>
      <w:lvlJc w:val="left"/>
    </w:lvl>
  </w:abstractNum>
  <w:abstractNum w:abstractNumId="11">
    <w:nsid w:val="3A2B4D8D"/>
    <w:multiLevelType w:val="multilevel"/>
    <w:tmpl w:val="3A2B4D8D"/>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pStyle w:val="3"/>
      <w:suff w:val="space"/>
      <w:lvlText w:val="（%2）"/>
      <w:lvlJc w:val="left"/>
      <w:pPr>
        <w:ind w:left="0" w:firstLine="0"/>
      </w:pPr>
      <w:rPr>
        <w:rFonts w:hint="eastAsia"/>
      </w:rPr>
    </w:lvl>
    <w:lvl w:ilvl="2" w:tentative="0">
      <w:start w:val="1"/>
      <w:numFmt w:val="decimal"/>
      <w:pStyle w:val="5"/>
      <w:suff w:val="space"/>
      <w:lvlText w:val="%3."/>
      <w:lvlJc w:val="left"/>
      <w:pPr>
        <w:ind w:left="0" w:firstLine="0"/>
      </w:pPr>
      <w:rPr>
        <w:rFonts w:hint="eastAsia"/>
      </w:rPr>
    </w:lvl>
    <w:lvl w:ilvl="3" w:tentative="0">
      <w:start w:val="1"/>
      <w:numFmt w:val="decimal"/>
      <w:pStyle w:val="6"/>
      <w:suff w:val="space"/>
      <w:lvlText w:val="%3.%4"/>
      <w:lvlJc w:val="left"/>
      <w:pPr>
        <w:ind w:left="0" w:firstLine="0"/>
      </w:pPr>
      <w:rPr>
        <w:rFonts w:hint="eastAsia"/>
      </w:rPr>
    </w:lvl>
    <w:lvl w:ilvl="4" w:tentative="0">
      <w:start w:val="1"/>
      <w:numFmt w:val="decimal"/>
      <w:suff w:val="space"/>
      <w:lvlText w:val="%3.%4.%5"/>
      <w:lvlJc w:val="left"/>
      <w:pPr>
        <w:ind w:left="426" w:firstLine="0"/>
      </w:pPr>
      <w:rPr>
        <w:rFonts w:hint="eastAsia"/>
      </w:rPr>
    </w:lvl>
    <w:lvl w:ilvl="5" w:tentative="0">
      <w:start w:val="1"/>
      <w:numFmt w:val="decimal"/>
      <w:suff w:val="space"/>
      <w:lvlText w:val="%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2">
    <w:nsid w:val="3E95704F"/>
    <w:multiLevelType w:val="singleLevel"/>
    <w:tmpl w:val="3E95704F"/>
    <w:lvl w:ilvl="0" w:tentative="0">
      <w:start w:val="1"/>
      <w:numFmt w:val="decimal"/>
      <w:suff w:val="nothing"/>
      <w:lvlText w:val="(%1)"/>
      <w:lvlJc w:val="left"/>
      <w:pPr>
        <w:ind w:left="0" w:firstLine="567"/>
      </w:pPr>
      <w:rPr>
        <w:rFonts w:hint="default"/>
      </w:rPr>
    </w:lvl>
  </w:abstractNum>
  <w:abstractNum w:abstractNumId="13">
    <w:nsid w:val="4C801987"/>
    <w:multiLevelType w:val="singleLevel"/>
    <w:tmpl w:val="4C801987"/>
    <w:lvl w:ilvl="0" w:tentative="0">
      <w:start w:val="1"/>
      <w:numFmt w:val="decimal"/>
      <w:suff w:val="nothing"/>
      <w:lvlText w:val="(%1)"/>
      <w:lvlJc w:val="left"/>
      <w:pPr>
        <w:ind w:left="0" w:firstLine="567"/>
      </w:pPr>
      <w:rPr>
        <w:rFonts w:hint="default"/>
      </w:rPr>
    </w:lvl>
  </w:abstractNum>
  <w:abstractNum w:abstractNumId="14">
    <w:nsid w:val="53BE6FC0"/>
    <w:multiLevelType w:val="multilevel"/>
    <w:tmpl w:val="53BE6FC0"/>
    <w:lvl w:ilvl="0" w:tentative="0">
      <w:start w:val="1"/>
      <w:numFmt w:val="decimal"/>
      <w:pStyle w:val="10"/>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15">
    <w:nsid w:val="569C8C25"/>
    <w:multiLevelType w:val="singleLevel"/>
    <w:tmpl w:val="569C8C25"/>
    <w:lvl w:ilvl="0" w:tentative="0">
      <w:start w:val="1"/>
      <w:numFmt w:val="chineseCounting"/>
      <w:suff w:val="nothing"/>
      <w:lvlText w:val="%1、"/>
      <w:lvlJc w:val="left"/>
    </w:lvl>
  </w:abstractNum>
  <w:abstractNum w:abstractNumId="16">
    <w:nsid w:val="624AA820"/>
    <w:multiLevelType w:val="singleLevel"/>
    <w:tmpl w:val="624AA820"/>
    <w:lvl w:ilvl="0" w:tentative="0">
      <w:start w:val="1"/>
      <w:numFmt w:val="decimal"/>
      <w:suff w:val="nothing"/>
      <w:lvlText w:val="(%1)"/>
      <w:lvlJc w:val="left"/>
      <w:pPr>
        <w:ind w:left="0" w:firstLine="567"/>
      </w:pPr>
      <w:rPr>
        <w:rFonts w:hint="default"/>
      </w:rPr>
    </w:lvl>
  </w:abstractNum>
  <w:abstractNum w:abstractNumId="17">
    <w:nsid w:val="63CC4498"/>
    <w:multiLevelType w:val="singleLevel"/>
    <w:tmpl w:val="63CC4498"/>
    <w:lvl w:ilvl="0" w:tentative="0">
      <w:start w:val="1"/>
      <w:numFmt w:val="decimal"/>
      <w:suff w:val="nothing"/>
      <w:lvlText w:val="(%1)"/>
      <w:lvlJc w:val="left"/>
      <w:pPr>
        <w:ind w:left="0" w:firstLine="567"/>
      </w:pPr>
      <w:rPr>
        <w:rFonts w:hint="default"/>
      </w:rPr>
    </w:lvl>
  </w:abstractNum>
  <w:abstractNum w:abstractNumId="18">
    <w:nsid w:val="7E7DEDB8"/>
    <w:multiLevelType w:val="singleLevel"/>
    <w:tmpl w:val="7E7DEDB8"/>
    <w:lvl w:ilvl="0" w:tentative="0">
      <w:start w:val="1"/>
      <w:numFmt w:val="decimal"/>
      <w:suff w:val="nothing"/>
      <w:lvlText w:val="(%1)"/>
      <w:lvlJc w:val="left"/>
      <w:pPr>
        <w:ind w:left="0" w:firstLine="567"/>
      </w:pPr>
      <w:rPr>
        <w:rFonts w:hint="default"/>
      </w:rPr>
    </w:lvl>
  </w:abstractNum>
  <w:num w:numId="1">
    <w:abstractNumId w:val="11"/>
  </w:num>
  <w:num w:numId="2">
    <w:abstractNumId w:val="14"/>
  </w:num>
  <w:num w:numId="3">
    <w:abstractNumId w:val="15"/>
  </w:num>
  <w:num w:numId="4">
    <w:abstractNumId w:val="16"/>
  </w:num>
  <w:num w:numId="5">
    <w:abstractNumId w:val="2"/>
  </w:num>
  <w:num w:numId="6">
    <w:abstractNumId w:val="0"/>
  </w:num>
  <w:num w:numId="7">
    <w:abstractNumId w:val="12"/>
  </w:num>
  <w:num w:numId="8">
    <w:abstractNumId w:val="7"/>
  </w:num>
  <w:num w:numId="9">
    <w:abstractNumId w:val="8"/>
  </w:num>
  <w:num w:numId="10">
    <w:abstractNumId w:val="17"/>
  </w:num>
  <w:num w:numId="11">
    <w:abstractNumId w:val="18"/>
  </w:num>
  <w:num w:numId="12">
    <w:abstractNumId w:val="13"/>
  </w:num>
  <w:num w:numId="13">
    <w:abstractNumId w:val="3"/>
  </w:num>
  <w:num w:numId="14">
    <w:abstractNumId w:val="9"/>
  </w:num>
  <w:num w:numId="15">
    <w:abstractNumId w:val="10"/>
  </w:num>
  <w:num w:numId="16">
    <w:abstractNumId w:val="1"/>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00000000"/>
    <w:rsid w:val="01356C60"/>
    <w:rsid w:val="1861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firstLineChars="0"/>
      <w:outlineLvl w:val="0"/>
    </w:pPr>
    <w:rPr>
      <w:rFonts w:eastAsia="黑体"/>
      <w:b/>
      <w:kern w:val="44"/>
      <w:sz w:val="32"/>
    </w:rPr>
  </w:style>
  <w:style w:type="paragraph" w:styleId="3">
    <w:name w:val="heading 2"/>
    <w:basedOn w:val="4"/>
    <w:next w:val="1"/>
    <w:unhideWhenUsed/>
    <w:qFormat/>
    <w:uiPriority w:val="0"/>
    <w:pPr>
      <w:keepNext/>
      <w:keepLines/>
      <w:numPr>
        <w:ilvl w:val="1"/>
        <w:numId w:val="1"/>
      </w:numPr>
      <w:spacing w:before="260" w:after="260" w:line="413" w:lineRule="auto"/>
      <w:outlineLvl w:val="1"/>
    </w:pPr>
    <w:rPr>
      <w:rFonts w:ascii="Arial" w:hAnsi="Arial" w:eastAsia="黑体"/>
      <w:b/>
      <w:sz w:val="28"/>
    </w:rPr>
  </w:style>
  <w:style w:type="paragraph" w:styleId="5">
    <w:name w:val="heading 3"/>
    <w:basedOn w:val="1"/>
    <w:next w:val="1"/>
    <w:qFormat/>
    <w:uiPriority w:val="0"/>
    <w:pPr>
      <w:numPr>
        <w:ilvl w:val="2"/>
        <w:numId w:val="1"/>
      </w:numPr>
      <w:ind w:firstLineChars="0"/>
      <w:outlineLvl w:val="2"/>
    </w:pPr>
    <w:rPr>
      <w:rFonts w:ascii="宋体" w:hAnsi="宋体" w:cs="宋体"/>
      <w:b/>
      <w:bCs/>
      <w:sz w:val="28"/>
      <w:szCs w:val="24"/>
    </w:rPr>
  </w:style>
  <w:style w:type="paragraph" w:styleId="6">
    <w:name w:val="heading 4"/>
    <w:basedOn w:val="1"/>
    <w:next w:val="1"/>
    <w:qFormat/>
    <w:uiPriority w:val="0"/>
    <w:pPr>
      <w:keepNext/>
      <w:keepLines/>
      <w:numPr>
        <w:ilvl w:val="3"/>
        <w:numId w:val="1"/>
      </w:numPr>
      <w:spacing w:beforeLines="50" w:afterLines="50" w:line="240" w:lineRule="auto"/>
      <w:ind w:firstLineChars="0"/>
      <w:outlineLvl w:val="3"/>
    </w:pPr>
    <w:rPr>
      <w:b/>
      <w:bCs/>
      <w:sz w:val="28"/>
      <w:szCs w:val="28"/>
    </w:rPr>
  </w:style>
  <w:style w:type="character" w:default="1" w:styleId="19">
    <w:name w:val="Default Paragraph Font"/>
    <w:semiHidden/>
    <w:uiPriority w:val="0"/>
  </w:style>
  <w:style w:type="table" w:default="1" w:styleId="17">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pPr>
  </w:style>
  <w:style w:type="paragraph" w:styleId="7">
    <w:name w:val="Normal Indent"/>
    <w:basedOn w:val="1"/>
    <w:qFormat/>
    <w:uiPriority w:val="0"/>
    <w:pPr>
      <w:ind w:firstLine="420" w:firstLineChars="200"/>
    </w:pPr>
    <w:rPr>
      <w:rFonts w:eastAsia="Verdana"/>
    </w:rPr>
  </w:style>
  <w:style w:type="paragraph" w:styleId="8">
    <w:name w:val="annotation text"/>
    <w:basedOn w:val="1"/>
    <w:qFormat/>
    <w:uiPriority w:val="0"/>
    <w:pPr>
      <w:jc w:val="left"/>
    </w:pPr>
  </w:style>
  <w:style w:type="paragraph" w:styleId="9">
    <w:name w:val="Body Text 3"/>
    <w:basedOn w:val="1"/>
    <w:qFormat/>
    <w:uiPriority w:val="0"/>
    <w:pPr>
      <w:spacing w:after="120"/>
    </w:pPr>
    <w:rPr>
      <w:sz w:val="16"/>
      <w:szCs w:val="16"/>
    </w:rPr>
  </w:style>
  <w:style w:type="paragraph" w:styleId="10">
    <w:name w:val="Body Text"/>
    <w:basedOn w:val="1"/>
    <w:qFormat/>
    <w:uiPriority w:val="0"/>
    <w:pPr>
      <w:numPr>
        <w:ilvl w:val="0"/>
        <w:numId w:val="2"/>
      </w:numPr>
      <w:tabs>
        <w:tab w:val="clear" w:pos="839"/>
      </w:tabs>
      <w:spacing w:after="120"/>
      <w:ind w:left="0" w:firstLine="0"/>
    </w:pPr>
  </w:style>
  <w:style w:type="paragraph" w:styleId="11">
    <w:name w:val="List 2"/>
    <w:basedOn w:val="1"/>
    <w:qFormat/>
    <w:uiPriority w:val="0"/>
    <w:pPr>
      <w:ind w:left="100" w:leftChars="200" w:hanging="200" w:hangingChars="200"/>
    </w:pPr>
  </w:style>
  <w:style w:type="paragraph" w:styleId="12">
    <w:name w:val="Plain Text"/>
    <w:basedOn w:val="1"/>
    <w:qFormat/>
    <w:uiPriority w:val="0"/>
    <w:rPr>
      <w:rFonts w:ascii="宋体" w:hAnsi="Courier New"/>
      <w:szCs w:val="21"/>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First Indent"/>
    <w:basedOn w:val="10"/>
    <w:next w:val="1"/>
    <w:qFormat/>
    <w:uiPriority w:val="0"/>
    <w:pPr>
      <w:widowControl/>
      <w:tabs>
        <w:tab w:val="left" w:pos="839"/>
      </w:tabs>
      <w:ind w:firstLine="420" w:firstLineChars="100"/>
    </w:pPr>
    <w:rPr>
      <w:rFonts w:ascii="Calibri" w:hAnsi="Calibri"/>
      <w:sz w:val="22"/>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表格文字"/>
    <w:basedOn w:val="1"/>
    <w:qFormat/>
    <w:uiPriority w:val="0"/>
    <w:pPr>
      <w:spacing w:before="25" w:after="25"/>
      <w:jc w:val="left"/>
    </w:pPr>
    <w:rPr>
      <w:bCs/>
      <w:spacing w:val="10"/>
      <w:kern w:val="0"/>
      <w:sz w:val="24"/>
      <w:szCs w:val="20"/>
    </w:rPr>
  </w:style>
  <w:style w:type="paragraph" w:customStyle="1" w:styleId="22">
    <w:name w:val="列出段落1"/>
    <w:basedOn w:val="1"/>
    <w:qFormat/>
    <w:uiPriority w:val="99"/>
    <w:pPr>
      <w:ind w:firstLine="420" w:firstLineChars="200"/>
    </w:p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8463</Words>
  <Characters>8902</Characters>
  <Lines>0</Lines>
  <Paragraphs>0</Paragraphs>
  <TotalTime>1</TotalTime>
  <ScaleCrop>false</ScaleCrop>
  <LinksUpToDate>false</LinksUpToDate>
  <CharactersWithSpaces>9010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2024-11-05T03:38:00Z</dcterms:created>
  <dc:creator>Administrator.WIN-8ACSRP2MAC8</dc:creator>
  <cp:lastModifiedBy>Yeminem</cp:lastModifiedBy>
  <dcterms:modified xsi:type="dcterms:W3CDTF">2024-11-13T09:30:12Z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32145B27C1FF44A1829695CF0FE4CC1F_12</vt:lpwstr>
  </property>
</Properties>
</file>