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ZCB-YN-2024020</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惠州市第一妇幼保健院2024年下半年医疗器械采购项目</w:t>
      </w:r>
    </w:p>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spacing w:line="360" w:lineRule="auto"/>
        <w:ind w:firstLine="1968" w:firstLineChars="700"/>
        <w:rPr>
          <w:rFonts w:hint="eastAsia" w:ascii="仿宋" w:hAnsi="仿宋" w:eastAsia="仿宋" w:cs="仿宋"/>
          <w:b/>
          <w:color w:val="auto"/>
          <w:sz w:val="28"/>
          <w:szCs w:val="28"/>
          <w:highlight w:val="none"/>
        </w:rPr>
      </w:pPr>
      <w:r>
        <w:rPr>
          <w:rFonts w:hint="eastAsia" w:ascii="仿宋" w:hAnsi="仿宋" w:eastAsia="仿宋" w:cs="仿宋"/>
          <w:b/>
          <w:bCs/>
          <w:color w:val="auto"/>
          <w:kern w:val="13"/>
          <w:sz w:val="28"/>
          <w:szCs w:val="28"/>
          <w:highlight w:val="none"/>
        </w:rPr>
        <w:t>采购人：</w:t>
      </w:r>
      <w:r>
        <w:rPr>
          <w:rFonts w:hint="eastAsia" w:ascii="仿宋" w:hAnsi="仿宋" w:eastAsia="仿宋" w:cs="仿宋"/>
          <w:b/>
          <w:color w:val="auto"/>
          <w:sz w:val="28"/>
          <w:szCs w:val="28"/>
          <w:highlight w:val="none"/>
        </w:rPr>
        <w:t>惠州市第一妇幼保健院</w:t>
      </w:r>
    </w:p>
    <w:p>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 w:hAnsi="仿宋" w:eastAsia="仿宋" w:cs="仿宋"/>
          <w:b/>
          <w:snapToGrid w:val="0"/>
          <w:color w:val="auto"/>
          <w:kern w:val="0"/>
          <w:sz w:val="28"/>
          <w:szCs w:val="28"/>
          <w:highlight w:val="none"/>
        </w:rPr>
        <w:t>二○二</w:t>
      </w:r>
      <w:r>
        <w:rPr>
          <w:rFonts w:hint="eastAsia" w:ascii="仿宋" w:hAnsi="仿宋" w:eastAsia="仿宋" w:cs="仿宋"/>
          <w:b/>
          <w:snapToGrid w:val="0"/>
          <w:color w:val="auto"/>
          <w:kern w:val="0"/>
          <w:sz w:val="28"/>
          <w:szCs w:val="28"/>
          <w:highlight w:val="none"/>
          <w:lang w:eastAsia="zh-CN"/>
        </w:rPr>
        <w:t>四</w:t>
      </w:r>
      <w:r>
        <w:rPr>
          <w:rFonts w:hint="eastAsia" w:ascii="仿宋" w:hAnsi="仿宋" w:eastAsia="仿宋" w:cs="仿宋"/>
          <w:b/>
          <w:snapToGrid w:val="0"/>
          <w:color w:val="auto"/>
          <w:kern w:val="0"/>
          <w:sz w:val="28"/>
          <w:szCs w:val="28"/>
          <w:highlight w:val="none"/>
        </w:rPr>
        <w:t>年</w:t>
      </w:r>
      <w:r>
        <w:rPr>
          <w:rFonts w:hint="eastAsia" w:ascii="仿宋" w:hAnsi="仿宋" w:eastAsia="仿宋" w:cs="仿宋"/>
          <w:b/>
          <w:snapToGrid w:val="0"/>
          <w:color w:val="auto"/>
          <w:kern w:val="0"/>
          <w:sz w:val="28"/>
          <w:szCs w:val="28"/>
          <w:highlight w:val="none"/>
          <w:lang w:eastAsia="zh-CN"/>
        </w:rPr>
        <w:t>十</w:t>
      </w:r>
      <w:r>
        <w:rPr>
          <w:rFonts w:hint="eastAsia" w:ascii="仿宋" w:hAnsi="仿宋" w:eastAsia="仿宋" w:cs="仿宋"/>
          <w:b/>
          <w:snapToGrid w:val="0"/>
          <w:color w:val="auto"/>
          <w:kern w:val="0"/>
          <w:sz w:val="28"/>
          <w:szCs w:val="28"/>
          <w:highlight w:val="none"/>
        </w:rPr>
        <w:t>月</w:t>
      </w: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8"/>
        <w:rPr>
          <w:rFonts w:hint="eastAsia"/>
          <w:color w:val="auto"/>
          <w:highlight w:val="none"/>
          <w:lang w:eastAsia="zh-CN"/>
        </w:rPr>
      </w:pPr>
    </w:p>
    <w:p>
      <w:pPr>
        <w:pStyle w:val="12"/>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惠州市第一妇幼保健院2024年下半年医疗器械采购项目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ZCB-YN-2024020</w:t>
      </w:r>
    </w:p>
    <w:p>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惠州市第一妇幼保健院2024年下半年医疗器械采购项目</w:t>
      </w:r>
    </w:p>
    <w:p>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3"/>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tblPrEx>
          <w:tblCellMar>
            <w:top w:w="0" w:type="dxa"/>
            <w:left w:w="108" w:type="dxa"/>
            <w:bottom w:w="0" w:type="dxa"/>
            <w:right w:w="108" w:type="dxa"/>
          </w:tblCellMar>
        </w:tblPrEx>
        <w:trPr>
          <w:trHeight w:val="64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CellMar>
            <w:top w:w="0" w:type="dxa"/>
            <w:left w:w="108" w:type="dxa"/>
            <w:bottom w:w="0" w:type="dxa"/>
            <w:right w:w="108" w:type="dxa"/>
          </w:tblCellMar>
        </w:tblPrEx>
        <w:trPr>
          <w:trHeight w:val="971"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惠州市第一妇幼保健院2024年下半年医疗器械采购项目</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批</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122720.00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pPr>
        <w:spacing w:line="420" w:lineRule="exact"/>
        <w:ind w:firstLine="504" w:firstLineChars="210"/>
        <w:rPr>
          <w:rFonts w:hint="eastAsia" w:ascii="仿宋" w:hAnsi="仿宋" w:eastAsia="仿宋" w:cs="仿宋"/>
          <w:color w:val="auto"/>
          <w:sz w:val="24"/>
          <w:highlight w:val="none"/>
          <w:lang w:val="zh-CN"/>
        </w:rPr>
      </w:pP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日起至202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通过惠州市第一妇幼保健院招标采购办邮箱报名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。招标采购办邮箱：dyfyzcb@huizhou.gov.cn</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2"/>
        <w:rPr>
          <w:rFonts w:hint="eastAsia"/>
          <w:color w:val="auto"/>
          <w:highlight w:val="none"/>
          <w:lang w:val="en-US" w:eastAsia="zh-CN"/>
        </w:rPr>
      </w:pP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内部的财务报表复印件（新成立公司提供成立至今的月或季度财务报表复印件）；或③截至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文件递交截止日一年内银行出具的资信证明（复印件）；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截止时间前一年内任意一个月的依法缴纳税收证明材料（如依法免税，则须提供相应文件证明其依法免税）；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截止时间前一年内任意一个月的依法缴纳社会保险凭据（如依法不需要缴纳社保，则须提供相应文件证明其依法不需要缴纳）；</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4.为采购项目提供整体设计、规范编制或者项目管理、监理、检测等服务的供应商，不得再参加该采购项目的其他采购活动。(供应商出具声明函)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本项目不接受联合体参加比选，不允许响应供应商对各比选项目进行分包或转包(供应商出具声明函)</w:t>
      </w:r>
      <w:r>
        <w:rPr>
          <w:rFonts w:hint="eastAsia" w:ascii="仿宋" w:hAnsi="仿宋" w:eastAsia="仿宋" w:cs="仿宋"/>
          <w:color w:val="auto"/>
          <w:sz w:val="24"/>
          <w:highlight w:val="none"/>
          <w:lang w:eastAsia="zh-CN"/>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供应商为生产企业:所投产品为第二、三类医疗器械，提供有效的《医疗器械生产许可证》;供应商为经营企业:所投产品 为第三类医疗器械，提供有效的《医疗器械经营许可证》。</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本项目是专门面向中小企业采购的项目，供应商应为中小微企业。（提供《中小企业声明函》。本项目中小企业划分标准</w:t>
      </w:r>
      <w:r>
        <w:rPr>
          <w:rFonts w:hint="eastAsia" w:ascii="仿宋" w:hAnsi="仿宋" w:eastAsia="仿宋" w:cs="仿宋"/>
          <w:b/>
          <w:bCs/>
          <w:color w:val="auto"/>
          <w:sz w:val="24"/>
          <w:highlight w:val="none"/>
        </w:rPr>
        <w:t>所属行业为</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工业</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8.已在招采办报名。</w:t>
      </w:r>
    </w:p>
    <w:p>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w:t>
      </w:r>
      <w:r>
        <w:rPr>
          <w:rFonts w:hint="eastAsia" w:ascii="仿宋" w:hAnsi="仿宋" w:eastAsia="仿宋" w:cs="仿宋"/>
          <w:b/>
          <w:bCs/>
          <w:color w:val="auto"/>
          <w:sz w:val="24"/>
          <w:highlight w:val="none"/>
          <w:lang w:val="zh-CN"/>
        </w:rPr>
        <w:t>资格性审查将不通过。</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autoSpaceDE w:val="0"/>
        <w:autoSpaceDN w:val="0"/>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eastAsia="zh-CN"/>
        </w:rPr>
        <w:t>项目概况</w:t>
      </w:r>
    </w:p>
    <w:p>
      <w:pPr>
        <w:keepNext w:val="0"/>
        <w:keepLines w:val="0"/>
        <w:pageBreakBefore w:val="0"/>
        <w:widowControl w:val="0"/>
        <w:kinsoku/>
        <w:wordWrap/>
        <w:overflowPunct/>
        <w:topLinePunct w:val="0"/>
        <w:autoSpaceDE w:val="0"/>
        <w:autoSpaceDN w:val="0"/>
        <w:bidi w:val="0"/>
        <w:adjustRightInd/>
        <w:spacing w:line="400" w:lineRule="exact"/>
        <w:ind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zh-CN"/>
        </w:rPr>
        <w:t>因业务发展需求，我院拟开设耳鼻喉科住院部，现拟采购手术器械一批</w:t>
      </w:r>
      <w:r>
        <w:rPr>
          <w:rFonts w:hint="eastAsia" w:ascii="仿宋" w:hAnsi="仿宋" w:eastAsia="仿宋" w:cs="仿宋"/>
          <w:color w:val="auto"/>
          <w:sz w:val="24"/>
          <w:highlight w:val="none"/>
          <w:lang w:val="en-US" w:eastAsia="zh-CN"/>
        </w:rPr>
        <w:t>。</w:t>
      </w:r>
    </w:p>
    <w:p>
      <w:pPr>
        <w:numPr>
          <w:ilvl w:val="0"/>
          <w:numId w:val="2"/>
        </w:num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eastAsia="zh-CN"/>
        </w:rPr>
        <w:t>项目内容及技术参数</w:t>
      </w:r>
      <w:r>
        <w:rPr>
          <w:rFonts w:hint="eastAsia" w:ascii="仿宋" w:hAnsi="仿宋" w:eastAsia="仿宋" w:cs="仿宋"/>
          <w:b/>
          <w:bCs/>
          <w:color w:val="auto"/>
          <w:sz w:val="24"/>
          <w:highlight w:val="none"/>
          <w:lang w:val="zh-CN"/>
        </w:rPr>
        <w:t>：</w:t>
      </w:r>
    </w:p>
    <w:p>
      <w:pPr>
        <w:pStyle w:val="8"/>
        <w:numPr>
          <w:ilvl w:val="0"/>
          <w:numId w:val="0"/>
        </w:numPr>
        <w:rPr>
          <w:rFonts w:hint="default"/>
          <w:color w:val="auto"/>
          <w:highlight w:val="none"/>
          <w:lang w:val="en-US" w:eastAsia="zh-CN"/>
        </w:rPr>
      </w:pPr>
    </w:p>
    <w:p>
      <w:pPr>
        <w:rPr>
          <w:rFonts w:hint="default"/>
          <w:color w:val="auto"/>
          <w:highlight w:val="none"/>
          <w:lang w:val="en-US" w:eastAsia="zh-CN"/>
        </w:rPr>
      </w:pPr>
    </w:p>
    <w:tbl>
      <w:tblPr>
        <w:tblStyle w:val="13"/>
        <w:tblW w:w="10440" w:type="dxa"/>
        <w:tblInd w:w="-1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8"/>
        <w:gridCol w:w="1139"/>
        <w:gridCol w:w="4042"/>
        <w:gridCol w:w="665"/>
        <w:gridCol w:w="712"/>
        <w:gridCol w:w="1000"/>
        <w:gridCol w:w="1000"/>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（一）扁桃体手术包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单价最高限价（元）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小计金额（元）</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口腔开口器（</w:t>
            </w:r>
            <w:r>
              <w:rPr>
                <w:rFonts w:hint="eastAsia" w:ascii="仿宋" w:hAnsi="仿宋" w:eastAsia="仿宋" w:cs="仿宋"/>
                <w:i w:val="0"/>
                <w:iCs w:val="0"/>
                <w:color w:val="auto"/>
                <w:kern w:val="0"/>
                <w:sz w:val="24"/>
                <w:szCs w:val="24"/>
                <w:highlight w:val="none"/>
                <w:u w:val="none"/>
                <w:lang w:val="en-US" w:eastAsia="zh-CN" w:bidi="ar"/>
              </w:rPr>
              <w:t>麻醉型</w:t>
            </w:r>
            <w:r>
              <w:rPr>
                <w:rFonts w:hint="eastAsia" w:ascii="仿宋" w:hAnsi="仿宋" w:eastAsia="仿宋" w:cs="仿宋"/>
                <w:i w:val="0"/>
                <w:iCs w:val="0"/>
                <w:color w:val="auto"/>
                <w:kern w:val="0"/>
                <w:sz w:val="24"/>
                <w:szCs w:val="24"/>
                <w:highlight w:val="none"/>
                <w:u w:val="none"/>
                <w:lang w:val="en-US" w:eastAsia="zh-CN" w:bidi="ar"/>
              </w:rPr>
              <w:t>）</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小儿，左式麻醉开口器，配置5个拉钩，深度50毫米/60毫米/70毫米/80毫米/90毫米，宽度21毫米/21毫米/25毫米/27毫米/29毫米。</w:t>
            </w:r>
          </w:p>
          <w:p>
            <w:pPr>
              <w:keepNext w:val="0"/>
              <w:keepLines w:val="0"/>
              <w:widowControl/>
              <w:numPr>
                <w:ilvl w:val="0"/>
                <w:numId w:val="3"/>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表面无锋棱、毛刺、裂纹等缺陷，表面亚光处理。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3.采用20Cr13医用不锈钢材料，热处理硬度为40-48HRC。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3472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34720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1"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扁桃体用钳（扁桃体夹持钳）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总长225毫米，头宽6毫米，</w:t>
            </w:r>
            <w:r>
              <w:rPr>
                <w:rFonts w:hint="eastAsia" w:ascii="仿宋" w:hAnsi="仿宋" w:eastAsia="仿宋" w:cs="仿宋"/>
                <w:i w:val="0"/>
                <w:iCs w:val="0"/>
                <w:color w:val="auto"/>
                <w:kern w:val="0"/>
                <w:sz w:val="24"/>
                <w:szCs w:val="24"/>
                <w:highlight w:val="none"/>
                <w:u w:val="none"/>
                <w:lang w:val="en-US" w:eastAsia="zh-CN" w:bidi="ar"/>
              </w:rPr>
              <w:t>直型</w:t>
            </w:r>
            <w:r>
              <w:rPr>
                <w:rFonts w:hint="eastAsia" w:ascii="仿宋" w:hAnsi="仿宋" w:eastAsia="仿宋" w:cs="仿宋"/>
                <w:i w:val="0"/>
                <w:iCs w:val="0"/>
                <w:color w:val="auto"/>
                <w:kern w:val="0"/>
                <w:sz w:val="24"/>
                <w:szCs w:val="24"/>
                <w:highlight w:val="none"/>
                <w:u w:val="none"/>
                <w:lang w:val="en-US" w:eastAsia="zh-CN" w:bidi="ar"/>
              </w:rPr>
              <w:t>，头厚5.8毫米，头部圆弯，弯高22毫米，头部有齿。</w:t>
            </w:r>
          </w:p>
          <w:p>
            <w:pPr>
              <w:keepNext w:val="0"/>
              <w:keepLines w:val="0"/>
              <w:widowControl/>
              <w:numPr>
                <w:ilvl w:val="0"/>
                <w:numId w:val="4"/>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表面无锋棱、毛刺、裂纹等缺陷，表面电镀处理。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3700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1"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扁桃体拉钩</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5"/>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总长225毫米，双头拉钩，一头头宽12毫米，弯高4.8毫米，一头头宽10毫米，弯高5.4毫米。</w:t>
            </w:r>
          </w:p>
          <w:p>
            <w:pPr>
              <w:keepNext w:val="0"/>
              <w:keepLines w:val="0"/>
              <w:widowControl/>
              <w:numPr>
                <w:ilvl w:val="0"/>
                <w:numId w:val="5"/>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 等缺陷，表面亚光处理。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2050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综合组织剪</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长度180毫米，弯型，综合，30Cr13医用不锈钢，硬度47-53HRC，表面电镀处理。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止血钳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总长180毫米，弯型，弯头高度15毫米，半齿，头宽2.6毫米，头厚2.2毫米，20Cr13医用不锈钢，热处理硬度40-48HRC，表面电镀处理。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1240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帕巾钳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总长110毫米，尖头，20Cr13医用不锈钢，硬度40-48HRC，表面电镀处理。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持针钳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总长180毫米，直头，细针，网纹齿，齿距0.4，20Cr13医用不锈钢，热处理硬度40-48HRC，表面电镀处理。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不锈钢服药杯</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产品最大容积50ml，304医用不锈钢制造，表面亮光处理。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不锈钢换药碗</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产品直径120毫米，304医用不锈钢制造，表面亮光处理。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（二）鼓膜切开置管包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单价最高限价（元）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小计金额（元）</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6"/>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长度80毫米，直，麦粒形，显微。2.表面无锋棱、毛刺、裂纹等缺陷，表面电镀处理。</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3.采用20Cr13医用不锈钢材料，热处理硬度为40-48HRC。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1480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2960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耳钩</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7"/>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总长160毫米，头宽2.5毫米，头部角弯90°，锐钩，</w:t>
            </w:r>
            <w:r>
              <w:rPr>
                <w:rFonts w:hint="eastAsia" w:ascii="仿宋" w:hAnsi="仿宋" w:eastAsia="仿宋" w:cs="仿宋"/>
                <w:i w:val="0"/>
                <w:iCs w:val="0"/>
                <w:color w:val="auto"/>
                <w:kern w:val="0"/>
                <w:sz w:val="24"/>
                <w:szCs w:val="24"/>
                <w:highlight w:val="none"/>
                <w:u w:val="none"/>
                <w:lang w:val="en-US" w:eastAsia="zh-CN" w:bidi="ar"/>
              </w:rPr>
              <w:t>直型</w:t>
            </w:r>
            <w:r>
              <w:rPr>
                <w:rFonts w:hint="eastAsia" w:ascii="仿宋" w:hAnsi="仿宋" w:eastAsia="仿宋" w:cs="仿宋"/>
                <w:i w:val="0"/>
                <w:iCs w:val="0"/>
                <w:color w:val="auto"/>
                <w:kern w:val="0"/>
                <w:sz w:val="24"/>
                <w:szCs w:val="24"/>
                <w:highlight w:val="none"/>
                <w:u w:val="none"/>
                <w:lang w:val="en-US" w:eastAsia="zh-CN" w:bidi="ar"/>
              </w:rPr>
              <w:t>。</w:t>
            </w:r>
          </w:p>
          <w:p>
            <w:pPr>
              <w:keepNext w:val="0"/>
              <w:keepLines w:val="0"/>
              <w:widowControl/>
              <w:numPr>
                <w:ilvl w:val="0"/>
                <w:numId w:val="7"/>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表面无锋棱、毛刺、裂纹等缺陷，表面电镀处理。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3.采用20Cr13医用不锈钢材料，热处理硬度为40-48HRC。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吸引管</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8"/>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长度75毫米，管径0.8毫米，</w:t>
            </w:r>
            <w:r>
              <w:rPr>
                <w:rFonts w:hint="eastAsia" w:ascii="仿宋" w:hAnsi="仿宋" w:eastAsia="仿宋" w:cs="仿宋"/>
                <w:i w:val="0"/>
                <w:iCs w:val="0"/>
                <w:color w:val="auto"/>
                <w:kern w:val="0"/>
                <w:sz w:val="24"/>
                <w:szCs w:val="24"/>
                <w:highlight w:val="none"/>
                <w:u w:val="none"/>
                <w:lang w:val="en-US" w:eastAsia="zh-CN" w:bidi="ar"/>
              </w:rPr>
              <w:t>耳用</w:t>
            </w:r>
            <w:r>
              <w:rPr>
                <w:rFonts w:hint="eastAsia" w:ascii="仿宋" w:hAnsi="仿宋" w:eastAsia="仿宋" w:cs="仿宋"/>
                <w:i w:val="0"/>
                <w:iCs w:val="0"/>
                <w:color w:val="auto"/>
                <w:kern w:val="0"/>
                <w:sz w:val="24"/>
                <w:szCs w:val="24"/>
                <w:highlight w:val="none"/>
                <w:u w:val="none"/>
                <w:lang w:val="en-US" w:eastAsia="zh-CN" w:bidi="ar"/>
              </w:rPr>
              <w:t>。</w:t>
            </w:r>
          </w:p>
          <w:p>
            <w:pPr>
              <w:keepNext w:val="0"/>
              <w:keepLines w:val="0"/>
              <w:widowControl/>
              <w:numPr>
                <w:ilvl w:val="0"/>
                <w:numId w:val="8"/>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表面无锋棱、毛刺、裂纹等缺陷，表面电镀处理。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3.采用12Cr18Ni9医用不锈钢材料。</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吸引管</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9"/>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长度75毫米，管径1.2毫米，</w:t>
            </w:r>
            <w:r>
              <w:rPr>
                <w:rFonts w:hint="eastAsia" w:ascii="仿宋" w:hAnsi="仿宋" w:eastAsia="仿宋" w:cs="仿宋"/>
                <w:i w:val="0"/>
                <w:iCs w:val="0"/>
                <w:color w:val="auto"/>
                <w:kern w:val="0"/>
                <w:sz w:val="24"/>
                <w:szCs w:val="24"/>
                <w:highlight w:val="none"/>
                <w:u w:val="none"/>
                <w:lang w:val="en-US" w:eastAsia="zh-CN" w:bidi="ar"/>
              </w:rPr>
              <w:t>耳用</w:t>
            </w:r>
            <w:r>
              <w:rPr>
                <w:rFonts w:hint="eastAsia" w:ascii="仿宋" w:hAnsi="仿宋" w:eastAsia="仿宋" w:cs="仿宋"/>
                <w:i w:val="0"/>
                <w:iCs w:val="0"/>
                <w:color w:val="auto"/>
                <w:kern w:val="0"/>
                <w:sz w:val="24"/>
                <w:szCs w:val="24"/>
                <w:highlight w:val="none"/>
                <w:u w:val="none"/>
                <w:lang w:val="en-US" w:eastAsia="zh-CN" w:bidi="ar"/>
              </w:rPr>
              <w:t>。</w:t>
            </w:r>
          </w:p>
          <w:p>
            <w:pPr>
              <w:keepNext w:val="0"/>
              <w:keepLines w:val="0"/>
              <w:widowControl/>
              <w:numPr>
                <w:ilvl w:val="0"/>
                <w:numId w:val="9"/>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表面无锋棱、毛刺、裂纹等缺陷，表面电镀处理。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3.采用12Cr18Ni9医用不锈钢材料。</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吸引管</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长度75毫米，管径2毫米，</w:t>
            </w:r>
            <w:r>
              <w:rPr>
                <w:rFonts w:hint="eastAsia" w:ascii="仿宋" w:hAnsi="仿宋" w:eastAsia="仿宋" w:cs="仿宋"/>
                <w:i w:val="0"/>
                <w:iCs w:val="0"/>
                <w:color w:val="auto"/>
                <w:kern w:val="0"/>
                <w:sz w:val="24"/>
                <w:szCs w:val="24"/>
                <w:highlight w:val="none"/>
                <w:u w:val="none"/>
                <w:lang w:val="en-US" w:eastAsia="zh-CN" w:bidi="ar"/>
              </w:rPr>
              <w:t>耳用</w:t>
            </w:r>
            <w:r>
              <w:rPr>
                <w:rFonts w:hint="eastAsia" w:ascii="仿宋" w:hAnsi="仿宋" w:eastAsia="仿宋" w:cs="仿宋"/>
                <w:i w:val="0"/>
                <w:iCs w:val="0"/>
                <w:color w:val="auto"/>
                <w:kern w:val="0"/>
                <w:sz w:val="24"/>
                <w:szCs w:val="24"/>
                <w:highlight w:val="none"/>
                <w:u w:val="none"/>
                <w:lang w:val="en-US" w:eastAsia="zh-CN" w:bidi="ar"/>
              </w:rPr>
              <w:t>。2.表面无锋棱、毛刺、裂纹等缺陷，表面电镀处理。</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3.采用12Cr18Ni9医用不锈钢材料。</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吸引管</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1"/>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长度75毫米，管径1.5毫米，</w:t>
            </w:r>
            <w:r>
              <w:rPr>
                <w:rFonts w:hint="eastAsia" w:ascii="仿宋" w:hAnsi="仿宋" w:eastAsia="仿宋" w:cs="仿宋"/>
                <w:i w:val="0"/>
                <w:iCs w:val="0"/>
                <w:color w:val="auto"/>
                <w:kern w:val="0"/>
                <w:sz w:val="24"/>
                <w:szCs w:val="24"/>
                <w:highlight w:val="none"/>
                <w:u w:val="none"/>
                <w:lang w:val="en-US" w:eastAsia="zh-CN" w:bidi="ar"/>
              </w:rPr>
              <w:t>耳用</w:t>
            </w:r>
            <w:r>
              <w:rPr>
                <w:rFonts w:hint="eastAsia" w:ascii="仿宋" w:hAnsi="仿宋" w:eastAsia="仿宋" w:cs="仿宋"/>
                <w:i w:val="0"/>
                <w:iCs w:val="0"/>
                <w:color w:val="auto"/>
                <w:kern w:val="0"/>
                <w:sz w:val="24"/>
                <w:szCs w:val="24"/>
                <w:highlight w:val="none"/>
                <w:u w:val="none"/>
                <w:lang w:val="en-US" w:eastAsia="zh-CN" w:bidi="ar"/>
              </w:rPr>
              <w:t>。</w:t>
            </w:r>
          </w:p>
          <w:p>
            <w:pPr>
              <w:keepNext w:val="0"/>
              <w:keepLines w:val="0"/>
              <w:widowControl/>
              <w:numPr>
                <w:ilvl w:val="0"/>
                <w:numId w:val="11"/>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表面无锋棱、毛刺、裂纹等缺陷，表面电镀处理。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3.采用12Cr18Ni9医用不锈钢材料。</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耳用叉</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2"/>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总长200毫米，滚花手柄，手柄处可推动使头部闭合。</w:t>
            </w:r>
          </w:p>
          <w:p>
            <w:pPr>
              <w:keepNext w:val="0"/>
              <w:keepLines w:val="0"/>
              <w:widowControl/>
              <w:numPr>
                <w:ilvl w:val="0"/>
                <w:numId w:val="12"/>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用于放置宾格、美敦力T型通管用。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3.表面无锋棱、毛刺、裂纹等缺陷，表面刷光处理。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4.采用医用不锈钢。</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2580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5160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耳鼓膜刀（鼓膜刀）</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3"/>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总长170毫米，角弯30°，弯高38毫米，头部半月刃，</w:t>
            </w:r>
            <w:r>
              <w:rPr>
                <w:rFonts w:hint="eastAsia" w:ascii="仿宋" w:hAnsi="仿宋" w:eastAsia="仿宋" w:cs="仿宋"/>
                <w:i w:val="0"/>
                <w:iCs w:val="0"/>
                <w:color w:val="auto"/>
                <w:kern w:val="0"/>
                <w:sz w:val="24"/>
                <w:szCs w:val="24"/>
                <w:highlight w:val="none"/>
                <w:u w:val="none"/>
                <w:lang w:val="en-US" w:eastAsia="zh-CN" w:bidi="ar"/>
              </w:rPr>
              <w:t>刃长</w:t>
            </w:r>
            <w:r>
              <w:rPr>
                <w:rFonts w:hint="eastAsia" w:ascii="仿宋" w:hAnsi="仿宋" w:eastAsia="仿宋" w:cs="仿宋"/>
                <w:i w:val="0"/>
                <w:iCs w:val="0"/>
                <w:color w:val="auto"/>
                <w:kern w:val="0"/>
                <w:sz w:val="24"/>
                <w:szCs w:val="24"/>
                <w:highlight w:val="none"/>
                <w:u w:val="none"/>
                <w:lang w:val="en-US" w:eastAsia="zh-CN" w:bidi="ar"/>
              </w:rPr>
              <w:t>6毫米。2.表面无锋棱、毛刺、裂纹等缺陷，表面亚光处理。</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3.刀体采用30Cr13医用不锈钢材料，热处理硬度48-53HRC。手柄采用20Cr13医用不锈钢材料。热处理硬度40-48HRC。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不锈钢服药杯</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产品最大容积50ml，304医用不锈钢制造，表面亮光处理。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不锈钢换药碗</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产品直径120毫米，304医用不锈钢制造，表面亮光处理。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帕巾钳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总长110毫米，尖头，20Cr13医用不锈钢，硬度40-48HRC，表面电镀处理。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耳用膝状镊</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4"/>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总长110毫米，枪状，头宽2毫米，头部长度50毫米。</w:t>
            </w:r>
          </w:p>
          <w:p>
            <w:pPr>
              <w:keepNext w:val="0"/>
              <w:keepLines w:val="0"/>
              <w:widowControl/>
              <w:numPr>
                <w:ilvl w:val="0"/>
                <w:numId w:val="14"/>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表面无锋棱、毛刺、裂纹等缺陷，表面电镀处理。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3.采用17-4PH医用不锈钢。</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（三）儿童头颈手术包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单价最高限价（元）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小计金额（元）</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手术刀柄</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总长125毫米，3#，医用不锈钢，可安装9-17#手术刀片，表面电镀处理。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手术剪</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长度140毫米，直尖，30Cr13医用不锈钢，硬度47-53HRC，表面电镀处理。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组织剪</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总长140毫米，弯型，刃口镶硬质合金片，30Cr13医用不锈钢，硬度47-53HRC，表面刷光处理。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精细手术剪（特快型解剖剪）</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长115毫米，头宽1.2毫米，头厚1毫米，头弯高度6.5毫米，弯圆，解剖型，特快型，30Cr13医用不锈钢，硬度47-53HRC，表面亚光处理。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止血钳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总长125毫米，弯型，蚊式，全齿，精细，17-4PH医用不锈钢，热处理硬度40-48HRC，表面亚光处理。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2016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帕巾钳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总长110毫米，尖头，20Cr13医用不锈钢，硬度40-48HRC，表面电镀处理。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不锈钢服药杯</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产品最大容积50ml，304医用不锈钢制造，表面亮光处理。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不锈钢换药碗</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产品直径120毫米，304医用不锈钢制造，表面亮光处理。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组织钳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总长140毫米，</w:t>
            </w:r>
            <w:r>
              <w:rPr>
                <w:rFonts w:hint="eastAsia" w:ascii="仿宋" w:hAnsi="仿宋" w:eastAsia="仿宋" w:cs="仿宋"/>
                <w:i w:val="0"/>
                <w:iCs w:val="0"/>
                <w:color w:val="auto"/>
                <w:kern w:val="0"/>
                <w:sz w:val="24"/>
                <w:szCs w:val="24"/>
                <w:highlight w:val="none"/>
                <w:u w:val="none"/>
                <w:lang w:val="en-US" w:eastAsia="zh-CN" w:bidi="ar"/>
              </w:rPr>
              <w:t>直型</w:t>
            </w:r>
            <w:r>
              <w:rPr>
                <w:rFonts w:hint="eastAsia" w:ascii="仿宋" w:hAnsi="仿宋" w:eastAsia="仿宋" w:cs="仿宋"/>
                <w:i w:val="0"/>
                <w:iCs w:val="0"/>
                <w:color w:val="auto"/>
                <w:kern w:val="0"/>
                <w:sz w:val="24"/>
                <w:szCs w:val="24"/>
                <w:highlight w:val="none"/>
                <w:u w:val="none"/>
                <w:lang w:val="en-US" w:eastAsia="zh-CN" w:bidi="ar"/>
              </w:rPr>
              <w:t>，20Cr13医用不锈钢，热处理硬度40-48HRC，表面电镀处理。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海绵钳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总长250毫米，弯形，有齿，头宽8毫米，20Cr13医用不锈钢，硬度40-48HRC，表面电镀处理。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持针钳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总长140毫米，直头，粗针，网纹齿，齿距0.6，20Cr13医用不锈钢，热处理硬度40-48HRC，表面电镀处理。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镶片持针钳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总长125毫米，直窄头，无损伤针，镶硬质合金片，网纹齿，齿距0.2，20Cr13医用不锈钢，热处理硬度40-48HRC，表面亚光处理。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1496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镶片持针钳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总长140毫米，直头，粗针，镶硬质合金片，网纹齿，齿距0.5，20Cr13医用不锈钢，热处理硬度40-48HRC，表面亚光处理。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916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整形镊</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长125毫米，头宽1.6毫米，直，有齿，20Cr13医用不锈钢，硬度40-48HRC，表面电镀处理。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整形镊</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长125毫米，1*2钩，直，20Cr13医用不锈钢，硬度40-48HRC，表面电镀处理。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不锈钢腰子盘</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产品长175毫米，宽105毫米，高25毫米，浅型，304医用不锈钢制造，表面亮光处理。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拉钩（气管拉钩）</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5"/>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总长170毫米，双头，一头三爪形，一头拉钩形，钩拉气管或组织。</w:t>
            </w:r>
          </w:p>
          <w:p>
            <w:pPr>
              <w:keepNext w:val="0"/>
              <w:keepLines w:val="0"/>
              <w:widowControl/>
              <w:numPr>
                <w:ilvl w:val="0"/>
                <w:numId w:val="15"/>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表面无锋棱、毛刺、裂纹等缺陷，表面电镀处理。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3.采用20Cr13医用不锈钢材料，热处理硬度为40-48HRC。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甲状腺拉钩</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6"/>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总长200毫米，宽度13毫米，两支，拉钩1头部长度39毫米/39毫米，拉钩2头部长度39毫米/43毫米。</w:t>
            </w:r>
          </w:p>
          <w:p>
            <w:pPr>
              <w:keepNext w:val="0"/>
              <w:keepLines w:val="0"/>
              <w:widowControl/>
              <w:numPr>
                <w:ilvl w:val="0"/>
                <w:numId w:val="16"/>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表面无锋棱、毛刺、裂纹等缺陷，表面电镀处理。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3.采用20Cr13医用不锈钢材料，热处理硬度为40-48HRC。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副</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甲状腺拉钩</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7"/>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长度117毫米，宽度10毫米，头部长度23毫米/35毫米，一支。</w:t>
            </w:r>
          </w:p>
          <w:p>
            <w:pPr>
              <w:keepNext w:val="0"/>
              <w:keepLines w:val="0"/>
              <w:widowControl/>
              <w:numPr>
                <w:ilvl w:val="0"/>
                <w:numId w:val="17"/>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表面无锋棱、毛刺、裂纹等缺陷，表面电镀处理。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3.采用20Cr13医用不锈钢材料，热处理硬度为40-48HRC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1"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鼻骨膜剥离器</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8"/>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总长200毫米，双头，一头头宽4毫米，一头头宽5毫米，双头畏弯，弯高5毫米。</w:t>
            </w:r>
          </w:p>
          <w:p>
            <w:pPr>
              <w:keepNext w:val="0"/>
              <w:keepLines w:val="0"/>
              <w:widowControl/>
              <w:numPr>
                <w:ilvl w:val="0"/>
                <w:numId w:val="18"/>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 等缺陷，表面亚光处理。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（四）喉显微手术器械包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单价最高限价（元）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小计金额（元）</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支撑喉镜</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9"/>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主要用于喉内镜手术，包括支撑架、连接装置、支撑喉镜、导光束等器械。支撑架由胸托和杆部组成，胸托直径95毫米，杆部长度355毫米，杆径8毫米；连接装置长度120毫米，内含齿轮，可调节；支撑喉镜深度160毫米，头宽15.5毫米，高度可调节；导光束杆部长度160毫米，杆径4.8毫米。</w:t>
            </w:r>
          </w:p>
          <w:p>
            <w:pPr>
              <w:keepNext w:val="0"/>
              <w:keepLines w:val="0"/>
              <w:widowControl/>
              <w:numPr>
                <w:ilvl w:val="0"/>
                <w:numId w:val="19"/>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表面无锋棱、毛刺、裂纹等缺陷，表面亚光处理。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3.胸托为硅胶材料，连接装置内部齿轮为铜材料，其余部件均为不锈钢材料。</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32900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32900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吸引管</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总长275毫米，吸引管直径2.5毫米,弯形，工作长度230毫米，带可控孔。</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2.表面无锋棱、毛刺、裂纹 等缺陷，表面亚光处理。</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3.采用12Cr19Ni10医用不锈钢。</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显微喉钳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1"/>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总长230毫米，头宽2毫米，管径2毫米，连接管式，</w:t>
            </w:r>
            <w:r>
              <w:rPr>
                <w:rFonts w:hint="eastAsia" w:ascii="仿宋" w:hAnsi="仿宋" w:eastAsia="仿宋" w:cs="仿宋"/>
                <w:i w:val="0"/>
                <w:iCs w:val="0"/>
                <w:color w:val="auto"/>
                <w:kern w:val="0"/>
                <w:sz w:val="24"/>
                <w:szCs w:val="24"/>
                <w:highlight w:val="none"/>
                <w:u w:val="none"/>
                <w:lang w:val="en-US" w:eastAsia="zh-CN" w:bidi="ar"/>
              </w:rPr>
              <w:t>直型</w:t>
            </w:r>
            <w:r>
              <w:rPr>
                <w:rFonts w:hint="eastAsia" w:ascii="仿宋" w:hAnsi="仿宋" w:eastAsia="仿宋" w:cs="仿宋"/>
                <w:i w:val="0"/>
                <w:iCs w:val="0"/>
                <w:color w:val="auto"/>
                <w:kern w:val="0"/>
                <w:sz w:val="24"/>
                <w:szCs w:val="24"/>
                <w:highlight w:val="none"/>
                <w:u w:val="none"/>
                <w:lang w:val="en-US" w:eastAsia="zh-CN" w:bidi="ar"/>
              </w:rPr>
              <w:t>，圆头。</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2.表面无锋棱、毛刺、裂纹等缺陷，表面刷光处理。</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3.采用医用不锈钢材料。</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5980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5980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显微喉钳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2"/>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总长230毫米，头宽2毫米，管径2毫米，连接管式，</w:t>
            </w:r>
            <w:r>
              <w:rPr>
                <w:rFonts w:hint="eastAsia" w:ascii="仿宋" w:hAnsi="仿宋" w:eastAsia="仿宋" w:cs="仿宋"/>
                <w:i w:val="0"/>
                <w:iCs w:val="0"/>
                <w:color w:val="auto"/>
                <w:kern w:val="0"/>
                <w:sz w:val="24"/>
                <w:szCs w:val="24"/>
                <w:highlight w:val="none"/>
                <w:u w:val="none"/>
                <w:lang w:val="en-US" w:eastAsia="zh-CN" w:bidi="ar"/>
              </w:rPr>
              <w:t>上弯</w:t>
            </w:r>
            <w:r>
              <w:rPr>
                <w:rFonts w:hint="eastAsia" w:ascii="仿宋" w:hAnsi="仿宋" w:eastAsia="仿宋" w:cs="仿宋"/>
                <w:i w:val="0"/>
                <w:iCs w:val="0"/>
                <w:color w:val="auto"/>
                <w:kern w:val="0"/>
                <w:sz w:val="24"/>
                <w:szCs w:val="24"/>
                <w:highlight w:val="none"/>
                <w:u w:val="none"/>
                <w:lang w:val="en-US" w:eastAsia="zh-CN" w:bidi="ar"/>
              </w:rPr>
              <w:t>型，圆头。2.表面无锋棱、毛刺、裂纹等缺陷，表面刷光处理。</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3.采用医用不锈钢材料。</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5980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5980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显微喉钳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3"/>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总长230毫米，头宽1毫米，管径2毫米，连接管式，</w:t>
            </w:r>
            <w:r>
              <w:rPr>
                <w:rFonts w:hint="eastAsia" w:ascii="仿宋" w:hAnsi="仿宋" w:eastAsia="仿宋" w:cs="仿宋"/>
                <w:i w:val="0"/>
                <w:iCs w:val="0"/>
                <w:color w:val="auto"/>
                <w:kern w:val="0"/>
                <w:sz w:val="24"/>
                <w:szCs w:val="24"/>
                <w:highlight w:val="none"/>
                <w:u w:val="none"/>
                <w:lang w:val="en-US" w:eastAsia="zh-CN" w:bidi="ar"/>
              </w:rPr>
              <w:t>直型</w:t>
            </w:r>
            <w:r>
              <w:rPr>
                <w:rFonts w:hint="eastAsia" w:ascii="仿宋" w:hAnsi="仿宋" w:eastAsia="仿宋" w:cs="仿宋"/>
                <w:i w:val="0"/>
                <w:iCs w:val="0"/>
                <w:color w:val="auto"/>
                <w:kern w:val="0"/>
                <w:sz w:val="24"/>
                <w:szCs w:val="24"/>
                <w:highlight w:val="none"/>
                <w:u w:val="none"/>
                <w:lang w:val="en-US" w:eastAsia="zh-CN" w:bidi="ar"/>
              </w:rPr>
              <w:t>，麦粒头。2.表面无锋棱、毛刺、裂纹等缺陷，表面刷光处理。</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3.采用医用不锈钢材料。</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5980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5980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显微喉剪</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4"/>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总长250毫米，头宽2.5毫米，管径2毫米，连接管式，</w:t>
            </w:r>
            <w:r>
              <w:rPr>
                <w:rFonts w:hint="eastAsia" w:ascii="仿宋" w:hAnsi="仿宋" w:eastAsia="仿宋" w:cs="仿宋"/>
                <w:i w:val="0"/>
                <w:iCs w:val="0"/>
                <w:color w:val="auto"/>
                <w:kern w:val="0"/>
                <w:sz w:val="24"/>
                <w:szCs w:val="24"/>
                <w:highlight w:val="none"/>
                <w:u w:val="none"/>
                <w:lang w:val="en-US" w:eastAsia="zh-CN" w:bidi="ar"/>
              </w:rPr>
              <w:t>直型</w:t>
            </w:r>
            <w:r>
              <w:rPr>
                <w:rFonts w:hint="eastAsia" w:ascii="仿宋" w:hAnsi="仿宋" w:eastAsia="仿宋" w:cs="仿宋"/>
                <w:i w:val="0"/>
                <w:iCs w:val="0"/>
                <w:color w:val="auto"/>
                <w:kern w:val="0"/>
                <w:sz w:val="24"/>
                <w:szCs w:val="24"/>
                <w:highlight w:val="none"/>
                <w:u w:val="none"/>
                <w:lang w:val="en-US" w:eastAsia="zh-CN" w:bidi="ar"/>
              </w:rPr>
              <w:t>。</w:t>
            </w:r>
          </w:p>
          <w:p>
            <w:pPr>
              <w:keepNext w:val="0"/>
              <w:keepLines w:val="0"/>
              <w:widowControl/>
              <w:numPr>
                <w:ilvl w:val="0"/>
                <w:numId w:val="24"/>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表面无锋棱、毛刺、裂纹等缺陷，表面刷光处理。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3.采用医用不锈钢材料。</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1746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1746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不锈钢服药杯</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产品最大容积50ml，304医用不锈钢制造，表面亮光处理。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不锈钢换药碗</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产品直径120毫米，304医用不锈钢制造，表面亮光处理。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帕巾钳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总长110毫米，尖头，20Cr13医用不锈钢，硬度40-48HRC，表面电镀处理。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（五）鼻腔异物手术包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单价最高限价（元）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小计金额（元）</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鼻组织钳（鼻息肉钳）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5"/>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总长150毫米，头宽3毫米，盖板式，直头，尖圆头。</w:t>
            </w:r>
          </w:p>
          <w:p>
            <w:pPr>
              <w:keepNext w:val="0"/>
              <w:keepLines w:val="0"/>
              <w:widowControl/>
              <w:numPr>
                <w:ilvl w:val="0"/>
                <w:numId w:val="25"/>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 等缺陷，表面亚光处理。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887</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887</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鼻异物钳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6"/>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工作长度110毫米，盖板式，头部有勾带齿。</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表面无锋棱、毛刺、裂纹等缺陷，表面亚光处理。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3.采用20Cr13医用不锈钢材料，热处理硬度为40-48HRC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688</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鼻腔吸引管</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7"/>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总长190毫米，管径2.5毫米。</w:t>
            </w:r>
          </w:p>
          <w:p>
            <w:pPr>
              <w:keepNext w:val="0"/>
              <w:keepLines w:val="0"/>
              <w:widowControl/>
              <w:numPr>
                <w:ilvl w:val="0"/>
                <w:numId w:val="27"/>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表面无锋棱、毛刺、裂纹等缺陷，表面亚光处理。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3.采用12Cr18Ni9医用不锈钢</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248</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鼻腔吸引管</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8"/>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总长150毫米，管径2.5毫米，头部圆弯，弯高12毫米，可控。</w:t>
            </w:r>
          </w:p>
          <w:p>
            <w:pPr>
              <w:keepNext w:val="0"/>
              <w:keepLines w:val="0"/>
              <w:widowControl/>
              <w:numPr>
                <w:ilvl w:val="0"/>
                <w:numId w:val="28"/>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表面无锋棱、毛刺、裂纹等缺陷，表面亚光处理。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3.采用20Cr13医用不锈钢材料，热处理硬度为40-48HRC。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248</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鼻窥器</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9"/>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总长150毫米，头部深度28毫米，手柄柄花。</w:t>
            </w:r>
          </w:p>
          <w:p>
            <w:pPr>
              <w:keepNext w:val="0"/>
              <w:keepLines w:val="0"/>
              <w:widowControl/>
              <w:numPr>
                <w:ilvl w:val="0"/>
                <w:numId w:val="29"/>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 等缺陷，表面刷光处理。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3.采用20Cr13医用不锈钢材料，热处理硬度为40-48HRC。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组织镊</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长140毫米，枪状，带齿，17-4PH医用不锈钢，硬度40-48HRC，表面刷光处理。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不锈钢服药杯</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产品最大容积50ml，304医用不锈钢制造，表面亮光处理。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不锈钢换药碗</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产品直径120毫米，304医用不锈钢制造，表面亮光处理。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帕巾钳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总长110毫米，尖头，20Cr13医用不锈钢，硬度40-48HRC，表面电镀处理。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（六）其他器械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单价最高限价（元）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小计金额（元）</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组织剪</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长度140毫米，</w:t>
            </w:r>
            <w:r>
              <w:rPr>
                <w:rFonts w:hint="eastAsia" w:ascii="仿宋" w:hAnsi="仿宋" w:eastAsia="仿宋" w:cs="仿宋"/>
                <w:i w:val="0"/>
                <w:iCs w:val="0"/>
                <w:color w:val="auto"/>
                <w:kern w:val="0"/>
                <w:sz w:val="24"/>
                <w:szCs w:val="24"/>
                <w:highlight w:val="none"/>
                <w:u w:val="none"/>
                <w:lang w:val="en-US" w:eastAsia="zh-CN" w:bidi="ar"/>
              </w:rPr>
              <w:t>直型</w:t>
            </w:r>
            <w:r>
              <w:rPr>
                <w:rFonts w:hint="eastAsia" w:ascii="仿宋" w:hAnsi="仿宋" w:eastAsia="仿宋" w:cs="仿宋"/>
                <w:i w:val="0"/>
                <w:iCs w:val="0"/>
                <w:color w:val="auto"/>
                <w:kern w:val="0"/>
                <w:sz w:val="24"/>
                <w:szCs w:val="24"/>
                <w:highlight w:val="none"/>
                <w:u w:val="none"/>
                <w:lang w:val="en-US" w:eastAsia="zh-CN" w:bidi="ar"/>
              </w:rPr>
              <w:t>，30Cr13医用不锈钢，硬度47-53HRC，表面电镀处理。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帕巾钳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总长140毫米，尖头，20Cr13医用不锈钢，硬度40-48HRC，表面电镀处理。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1160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海绵钳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总长250毫米，弯形，有齿，头宽10毫米，20Cr13医用不锈钢，硬度40-48HRC，表面电镀处理。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海绵钳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总长250毫米，弯形，无齿，头宽10毫米，20Cr13医用不锈钢，硬度40-48HRC，表面电镀处理。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不锈钢镊子筒</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产品直径80毫米，高200毫米，有盖，大号，304医用不锈钢制造，表面亮光处理。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不锈钢贮槽</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产品直径260毫米，304医用不锈钢制造，表面亮光处理。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眼用剪</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1.总长100毫米，直尖。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2.采用40Cr13材料制成，产品应经热处理，硬度为48-58HRC。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3.外表面刷光处理，粗糙度Ra不大于0.4µm。</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眼科器械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眼用剪</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1.总长100毫米，弯尖。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2.采用40Cr13材料制成，产品应经热处理，硬度为48-58HRC。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3.外表面刷光处理，粗糙度Ra不大于0.4</w:t>
            </w:r>
            <w:r>
              <w:rPr>
                <w:rFonts w:ascii="Arial" w:hAnsi="Arial" w:eastAsia="仿宋" w:cs="Arial"/>
                <w:i w:val="0"/>
                <w:iCs w:val="0"/>
                <w:color w:val="auto"/>
                <w:kern w:val="0"/>
                <w:sz w:val="24"/>
                <w:szCs w:val="24"/>
                <w:highlight w:val="none"/>
                <w:u w:val="none"/>
                <w:lang w:val="en-US" w:eastAsia="zh-CN" w:bidi="ar"/>
              </w:rPr>
              <w:t>µ</w:t>
            </w:r>
            <w:r>
              <w:rPr>
                <w:rFonts w:hint="eastAsia" w:ascii="仿宋" w:hAnsi="仿宋" w:eastAsia="仿宋" w:cs="仿宋"/>
                <w:i w:val="0"/>
                <w:iCs w:val="0"/>
                <w:color w:val="auto"/>
                <w:kern w:val="0"/>
                <w:sz w:val="24"/>
                <w:szCs w:val="24"/>
                <w:highlight w:val="none"/>
                <w:u w:val="none"/>
                <w:lang w:val="en-US" w:eastAsia="zh-CN" w:bidi="ar"/>
              </w:rPr>
              <w:t>m。</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眼科器械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226"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52"/>
                <w:szCs w:val="52"/>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合计金额：</w:t>
            </w:r>
          </w:p>
        </w:tc>
        <w:tc>
          <w:tcPr>
            <w:tcW w:w="2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122720</w:t>
            </w:r>
          </w:p>
        </w:tc>
      </w:tr>
    </w:tbl>
    <w:p>
      <w:pPr>
        <w:spacing w:line="380" w:lineRule="exact"/>
        <w:jc w:val="both"/>
        <w:rPr>
          <w:rFonts w:ascii="仿宋" w:hAnsi="仿宋" w:eastAsia="仿宋" w:cs="仿宋"/>
          <w:b/>
          <w:color w:val="auto"/>
          <w:sz w:val="28"/>
          <w:szCs w:val="28"/>
          <w:highlight w:val="none"/>
        </w:rPr>
      </w:pPr>
    </w:p>
    <w:p>
      <w:pPr>
        <w:numPr>
          <w:ilvl w:val="0"/>
          <w:numId w:val="0"/>
        </w:numPr>
        <w:spacing w:line="360" w:lineRule="auto"/>
        <w:ind w:firstLine="482" w:firstLineChars="200"/>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bCs/>
          <w:color w:val="auto"/>
          <w:kern w:val="0"/>
          <w:sz w:val="24"/>
          <w:szCs w:val="24"/>
          <w:highlight w:val="none"/>
          <w:lang w:val="zh-CN" w:eastAsia="zh-CN" w:bidi="ar-SA"/>
        </w:rPr>
        <w:t>五、商务要求</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供货要求</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交货期 ：合同签订之日起30天内完成供货、安装与调试，并完成对使用单位相关人员的操作与使用培训。</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2.交货</w:t>
      </w:r>
      <w:r>
        <w:rPr>
          <w:rFonts w:hint="eastAsia" w:ascii="仿宋" w:hAnsi="仿宋" w:eastAsia="仿宋" w:cs="仿宋"/>
          <w:color w:val="auto"/>
          <w:sz w:val="24"/>
          <w:highlight w:val="none"/>
        </w:rPr>
        <w:t>地点：采购人指定地点。</w:t>
      </w:r>
    </w:p>
    <w:p>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报价要求：</w:t>
      </w:r>
    </w:p>
    <w:p>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1.响应供应商必须对所投项目全部内容进行响应报价，报价不得超出单价限价及总价限价，且报价方案唯一。如有缺漏或报价高于采购预算按响应无效处理。</w:t>
      </w:r>
    </w:p>
    <w:p>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2.报价包括完成项目所产生的设计、安装、随机零配件、标配工具、运输保险、调试、培训、质保期服务、各项税费及合同实施过程中不可预见费用等。</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付款期限及方式：</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1.合同签订生效后，货到安装、调试、验收合格后正常使用10个工作日内向成交供应商支付合同总额的100%。</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2.支付方式采用银行转账支付。</w:t>
      </w:r>
    </w:p>
    <w:p>
      <w:pPr>
        <w:spacing w:line="360" w:lineRule="auto"/>
        <w:ind w:left="479" w:leftChars="228" w:firstLine="21" w:firstLineChars="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3.乙方必须向甲方出具合法有效完整的完税发票及凭证进行支付结算。</w:t>
      </w:r>
    </w:p>
    <w:p>
      <w:pPr>
        <w:spacing w:line="360" w:lineRule="auto"/>
        <w:ind w:left="479" w:leftChars="228" w:firstLine="21" w:firstLineChars="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验收标准：</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1.交付验收标准依次序对照适用标准为：①符合中华人民共和国国家安全质量标准、环保标准或行业标准；②符合采购文件和响应承诺中采购人认可的合理最佳配置、参数及各项要求；③货物来源国官方标准。</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2.货物为原制造商制造的全新产品，无污染，无侵权行为、表面无划损、无任何缺陷隐患，在中国境内可依常规安全合法使用，并提供出厂合格、保修卡、说明书等证明文件。</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3.货物为原厂商未启封全新包装，具出厂合格证，序列号、包装箱号与出厂批号一致，并可追溯查阅。</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4.成交供应商应将关键器械或零部件的用户手册、保修手册、有关单据资料及配备件、随机工具等交付给采购人，使用操作及安全须知等重要资料应附有中文说明。</w:t>
      </w:r>
    </w:p>
    <w:p>
      <w:pPr>
        <w:spacing w:line="360" w:lineRule="auto"/>
        <w:ind w:firstLine="504" w:firstLineChars="210"/>
        <w:rPr>
          <w:rFonts w:hint="eastAsia"/>
          <w:color w:val="auto"/>
          <w:highlight w:val="none"/>
          <w:lang w:val="en-US" w:eastAsia="zh-CN"/>
        </w:rPr>
      </w:pPr>
      <w:r>
        <w:rPr>
          <w:rFonts w:hint="eastAsia" w:ascii="仿宋" w:hAnsi="仿宋" w:eastAsia="仿宋" w:cs="仿宋"/>
          <w:color w:val="auto"/>
          <w:sz w:val="24"/>
          <w:highlight w:val="none"/>
          <w:lang w:val="en-US" w:eastAsia="zh-CN"/>
        </w:rPr>
        <w:t>5.验收时间：成交供应商按采购人要求，将器械或零部件在指定地点安装、调试、培训至正常使用后，由成交供应商提出验收，甲方接到验收通知后</w:t>
      </w:r>
      <w:r>
        <w:rPr>
          <w:rFonts w:hint="eastAsia" w:ascii="仿宋" w:hAnsi="仿宋" w:eastAsia="仿宋" w:cs="仿宋"/>
          <w:color w:val="auto"/>
          <w:sz w:val="24"/>
          <w:highlight w:val="none"/>
          <w:u w:val="single"/>
          <w:lang w:val="en-US" w:eastAsia="zh-CN"/>
        </w:rPr>
        <w:t xml:space="preserve"> 壹 </w:t>
      </w:r>
      <w:r>
        <w:rPr>
          <w:rFonts w:hint="eastAsia" w:ascii="仿宋" w:hAnsi="仿宋" w:eastAsia="仿宋" w:cs="仿宋"/>
          <w:color w:val="auto"/>
          <w:sz w:val="24"/>
          <w:highlight w:val="none"/>
          <w:lang w:val="en-US" w:eastAsia="zh-CN"/>
        </w:rPr>
        <w:t>个月内组织验收。</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质保期及售后服务要求</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1.质保期：质保期≥1年。</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质保期内非采购人的人为原因而出现产品质量及安装问题，由成交供应商负责包修、包换包退、包维护保养，并承担因此而产生的一切费用。器械或零部件终身维修，质保期过后，不收取服务费，只收取零件成本费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3.质保期内，如器械或零部件因非人为因素出现故障而造成短期停用时，则质保期顺延。如停用时间累计超过60天则质保期重新计算。</w:t>
      </w:r>
    </w:p>
    <w:p>
      <w:pPr>
        <w:spacing w:line="360" w:lineRule="auto"/>
        <w:ind w:firstLine="504" w:firstLineChars="210"/>
        <w:rPr>
          <w:rFonts w:hint="eastAsia"/>
          <w:color w:val="auto"/>
          <w:highlight w:val="none"/>
          <w:lang w:val="zh-CN" w:eastAsia="zh-CN"/>
        </w:rPr>
      </w:pPr>
      <w:r>
        <w:rPr>
          <w:rFonts w:hint="eastAsia" w:ascii="仿宋" w:hAnsi="仿宋" w:eastAsia="仿宋" w:cs="仿宋"/>
          <w:color w:val="auto"/>
          <w:sz w:val="24"/>
          <w:highlight w:val="none"/>
          <w:lang w:val="en-US" w:eastAsia="zh-CN"/>
        </w:rPr>
        <w:t>4.对采购人的服务通知,</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highlight w:val="none"/>
          <w:lang w:val="en-US" w:eastAsia="zh-CN"/>
        </w:rPr>
        <w:t>接报后做出回应,并派人员到达用户现场实施维修并排除故障。若在48小时内仍未能有效解决，</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highlight w:val="none"/>
          <w:lang w:val="en-US" w:eastAsia="zh-CN"/>
        </w:rPr>
        <w:t>须提供同档次的设备予采购人临时使用。</w:t>
      </w:r>
    </w:p>
    <w:p>
      <w:pPr>
        <w:spacing w:line="380" w:lineRule="exact"/>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第三部分  响应供应商须知</w:t>
      </w:r>
    </w:p>
    <w:p>
      <w:pPr>
        <w:pStyle w:val="9"/>
        <w:adjustRightInd w:val="0"/>
        <w:snapToGrid w:val="0"/>
        <w:spacing w:line="380" w:lineRule="exact"/>
        <w:rPr>
          <w:rFonts w:hint="eastAsia" w:ascii="仿宋" w:hAnsi="仿宋" w:eastAsia="仿宋" w:cs="仿宋"/>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适用范围：本</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文件适用于本</w:t>
      </w:r>
      <w:r>
        <w:rPr>
          <w:rFonts w:hint="eastAsia" w:ascii="仿宋" w:hAnsi="仿宋" w:eastAsia="仿宋" w:cs="仿宋"/>
          <w:color w:val="auto"/>
          <w:sz w:val="24"/>
          <w:szCs w:val="24"/>
          <w:highlight w:val="none"/>
          <w:lang w:eastAsia="zh-CN"/>
        </w:rPr>
        <w:t>比</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邀请中所述项目的采购项目。</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.定义</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single"/>
          <w:lang w:eastAsia="zh-CN"/>
        </w:rPr>
        <w:t>惠州市第一妇幼保健院</w:t>
      </w:r>
      <w:r>
        <w:rPr>
          <w:rFonts w:hint="eastAsia" w:ascii="仿宋" w:hAnsi="仿宋" w:eastAsia="仿宋" w:cs="仿宋"/>
          <w:color w:val="auto"/>
          <w:sz w:val="24"/>
          <w:szCs w:val="24"/>
          <w:highlight w:val="none"/>
        </w:rPr>
        <w:t>。</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的法人或者其他组织、自然人。</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合格的响应公司是指符合以下条件的：</w:t>
      </w:r>
    </w:p>
    <w:p>
      <w:pPr>
        <w:pStyle w:val="9"/>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9"/>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9"/>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按要求进行资格</w:t>
      </w:r>
      <w:r>
        <w:rPr>
          <w:rFonts w:hint="eastAsia" w:ascii="仿宋" w:hAnsi="仿宋" w:eastAsia="仿宋" w:cs="仿宋"/>
          <w:color w:val="auto"/>
          <w:sz w:val="24"/>
          <w:szCs w:val="24"/>
          <w:highlight w:val="none"/>
          <w:lang w:val="en-US" w:eastAsia="zh-CN"/>
        </w:rPr>
        <w:t>审查（即满足采购条件和要求）</w:t>
      </w:r>
      <w:r>
        <w:rPr>
          <w:rFonts w:hint="eastAsia" w:ascii="仿宋" w:hAnsi="仿宋" w:eastAsia="仿宋" w:cs="仿宋"/>
          <w:color w:val="auto"/>
          <w:sz w:val="24"/>
          <w:szCs w:val="24"/>
          <w:highlight w:val="none"/>
          <w:lang w:val="hr-HR" w:eastAsia="zh-CN"/>
        </w:rPr>
        <w:t>并通过；</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（5）“成交供应商”是指经法定程序确定并授予合同的供应商；</w:t>
      </w:r>
    </w:p>
    <w:p>
      <w:pPr>
        <w:pStyle w:val="9"/>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（6）“响应文件”是指：供应商根据本文件要求，编制包含报价、技术和服务等所有内容的实质性响应文件。</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合格的货物和服务：</w:t>
      </w:r>
    </w:p>
    <w:p>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“货物”是指投标人制造或组织符合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rPr>
        <w:t>投标的货物必须是其合法生产的符合国家有关标准要求的货物，并满足我院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“服务”是指除货物和工程以外的采购对象，其中包括：投标人需承担的运输、安装、技术支持、培训以及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trike/>
          <w:dstrike w:val="0"/>
          <w:color w:val="auto"/>
          <w:sz w:val="24"/>
          <w:highlight w:val="none"/>
          <w:u w:val="none" w:color="auto"/>
          <w:lang w:val="hr-HR"/>
        </w:rPr>
      </w:pPr>
      <w:r>
        <w:rPr>
          <w:rFonts w:hint="eastAsia" w:ascii="仿宋" w:hAnsi="仿宋" w:eastAsia="仿宋" w:cs="仿宋"/>
          <w:b w:val="0"/>
          <w:bCs w:val="0"/>
          <w:snapToGrid w:val="0"/>
          <w:color w:val="auto"/>
          <w:kern w:val="0"/>
          <w:sz w:val="24"/>
          <w:szCs w:val="21"/>
          <w:highlight w:val="none"/>
          <w:u w:val="none" w:color="auto"/>
          <w:lang w:val="en-US" w:eastAsia="zh-CN" w:bidi="ar-SA"/>
        </w:rPr>
        <w:t>3.</w:t>
      </w:r>
      <w:r>
        <w:rPr>
          <w:rFonts w:hint="eastAsia" w:ascii="仿宋" w:hAnsi="仿宋" w:eastAsia="仿宋" w:cs="仿宋"/>
          <w:b w:val="0"/>
          <w:bCs w:val="0"/>
          <w:snapToGrid w:val="0"/>
          <w:color w:val="auto"/>
          <w:kern w:val="0"/>
          <w:sz w:val="24"/>
          <w:szCs w:val="21"/>
          <w:highlight w:val="none"/>
          <w:u w:val="none" w:color="auto"/>
          <w:lang w:val="hr-HR" w:eastAsia="zh-CN" w:bidi="ar-SA"/>
        </w:rPr>
        <w:t>响应文件必须经法定代表人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或法定代表人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授权代表签署；</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在现场应出示身份证，以备核对，如</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与文件中的法人或被授权人不一致将导致废标。</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napToGrid w:val="0"/>
          <w:color w:val="auto"/>
          <w:kern w:val="0"/>
          <w:sz w:val="24"/>
          <w:highlight w:val="none"/>
          <w:u w:val="none" w:color="auto"/>
        </w:rPr>
      </w:pPr>
      <w:r>
        <w:rPr>
          <w:rFonts w:hint="eastAsia" w:ascii="仿宋" w:hAnsi="仿宋" w:eastAsia="仿宋" w:cs="仿宋"/>
          <w:b w:val="0"/>
          <w:bCs w:val="0"/>
          <w:snapToGrid w:val="0"/>
          <w:color w:val="auto"/>
          <w:kern w:val="0"/>
          <w:sz w:val="24"/>
          <w:highlight w:val="none"/>
          <w:u w:val="none" w:color="auto"/>
          <w:lang w:val="en-US" w:eastAsia="zh-CN"/>
        </w:rPr>
        <w:t>4.</w:t>
      </w:r>
      <w:r>
        <w:rPr>
          <w:rFonts w:hint="eastAsia" w:ascii="仿宋" w:hAnsi="仿宋" w:eastAsia="仿宋" w:cs="仿宋"/>
          <w:b w:val="0"/>
          <w:bCs w:val="0"/>
          <w:snapToGrid w:val="0"/>
          <w:color w:val="auto"/>
          <w:kern w:val="0"/>
          <w:sz w:val="24"/>
          <w:highlight w:val="none"/>
          <w:u w:val="none" w:color="auto"/>
        </w:rPr>
        <w:t>响应费用：</w:t>
      </w:r>
      <w:r>
        <w:rPr>
          <w:rFonts w:hint="eastAsia" w:ascii="仿宋" w:hAnsi="仿宋" w:eastAsia="仿宋" w:cs="仿宋"/>
          <w:b w:val="0"/>
          <w:bCs w:val="0"/>
          <w:snapToGrid w:val="0"/>
          <w:color w:val="auto"/>
          <w:kern w:val="0"/>
          <w:sz w:val="24"/>
          <w:highlight w:val="none"/>
          <w:u w:val="none" w:color="auto"/>
          <w:lang w:eastAsia="zh-CN"/>
        </w:rPr>
        <w:t>响应供应商</w:t>
      </w:r>
      <w:r>
        <w:rPr>
          <w:rFonts w:hint="eastAsia" w:ascii="仿宋" w:hAnsi="仿宋" w:eastAsia="仿宋" w:cs="仿宋"/>
          <w:b w:val="0"/>
          <w:bCs w:val="0"/>
          <w:snapToGrid w:val="0"/>
          <w:color w:val="auto"/>
          <w:kern w:val="0"/>
          <w:sz w:val="24"/>
          <w:highlight w:val="none"/>
          <w:u w:val="none" w:color="auto"/>
        </w:rPr>
        <w:t>应承担所有与准备和参加响应有关的费用。</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不得恶意竞价，对于报价差异巨大的，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小组有权要求</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在规定的时间内提供相关证明材料，在规定时间内不能提供材料或者无法证明的,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小组有权裁定该报价是否为恶意报价。恶意竞价的</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将被取消成交资格，并列入黑名单，在此后五年内不得参与我院任何采买活动。</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9"/>
        <w:adjustRightInd w:val="0"/>
        <w:snapToGri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有以下情形的，将视为响应供应商互相串通响应，不得报名或响应无效：</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（1）不同供应商委托同一单位或个人办理报价事宜；</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（2）不同供应商的报价文件出现同一公章或者签字的；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（3）不同供应商的响应文件异常一致或者非比选文件格式要求，响应文件中出现错误字/词/句位置一致的，雷同内容达到20字及以上的；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（4）不同供应商的响应文件载明的项目管理成员或者联系人员为同一人；</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（6）法定代表人为同一个人的两个及两个以上法人，母公司、全资子公司及其控股公司或有共同股东组成或主要管理人员中有共同人员的。</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响应供应商有下列弄虚作假的行为的，不得报名或响应无效：</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（6）响应文件或报价文件的签名为代签或冒签的；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（7）被授权人委托他人提交响应文件的，无委托书的。</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响应文件自响应文件接收截止时点起，三个月内有效。</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以下情形，采购人有权拒收响应文件：</w:t>
      </w:r>
    </w:p>
    <w:p>
      <w:pPr>
        <w:pStyle w:val="9"/>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有下列情形，评审小组将否决其响应：</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9"/>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9"/>
        <w:numPr>
          <w:ilvl w:val="0"/>
          <w:numId w:val="0"/>
        </w:num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14.</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15.</w:t>
      </w:r>
      <w:r>
        <w:rPr>
          <w:rFonts w:hint="eastAsia" w:ascii="仿宋" w:hAnsi="仿宋" w:eastAsia="仿宋" w:cs="仿宋"/>
          <w:b/>
          <w:color w:val="auto"/>
          <w:sz w:val="24"/>
          <w:szCs w:val="24"/>
          <w:highlight w:val="none"/>
        </w:rPr>
        <w:t>关于中小微企业投标</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0" w:name="_Toc14923_WPSOffice_Level1"/>
      <w:r>
        <w:rPr>
          <w:rFonts w:hint="eastAsia" w:ascii="仿宋" w:hAnsi="仿宋" w:eastAsia="仿宋" w:cs="仿宋"/>
          <w:b w:val="0"/>
          <w:bCs/>
          <w:color w:val="auto"/>
          <w:sz w:val="24"/>
          <w:szCs w:val="24"/>
          <w:highlight w:val="none"/>
        </w:rPr>
        <w:t>同小型、微型</w:t>
      </w:r>
      <w:bookmarkEnd w:id="0"/>
      <w:r>
        <w:rPr>
          <w:rFonts w:hint="eastAsia" w:ascii="仿宋" w:hAnsi="仿宋" w:eastAsia="仿宋" w:cs="仿宋"/>
          <w:b w:val="0"/>
          <w:bCs/>
          <w:color w:val="auto"/>
          <w:sz w:val="24"/>
          <w:szCs w:val="24"/>
          <w:highlight w:val="none"/>
        </w:rPr>
        <w:t>企业，享受评审中价格扣除。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pPr>
        <w:pStyle w:val="9"/>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二、比选文件</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比选文件由下列文件组成1) 比选邀请函；2) 采购项目内容；3) 供应商须知；4) 合同书格式；5) 响应文件格式 ；6) 在比选过程中由比选采购单位发出的修正和补充文件等。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 </w:t>
      </w:r>
    </w:p>
    <w:p>
      <w:pPr>
        <w:pStyle w:val="9"/>
        <w:adjustRightInd w:val="0"/>
        <w:snapToGrid w:val="0"/>
        <w:spacing w:line="360" w:lineRule="auto"/>
        <w:ind w:firstLine="480" w:firstLineChars="200"/>
        <w:rPr>
          <w:rFonts w:hint="eastAsia" w:ascii="仿宋" w:hAnsi="仿宋" w:eastAsia="仿宋" w:cs="仿宋"/>
          <w:color w:val="auto"/>
          <w:sz w:val="24"/>
          <w:highlight w:val="none"/>
        </w:rPr>
      </w:pPr>
      <w:bookmarkStart w:id="1" w:name="OLE_LINK11"/>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比选文件的澄清或修改</w:t>
      </w:r>
    </w:p>
    <w:bookmarkEnd w:id="1"/>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（1）比选文件的澄清是指医院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对其收到的书面的对比选文件的澄清要求均以书面形式予以答复，同时将书面形式答复发给每个提交资格预审文件潜在供应商（答复中不包括问题的来源）。供应商在收到上述答复后，应立即向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回函确认。不足3日的，顺延提交资格预审文件或响应文件的截止时间。该答复作为比选文件的一部分，对供应商有约束力。</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以书面形式通知所有潜在（报名成功的）供应商，并对其具有约束力。供应商在收到上述通知后，应立即向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（5）采购人可以视采购具体情况，延长响应文件递交截止时间，但至少应当在比选文件规定的响应文件递交截止时间3日前，并将变更时间书面通知所有已获取比选文件的潜在供应商。</w:t>
      </w:r>
    </w:p>
    <w:p>
      <w:pPr>
        <w:pStyle w:val="9"/>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 xml:space="preserve">供应商应在收到比选文件后，仔细阅读，有疑问的应在报名有效工作时间内提出质疑。在规定的时间内未对比选文件要求澄清或提出疑问的，我院将视其为无异议，不再接受对比选文件内容的质疑。 </w:t>
      </w:r>
    </w:p>
    <w:p>
      <w:pPr>
        <w:pStyle w:val="9"/>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要求供应商报名后应参加比选，报名后不参加比选的应在提交响应文件截止时间前一天前致函我院</w:t>
      </w:r>
      <w:r>
        <w:rPr>
          <w:rFonts w:hint="eastAsia" w:ascii="仿宋" w:hAnsi="仿宋" w:eastAsia="仿宋" w:cs="仿宋"/>
          <w:b/>
          <w:bCs/>
          <w:color w:val="auto"/>
          <w:sz w:val="24"/>
          <w:highlight w:val="none"/>
          <w:lang w:eastAsia="zh-CN"/>
        </w:rPr>
        <w:t>招采办</w:t>
      </w:r>
      <w:r>
        <w:rPr>
          <w:rFonts w:hint="eastAsia" w:ascii="仿宋" w:hAnsi="仿宋" w:eastAsia="仿宋" w:cs="仿宋"/>
          <w:b/>
          <w:bCs/>
          <w:color w:val="auto"/>
          <w:sz w:val="24"/>
          <w:highlight w:val="none"/>
        </w:rPr>
        <w:t>说明情况。如未致函说明者，将记不良行为一次，2年累计达两次者将被列入黑名单。</w:t>
      </w:r>
    </w:p>
    <w:p>
      <w:pPr>
        <w:pStyle w:val="9"/>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三、响应文件的编制和数量</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比选的语言及计量</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响应文件编制</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比选报价</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供应商所提供的货物和服务均应以人民币报价，若同时以人民币及外币报价的，以人民币报价为准。</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报价应为供应商完成本项目全部内容所需费用的含税价（包括但不限于人工、保险、伴随服务、拟投入工具及材料、各类税费以及采购合同包含的所有风险、责任等各项应有费用）。</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只允许供应商有一个响应方案，否则将被视为无效响应。（比选文件允许有备选方案的除外）。</w:t>
      </w:r>
    </w:p>
    <w:p>
      <w:pPr>
        <w:pStyle w:val="9"/>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本项目不接受联合体比选。</w:t>
      </w:r>
    </w:p>
    <w:p>
      <w:pPr>
        <w:pStyle w:val="9"/>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供应商资格证明文件</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供应商应按比选文件的要求，提交证明其有资格参加比选和成交后有履行合同能力的文件，并作为其响应文件的组成部分，包括但不限于《资格性及符合性审查表》中所列要求。</w:t>
      </w:r>
    </w:p>
    <w:p>
      <w:pPr>
        <w:pStyle w:val="9"/>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资格证明文件必须真实有效，复印件必须加盖单位印章。</w:t>
      </w:r>
    </w:p>
    <w:p>
      <w:pPr>
        <w:pStyle w:val="9"/>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供应商应编制响应文件一式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份，其中正本一份和副本</w:t>
      </w:r>
      <w:r>
        <w:rPr>
          <w:rFonts w:hint="eastAsia" w:ascii="仿宋" w:hAnsi="仿宋" w:eastAsia="仿宋" w:cs="仿宋"/>
          <w:bCs/>
          <w:color w:val="auto"/>
          <w:sz w:val="24"/>
          <w:szCs w:val="24"/>
          <w:highlight w:val="none"/>
          <w:lang w:eastAsia="zh-CN"/>
        </w:rPr>
        <w:t>一</w:t>
      </w:r>
      <w:r>
        <w:rPr>
          <w:rFonts w:hint="eastAsia" w:ascii="仿宋" w:hAnsi="仿宋" w:eastAsia="仿宋" w:cs="仿宋"/>
          <w:bCs/>
          <w:color w:val="auto"/>
          <w:sz w:val="24"/>
          <w:szCs w:val="24"/>
          <w:highlight w:val="none"/>
        </w:rPr>
        <w:t>份，响应文件的副本可采用正本的复印件。每本响应文件须清楚地标明“正本”、“副本”，否则响应无效。若副本与正本不符，以正本为准。响应文件密封在同一个文件袋内，响应的截止时点为</w:t>
      </w:r>
      <w:r>
        <w:rPr>
          <w:rFonts w:hint="eastAsia" w:ascii="仿宋" w:hAnsi="仿宋" w:eastAsia="仿宋" w:cs="仿宋"/>
          <w:bCs/>
          <w:color w:val="auto"/>
          <w:sz w:val="24"/>
          <w:szCs w:val="24"/>
          <w:highlight w:val="none"/>
        </w:rPr>
        <w:t>202</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时</w:t>
      </w:r>
      <w:r>
        <w:rPr>
          <w:rFonts w:hint="eastAsia" w:ascii="仿宋" w:hAnsi="仿宋" w:eastAsia="仿宋" w:cs="仿宋"/>
          <w:bCs/>
          <w:color w:val="auto"/>
          <w:sz w:val="24"/>
          <w:szCs w:val="24"/>
          <w:highlight w:val="none"/>
          <w:lang w:val="en-US" w:eastAsia="zh-CN"/>
        </w:rPr>
        <w:t>0</w:t>
      </w:r>
      <w:r>
        <w:rPr>
          <w:rFonts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rPr>
        <w:t>（北京时间），超过截止时点后的响应视为响应无效。</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响应文件由法定代表人或经其正式授权的代表签字。授权代表须出具书面授权证明，法人证明及法人授权证明均应在响应文件中提供（格式见附件）。</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ascii="仿宋" w:hAnsi="仿宋" w:eastAsia="仿宋" w:cs="仿宋"/>
          <w:color w:val="auto"/>
          <w:sz w:val="24"/>
          <w:szCs w:val="24"/>
          <w:highlight w:val="none"/>
        </w:rPr>
        <w:t>响应文件中的任何重要的插字、涂改和增删，必须由法定代表人或经其正式授权的代表在旁边加盖公章或签字才有效。</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四、响应文件的递交</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采购单位在《比选邀请函》中规定的地点和响应截止时间之前接收响应文件，超过截止时间后的响应为无效响应，采购单位将拒绝接收。</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及）并加盖公章，授权委托书必须具有法人签名，未签名无效。如缺少上述资料，按响应无效处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工作人员现场宣读响应供应商名称、响应价格等实质内容。</w:t>
      </w:r>
    </w:p>
    <w:p>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w:t>
      </w:r>
      <w:bookmarkStart w:id="2" w:name="OLE_LINK6"/>
      <w:r>
        <w:rPr>
          <w:rFonts w:hint="eastAsia" w:ascii="仿宋" w:hAnsi="仿宋" w:eastAsia="仿宋" w:cs="仿宋"/>
          <w:color w:val="auto"/>
          <w:sz w:val="24"/>
          <w:szCs w:val="24"/>
          <w:highlight w:val="none"/>
        </w:rPr>
        <w:t>审</w:t>
      </w:r>
      <w:bookmarkEnd w:id="2"/>
      <w:r>
        <w:rPr>
          <w:rFonts w:hint="eastAsia" w:ascii="仿宋" w:hAnsi="仿宋" w:eastAsia="仿宋" w:cs="仿宋"/>
          <w:color w:val="auto"/>
          <w:sz w:val="24"/>
          <w:szCs w:val="24"/>
          <w:highlight w:val="none"/>
        </w:rPr>
        <w:t>小组</w:t>
      </w:r>
      <w:bookmarkStart w:id="3" w:name="OLE_LINK9"/>
      <w:r>
        <w:rPr>
          <w:rFonts w:hint="eastAsia" w:ascii="仿宋" w:hAnsi="仿宋" w:eastAsia="仿宋" w:cs="仿宋"/>
          <w:color w:val="auto"/>
          <w:sz w:val="24"/>
          <w:szCs w:val="24"/>
          <w:highlight w:val="none"/>
        </w:rPr>
        <w:t>按医院规定从专家库中随机抽取三名专家组成。</w:t>
      </w:r>
      <w:bookmarkEnd w:id="3"/>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实施细则和比选文件的要求进行评审及推荐成交人。</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评审小组认为比选文件的内容存在违反国家有关强制性规定的，应当停止评审并向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说明情况。</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评审小组按照比选文件确定的评审方法、步骤、标准，对响应文件进行评审，提交书面评审报告，按照得分由高到低的顺序对响应供应商进行排名。</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4" w:name="_Hlk66179688"/>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评审小组按照评审标准在评审报告中确定排名第一的响应供应商为成交供应商，并在评审报告上签字，对自己的评审意见承担法律责任。</w:t>
      </w:r>
      <w:bookmarkEnd w:id="4"/>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成交供应商确定后，我院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医院官网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Start w:id="5" w:name="_Hlk66179802"/>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凡发现成交供应商有下列行为之一的，将移交涉监管部门依法处理。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 、比选工作人员行贿或者提供其他不正当利益的；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（7）成交后无正当理由拒不与采购人签订采购合同；</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（8）未按照采购文件确定的事项签订采购合同；</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（9）将采购合同转包；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（10）提供假冒伪劣产品；</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（11）擅自变更、中止或者终止采购合同；</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（12）有法律、法规规定的其他损害比选采购机构利益和社会公共利益情形的。</w:t>
      </w:r>
      <w:bookmarkEnd w:id="5"/>
    </w:p>
    <w:p>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pPr>
        <w:pStyle w:val="9"/>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。评审小组依据响应证明文件从商务评审、技术评审、价格评审和服务评审等方面按公正、科学、客观、平等竞争的要求进行综合评审,按评审综合得分由高到低确定成交供应商。</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9"/>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pPr>
        <w:pStyle w:val="9"/>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评审专家签到，监督代表核对评审专家与随机抽取的专家名单，监督代表核对无误后，</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评审小组中，同一任职科室评审专家超过二名的；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参与比选文件或进口产品论证的（不含采购人代表）；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推荐评审小组组长</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bookmarkStart w:id="6" w:name="OLE_LINK5"/>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及报价的唯一性等，审查不合格者按响应无效处理。只有资格性符合性全部审查合格才能进入后续评审。</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bookmarkEnd w:id="6"/>
    <w:tbl>
      <w:tblPr>
        <w:tblStyle w:val="13"/>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0"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文件递交截止日一年内银行出具的资信证明（复印件）</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rPr>
              <w:t>截止时间前一年内任意一个月的依法缴纳税收证明材料（如依法免税，则须提供相应文件证明其依法免税）；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rPr>
              <w:t>截止时间前一年内任意一个月的依法缴纳社会保险凭据（如依法不需要缴纳社保，则须提供相应文件证明其依法不需要缴纳）；</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4.为采购项目提供整体设计、规范编制或者项目管理、监理、检测等服务的供应商，不得再参加该采购项目的其他采购活动。(供应商出具声明函)</w:t>
            </w:r>
          </w:p>
          <w:p>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供应商为生产企业:所投产品为第二、三类医疗器械，提供有效的《医疗器械生产许可证》;供应商为经营企业:所投产品 为第三类医疗器械，提供有效的《医疗器械经营许可证》。</w:t>
            </w:r>
          </w:p>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本项目是专门面向中小企业采购的项目，供应商应为中小微企业。（提供《中小企业声明函》。本项目中小企业划分标准所属行业为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工业</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8.已在招采办报名。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其他要求</w:t>
            </w:r>
          </w:p>
        </w:tc>
        <w:tc>
          <w:tcPr>
            <w:tcW w:w="5760" w:type="dxa"/>
            <w:noWrap w:val="0"/>
            <w:vAlign w:val="top"/>
          </w:tcPr>
          <w:p>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pPr>
        <w:pStyle w:val="9"/>
        <w:adjustRightInd w:val="0"/>
        <w:snapToGrid w:val="0"/>
        <w:spacing w:line="360" w:lineRule="auto"/>
        <w:ind w:right="32"/>
        <w:rPr>
          <w:rFonts w:hint="eastAsia" w:ascii="仿宋" w:hAnsi="仿宋" w:eastAsia="仿宋" w:cs="仿宋"/>
          <w:b w:val="0"/>
          <w:bCs/>
          <w:color w:val="auto"/>
          <w:sz w:val="24"/>
          <w:szCs w:val="24"/>
          <w:highlight w:val="none"/>
        </w:rPr>
      </w:pPr>
    </w:p>
    <w:p>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3"/>
        <w:tblW w:w="8729" w:type="dxa"/>
        <w:tblInd w:w="0" w:type="dxa"/>
        <w:tblLayout w:type="fixed"/>
        <w:tblCellMar>
          <w:top w:w="0" w:type="dxa"/>
          <w:left w:w="108" w:type="dxa"/>
          <w:bottom w:w="0" w:type="dxa"/>
          <w:right w:w="108" w:type="dxa"/>
        </w:tblCellMar>
      </w:tblPr>
      <w:tblGrid>
        <w:gridCol w:w="750"/>
        <w:gridCol w:w="1224"/>
        <w:gridCol w:w="1284"/>
        <w:gridCol w:w="5471"/>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对用户服务需求不带▲号的响应程度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所提供的服务是否满足用户需求</w:t>
            </w:r>
            <w:r>
              <w:rPr>
                <w:rFonts w:hint="eastAsia" w:ascii="仿宋" w:hAnsi="仿宋" w:eastAsia="仿宋" w:cs="仿宋"/>
                <w:color w:val="auto"/>
                <w:kern w:val="0"/>
                <w:sz w:val="24"/>
                <w:szCs w:val="24"/>
                <w:highlight w:val="none"/>
                <w:lang w:eastAsia="zh-CN"/>
              </w:rPr>
              <w:t>书</w:t>
            </w:r>
            <w:r>
              <w:rPr>
                <w:rFonts w:hint="eastAsia" w:ascii="仿宋" w:hAnsi="仿宋" w:eastAsia="仿宋" w:cs="仿宋"/>
                <w:color w:val="auto"/>
                <w:kern w:val="0"/>
                <w:sz w:val="24"/>
                <w:szCs w:val="24"/>
                <w:highlight w:val="none"/>
              </w:rPr>
              <w:t>响应程度进行评分：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不带▲号的一般技术参数，得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 xml:space="preserve">0分；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有一项不带▲号条款负偏离，得</w:t>
            </w:r>
            <w:r>
              <w:rPr>
                <w:rFonts w:hint="eastAsia" w:ascii="仿宋" w:hAnsi="仿宋" w:eastAsia="仿宋" w:cs="仿宋"/>
                <w:color w:val="auto"/>
                <w:kern w:val="0"/>
                <w:sz w:val="24"/>
                <w:szCs w:val="24"/>
                <w:highlight w:val="none"/>
                <w:lang w:val="en-US" w:eastAsia="zh-CN"/>
              </w:rPr>
              <w:t>29</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有二项不带▲号条款负偏离，得</w:t>
            </w:r>
            <w:r>
              <w:rPr>
                <w:rFonts w:hint="eastAsia" w:ascii="仿宋" w:hAnsi="仿宋" w:eastAsia="仿宋" w:cs="仿宋"/>
                <w:color w:val="auto"/>
                <w:kern w:val="0"/>
                <w:sz w:val="24"/>
                <w:szCs w:val="24"/>
                <w:highlight w:val="none"/>
                <w:lang w:val="en-US" w:eastAsia="zh-CN"/>
              </w:rPr>
              <w:t>28</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有三项不带▲号条款负偏离，得</w:t>
            </w:r>
            <w:r>
              <w:rPr>
                <w:rFonts w:hint="eastAsia" w:ascii="仿宋" w:hAnsi="仿宋" w:eastAsia="仿宋" w:cs="仿宋"/>
                <w:color w:val="auto"/>
                <w:kern w:val="0"/>
                <w:sz w:val="24"/>
                <w:szCs w:val="24"/>
                <w:highlight w:val="none"/>
                <w:lang w:val="en-US" w:eastAsia="zh-CN"/>
              </w:rPr>
              <w:t>27</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有四项不带▲号条款负偏离，得</w:t>
            </w:r>
            <w:r>
              <w:rPr>
                <w:rFonts w:hint="eastAsia" w:ascii="仿宋" w:hAnsi="仿宋" w:eastAsia="仿宋" w:cs="仿宋"/>
                <w:color w:val="auto"/>
                <w:kern w:val="0"/>
                <w:sz w:val="24"/>
                <w:szCs w:val="24"/>
                <w:highlight w:val="none"/>
                <w:lang w:val="en-US" w:eastAsia="zh-CN"/>
              </w:rPr>
              <w:t>26</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有五项不带▲号条款负偏离，得</w:t>
            </w:r>
            <w:r>
              <w:rPr>
                <w:rFonts w:hint="eastAsia" w:ascii="仿宋" w:hAnsi="仿宋" w:eastAsia="仿宋" w:cs="仿宋"/>
                <w:color w:val="auto"/>
                <w:kern w:val="0"/>
                <w:sz w:val="24"/>
                <w:szCs w:val="24"/>
                <w:highlight w:val="none"/>
                <w:lang w:val="en-US" w:eastAsia="zh-CN"/>
              </w:rPr>
              <w:t>25</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以此类推，当不带▲号条款负偏离达到</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项（含）以上时，视为严重偏离此评分项不得分。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注：响应供应商</w:t>
            </w:r>
            <w:r>
              <w:rPr>
                <w:rFonts w:hint="eastAsia" w:ascii="仿宋" w:hAnsi="仿宋" w:eastAsia="仿宋" w:cs="仿宋"/>
                <w:color w:val="auto"/>
                <w:kern w:val="0"/>
                <w:sz w:val="24"/>
                <w:szCs w:val="24"/>
                <w:highlight w:val="none"/>
              </w:rPr>
              <w:t>应提供</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产品技术证明文件如</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产品彩页或相应技术参数的厂家使用说明书或技术白皮书或厂家公开发布的印刷资料或第三方机构出具的检验报告等作为技术证明文件，否则</w:t>
            </w:r>
            <w:r>
              <w:rPr>
                <w:rFonts w:hint="eastAsia" w:ascii="仿宋" w:hAnsi="仿宋" w:eastAsia="仿宋" w:cs="仿宋"/>
                <w:color w:val="auto"/>
                <w:kern w:val="0"/>
                <w:sz w:val="24"/>
                <w:szCs w:val="24"/>
                <w:highlight w:val="none"/>
                <w:lang w:eastAsia="zh-CN"/>
              </w:rPr>
              <w:t>比选专家</w:t>
            </w:r>
            <w:r>
              <w:rPr>
                <w:rFonts w:hint="eastAsia" w:ascii="仿宋" w:hAnsi="仿宋" w:eastAsia="仿宋" w:cs="仿宋"/>
                <w:color w:val="auto"/>
                <w:kern w:val="0"/>
                <w:sz w:val="24"/>
                <w:szCs w:val="24"/>
                <w:highlight w:val="none"/>
              </w:rPr>
              <w:t>有权视相应技术参数响应不符合</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要求（如厂家的产品使用说明书为英文版，请同时提供中文版）。</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项目实施组织情况</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 xml:space="preserve">提供的项目组织实施方案（包括实施方案、供货安装进度安排、组织情况、项目实施计划等内容）进行综合评审：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组织实施方案清晰、全面、合理，施工方案科学可操作性强，进度安排合理，组织、实施计划有条理性的，得</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组织实施方案较清晰、较全面、较合理，施工方案可行，进度安排较合理，组织、实施计划基本有条理性的，得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组织实施方案简单、基本合理，施工方案科学基本可行，进度安排一般，组织、实施计划欠缺条理性的，得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无提供不得分。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的履约能力</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根据</w:t>
            </w:r>
            <w:r>
              <w:rPr>
                <w:rFonts w:hint="eastAsia" w:ascii="仿宋" w:hAnsi="仿宋" w:eastAsia="仿宋" w:cs="仿宋"/>
                <w:color w:val="auto"/>
                <w:kern w:val="0"/>
                <w:sz w:val="24"/>
                <w:szCs w:val="24"/>
                <w:highlight w:val="none"/>
              </w:rPr>
              <w:t>各</w:t>
            </w:r>
            <w:r>
              <w:rPr>
                <w:rFonts w:hint="eastAsia" w:ascii="仿宋" w:hAnsi="仿宋" w:eastAsia="仿宋" w:cs="仿宋"/>
                <w:color w:val="auto"/>
                <w:kern w:val="0"/>
                <w:sz w:val="24"/>
                <w:szCs w:val="24"/>
                <w:highlight w:val="none"/>
                <w:lang w:eastAsia="zh-CN"/>
              </w:rPr>
              <w:t xml:space="preserve">响应供应商为本项目投入的项目团队、人员构成、分工及送货时效等（包含但不限于团队分组、人员名单、履约进度表等内容）进行综合评比： </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1.响应供应商为本项目投入的项目团队、人员构成合理且分工明确，能够安全、快捷地将货物运送至采购人指定地点的，得5分；</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2.项目团队、人员构成及分工较为合理且有一定分工，能够按规定将货物运送至采购人指定地点的，得3分；</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 xml:space="preserve">3.项目团队、人员构成及分工有缺陷且有分工不明确，不能保证货物按时运送至采购人指定地点的，得1分。 </w:t>
            </w:r>
          </w:p>
        </w:tc>
      </w:tr>
      <w:tr>
        <w:tblPrEx>
          <w:tblCellMar>
            <w:top w:w="0" w:type="dxa"/>
            <w:left w:w="108" w:type="dxa"/>
            <w:bottom w:w="0" w:type="dxa"/>
            <w:right w:w="108" w:type="dxa"/>
          </w:tblCellMar>
        </w:tblPrEx>
        <w:trPr>
          <w:trHeight w:val="37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拟投入本项目</w:t>
            </w:r>
            <w:r>
              <w:rPr>
                <w:rFonts w:hint="eastAsia" w:ascii="仿宋" w:hAnsi="仿宋" w:eastAsia="仿宋" w:cs="仿宋"/>
                <w:color w:val="auto"/>
                <w:kern w:val="0"/>
                <w:sz w:val="24"/>
                <w:szCs w:val="24"/>
                <w:highlight w:val="none"/>
                <w:lang w:eastAsia="zh-CN"/>
              </w:rPr>
              <w:t>的项目负责人</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根据</w:t>
            </w:r>
            <w:r>
              <w:rPr>
                <w:rFonts w:hint="eastAsia" w:ascii="仿宋" w:hAnsi="仿宋" w:eastAsia="仿宋" w:cs="仿宋"/>
                <w:color w:val="auto"/>
                <w:kern w:val="0"/>
                <w:sz w:val="24"/>
                <w:szCs w:val="24"/>
                <w:highlight w:val="none"/>
              </w:rPr>
              <w:t>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lang w:val="en-GB"/>
              </w:rPr>
              <w:t>拟投入本项目的项目负责人进行评分：</w:t>
            </w:r>
          </w:p>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lang w:val="en-GB"/>
              </w:rPr>
              <w:t>需提供至少1名项目负责人，负责项目全流程。</w:t>
            </w:r>
          </w:p>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（所投人员需提供近半年内任意一个月的社保缴纳证明文件复印件，无提供不得分。）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rPr>
              <w:t>同类业绩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自2021年1月1日至今，各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每提供一份同类业绩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2 分，最多得10分。 </w:t>
            </w:r>
          </w:p>
          <w:p>
            <w:pPr>
              <w:widowControl/>
              <w:jc w:val="left"/>
              <w:rPr>
                <w:rFonts w:hint="eastAsia" w:ascii="仿宋" w:hAnsi="仿宋" w:eastAsia="仿宋" w:cs="仿宋"/>
                <w:color w:val="auto"/>
                <w:kern w:val="0"/>
                <w:sz w:val="24"/>
                <w:szCs w:val="24"/>
                <w:highlight w:val="none"/>
                <w:lang w:val="en-GB" w:eastAsia="zh-Hans"/>
              </w:rPr>
            </w:pPr>
            <w:r>
              <w:rPr>
                <w:rFonts w:hint="eastAsia" w:ascii="仿宋" w:hAnsi="仿宋" w:eastAsia="仿宋" w:cs="仿宋"/>
                <w:color w:val="auto"/>
                <w:kern w:val="0"/>
                <w:sz w:val="24"/>
                <w:szCs w:val="24"/>
                <w:highlight w:val="none"/>
                <w:lang w:eastAsia="zh-CN"/>
              </w:rPr>
              <w:t>注：</w:t>
            </w:r>
            <w:r>
              <w:rPr>
                <w:rFonts w:hint="eastAsia" w:ascii="仿宋" w:hAnsi="仿宋" w:eastAsia="仿宋" w:cs="仿宋"/>
                <w:color w:val="auto"/>
                <w:kern w:val="0"/>
                <w:sz w:val="24"/>
                <w:szCs w:val="24"/>
                <w:highlight w:val="none"/>
              </w:rPr>
              <w:t>同类业绩证明文件是中标/成交通知书或合同关键页的复印件或扫描件（合同关键页是指包括：①能显示设备名称等相关信息；②签订合同双方的单位名称、合同项目名称；③签订合同双方的签章、盖章及签订日期），无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售后服务方案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提供的售后服务内容（包括质保期、维护保养方案、应急维修时间、维修的及时性、安排的合理性等）是否完善具体，各阶段服务计划是否详尽进行评分：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售后服务方案（包括质保期、维护保养方案、应急维修时间、维修的及时性、安排的合理性等）详细、具体，完全满足</w:t>
            </w:r>
            <w:r>
              <w:rPr>
                <w:rFonts w:hint="eastAsia" w:ascii="仿宋" w:hAnsi="仿宋" w:eastAsia="仿宋" w:cs="仿宋"/>
                <w:color w:val="auto"/>
                <w:kern w:val="0"/>
                <w:sz w:val="24"/>
                <w:szCs w:val="24"/>
                <w:highlight w:val="none"/>
                <w:lang w:eastAsia="zh-CN"/>
              </w:rPr>
              <w:t>且</w:t>
            </w:r>
            <w:r>
              <w:rPr>
                <w:rFonts w:hint="eastAsia" w:ascii="仿宋" w:hAnsi="仿宋" w:eastAsia="仿宋" w:cs="仿宋"/>
                <w:color w:val="auto"/>
                <w:kern w:val="0"/>
                <w:sz w:val="24"/>
                <w:szCs w:val="24"/>
                <w:highlight w:val="none"/>
              </w:rPr>
              <w:t>优于招标文件要求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各阶段服务计划</w:t>
            </w:r>
            <w:r>
              <w:rPr>
                <w:rFonts w:hint="eastAsia" w:ascii="仿宋" w:hAnsi="仿宋" w:eastAsia="仿宋" w:cs="仿宋"/>
                <w:color w:val="auto"/>
                <w:kern w:val="0"/>
                <w:sz w:val="24"/>
                <w:szCs w:val="24"/>
                <w:highlight w:val="none"/>
                <w:lang w:eastAsia="zh-CN"/>
              </w:rPr>
              <w:t>周全</w:t>
            </w:r>
            <w:r>
              <w:rPr>
                <w:rFonts w:hint="eastAsia" w:ascii="仿宋" w:hAnsi="仿宋" w:eastAsia="仿宋" w:cs="仿宋"/>
                <w:color w:val="auto"/>
                <w:kern w:val="0"/>
                <w:sz w:val="24"/>
                <w:szCs w:val="24"/>
                <w:highlight w:val="none"/>
              </w:rPr>
              <w:t>详尽，得</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售后服务方案（包括质保期、维护保养方案、应急维修时间、维修的及时性、安排的合理性等）基本详细、具体，满足招标文件要求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各阶段服务计划</w:t>
            </w:r>
            <w:r>
              <w:rPr>
                <w:rFonts w:hint="eastAsia" w:ascii="仿宋" w:hAnsi="仿宋" w:eastAsia="仿宋" w:cs="仿宋"/>
                <w:color w:val="auto"/>
                <w:kern w:val="0"/>
                <w:sz w:val="24"/>
                <w:szCs w:val="24"/>
                <w:highlight w:val="none"/>
                <w:lang w:eastAsia="zh-CN"/>
              </w:rPr>
              <w:t>满足</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售后服务方案（包括质保期、维护保养方案、应急维修时间、维修的及时性、安排的合理性等）不详细、具体，基本满足招标文件要求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各阶段服务计划不</w:t>
            </w:r>
            <w:r>
              <w:rPr>
                <w:rFonts w:hint="eastAsia" w:ascii="仿宋" w:hAnsi="仿宋" w:eastAsia="仿宋" w:cs="仿宋"/>
                <w:color w:val="auto"/>
                <w:kern w:val="0"/>
                <w:sz w:val="24"/>
                <w:szCs w:val="24"/>
                <w:highlight w:val="none"/>
                <w:lang w:eastAsia="zh-CN"/>
              </w:rPr>
              <w:t>完全</w:t>
            </w:r>
            <w:r>
              <w:rPr>
                <w:rFonts w:hint="eastAsia" w:ascii="仿宋" w:hAnsi="仿宋" w:eastAsia="仿宋" w:cs="仿宋"/>
                <w:color w:val="auto"/>
                <w:kern w:val="0"/>
                <w:sz w:val="24"/>
                <w:szCs w:val="24"/>
                <w:highlight w:val="none"/>
              </w:rPr>
              <w:t>齐全，得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4.无提供不得分。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35</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报价得分＝（评标基准价/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报价为评标基准价。】最低报价不是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的唯一依据。因落实政府采购政策进行价格调整的，以调整后的价格计算评标基准价和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pPr>
        <w:widowControl/>
        <w:jc w:val="center"/>
        <w:rPr>
          <w:rFonts w:hint="eastAsia" w:ascii="仿宋" w:hAnsi="仿宋" w:eastAsia="仿宋" w:cs="仿宋"/>
          <w:color w:val="auto"/>
          <w:kern w:val="0"/>
          <w:sz w:val="24"/>
          <w:szCs w:val="24"/>
          <w:highlight w:val="none"/>
        </w:rPr>
      </w:pPr>
    </w:p>
    <w:p>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确定成交候选供应商</w:t>
      </w:r>
    </w:p>
    <w:p>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pPr>
        <w:autoSpaceDE w:val="0"/>
        <w:autoSpaceDN w:val="0"/>
        <w:adjustRightInd w:val="0"/>
        <w:snapToGrid w:val="0"/>
        <w:spacing w:line="360" w:lineRule="auto"/>
        <w:ind w:right="32" w:firstLine="458" w:firstLineChars="191"/>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对成交候选人的价格出现明显高于同业同期市场平均价的情形时，评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小组应当在评审意见中详细说明推荐理由，并要求响应供应商提供相关证明材料等。</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（一）符合专业条件的供应商或者对比选文件作实质响应的供应商不足三家的；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（三）供应商的报价均超过了采购预算，采购人不能支付的；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发布成交公告，并向成交人发出《成交通知书》。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供应商对比选公告或文件有异议的，应在比选公告的有效期内书面向医院</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不再受理供应商对比选公告或文件的质疑。</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提出质疑。</w:t>
      </w:r>
    </w:p>
    <w:p>
      <w:pPr>
        <w:pStyle w:val="9"/>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9"/>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将不予接收。</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受理质疑后，质疑人书面申请撤回质疑的，应当终止质疑处理程序。</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bookmarkStart w:id="7" w:name="_Hlk66180132"/>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成交人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招采办</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bookmarkEnd w:id="7"/>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w:t>
      </w:r>
      <w:bookmarkStart w:id="8" w:name="_Hlk66180218"/>
      <w:r>
        <w:rPr>
          <w:rFonts w:hint="eastAsia" w:ascii="仿宋" w:hAnsi="仿宋" w:eastAsia="仿宋" w:cs="仿宋"/>
          <w:b/>
          <w:bCs/>
          <w:color w:val="auto"/>
          <w:sz w:val="24"/>
          <w:highlight w:val="none"/>
        </w:rPr>
        <w:t>适用法律及规定</w:t>
      </w:r>
      <w:bookmarkEnd w:id="8"/>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（1）采购单位及供应商的一切采购活动均参考《中华人民共和国政府采购法》及医院的采购制度。</w:t>
      </w:r>
    </w:p>
    <w:p>
      <w:pPr>
        <w:autoSpaceDE w:val="0"/>
        <w:autoSpaceDN w:val="0"/>
        <w:adjustRightInd w:val="0"/>
        <w:snapToGrid w:val="0"/>
        <w:spacing w:line="360" w:lineRule="auto"/>
        <w:ind w:right="32" w:firstLine="480" w:firstLineChars="200"/>
        <w:jc w:val="center"/>
        <w:rPr>
          <w:rFonts w:ascii="仿宋" w:hAnsi="仿宋" w:eastAsia="仿宋" w:cs="仿宋"/>
          <w:b/>
          <w:color w:val="auto"/>
          <w:sz w:val="28"/>
          <w:szCs w:val="28"/>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r>
        <w:rPr>
          <w:rFonts w:hint="eastAsia" w:ascii="仿宋" w:hAnsi="仿宋" w:eastAsia="仿宋" w:cs="仿宋"/>
          <w:color w:val="auto"/>
          <w:kern w:val="0"/>
          <w:sz w:val="24"/>
          <w:highlight w:val="none"/>
        </w:rPr>
        <w:br w:type="page"/>
      </w:r>
      <w:r>
        <w:rPr>
          <w:rFonts w:hint="eastAsia" w:ascii="仿宋" w:hAnsi="仿宋" w:eastAsia="仿宋" w:cs="仿宋"/>
          <w:b/>
          <w:color w:val="auto"/>
          <w:sz w:val="28"/>
          <w:szCs w:val="28"/>
          <w:highlight w:val="none"/>
        </w:rPr>
        <w:t>第四部分  合同书范本格式</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napToGrid w:val="0"/>
        <w:spacing w:line="500" w:lineRule="exact"/>
        <w:jc w:val="both"/>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tbl>
      <w:tblPr>
        <w:tblStyle w:val="13"/>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9"/>
              <w:spacing w:line="800" w:lineRule="exact"/>
              <w:jc w:val="left"/>
              <w:rPr>
                <w:rFonts w:hint="eastAsia" w:ascii="宋体" w:hAnsi="宋体" w:eastAsia="宋体"/>
                <w:b/>
                <w:color w:val="auto"/>
                <w:sz w:val="30"/>
                <w:szCs w:val="30"/>
                <w:highlight w:val="none"/>
                <w:lang w:eastAsia="zh-CN"/>
              </w:rPr>
            </w:pPr>
          </w:p>
          <w:p>
            <w:pPr>
              <w:pStyle w:val="9"/>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pPr>
              <w:pStyle w:val="9"/>
              <w:spacing w:line="800" w:lineRule="exact"/>
              <w:jc w:val="left"/>
              <w:rPr>
                <w:rFonts w:hint="eastAsia" w:hAnsi="宋体"/>
                <w:b/>
                <w:color w:val="auto"/>
                <w:sz w:val="30"/>
                <w:szCs w:val="30"/>
                <w:highlight w:val="none"/>
              </w:rPr>
            </w:pPr>
            <w:r>
              <w:rPr>
                <w:rFonts w:hint="eastAsia" w:hAnsi="宋体"/>
                <w:b/>
                <w:color w:val="auto"/>
                <w:sz w:val="30"/>
                <w:szCs w:val="30"/>
                <w:highlight w:val="none"/>
              </w:rPr>
              <w:t>项目名称：</w:t>
            </w:r>
          </w:p>
          <w:p>
            <w:pPr>
              <w:pStyle w:val="9"/>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甲</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9"/>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乙</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9"/>
              <w:spacing w:line="800" w:lineRule="exact"/>
              <w:jc w:val="left"/>
              <w:rPr>
                <w:rFonts w:hint="eastAsia" w:hAnsi="宋体" w:cs="Times New Roman"/>
                <w:b/>
                <w:bCs/>
                <w:color w:val="auto"/>
                <w:sz w:val="30"/>
                <w:szCs w:val="30"/>
                <w:highlight w:val="none"/>
                <w:lang w:eastAsia="zh-CN"/>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hint="eastAsia"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hint="eastAsia" w:ascii="仿宋" w:hAnsi="仿宋" w:eastAsia="仿宋" w:cs="仿宋"/>
          <w:b/>
          <w:bCs/>
          <w:color w:val="auto"/>
          <w:sz w:val="48"/>
          <w:szCs w:val="48"/>
          <w:highlight w:val="none"/>
        </w:rPr>
      </w:pPr>
    </w:p>
    <w:p>
      <w:pPr>
        <w:spacing w:line="360" w:lineRule="auto"/>
        <w:jc w:val="center"/>
        <w:rPr>
          <w:rFonts w:hint="eastAsia" w:ascii="宋体" w:hAnsi="宋体"/>
          <w:b/>
          <w:color w:val="auto"/>
          <w:sz w:val="44"/>
          <w:szCs w:val="44"/>
          <w:highlight w:val="none"/>
        </w:rPr>
      </w:pPr>
    </w:p>
    <w:p>
      <w:pPr>
        <w:spacing w:line="360" w:lineRule="auto"/>
        <w:jc w:val="center"/>
        <w:rPr>
          <w:rFonts w:ascii="宋体"/>
          <w:b/>
          <w:color w:val="auto"/>
          <w:sz w:val="44"/>
          <w:szCs w:val="44"/>
          <w:highlight w:val="none"/>
        </w:rPr>
      </w:pPr>
      <w:r>
        <w:rPr>
          <w:rFonts w:hint="eastAsia" w:ascii="宋体" w:hAnsi="宋体"/>
          <w:b/>
          <w:color w:val="auto"/>
          <w:sz w:val="44"/>
          <w:szCs w:val="44"/>
          <w:highlight w:val="none"/>
        </w:rPr>
        <w:t>合</w:t>
      </w: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同</w:t>
      </w:r>
    </w:p>
    <w:p>
      <w:pPr>
        <w:spacing w:line="360" w:lineRule="auto"/>
        <w:jc w:val="center"/>
        <w:rPr>
          <w:rFonts w:ascii="宋体"/>
          <w:b/>
          <w:color w:val="auto"/>
          <w:sz w:val="44"/>
          <w:szCs w:val="44"/>
          <w:highlight w:val="none"/>
        </w:rPr>
      </w:pPr>
    </w:p>
    <w:p>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中标</w:t>
      </w:r>
      <w:r>
        <w:rPr>
          <w:rFonts w:hint="eastAsia" w:ascii="宋体" w:hAnsi="宋体"/>
          <w:color w:val="auto"/>
          <w:sz w:val="24"/>
          <w:highlight w:val="none"/>
        </w:rPr>
        <w:t>结果</w:t>
      </w:r>
      <w:r>
        <w:rPr>
          <w:rFonts w:hint="eastAsia" w:ascii="宋体" w:hAnsi="宋体"/>
          <w:color w:val="auto"/>
          <w:sz w:val="24"/>
          <w:highlight w:val="none"/>
        </w:rPr>
        <w:t>，按照《中华人民共和国政府采购法》、《中华人民共和国民法典》的规定，经双方协商，本着平等互利和诚实信用的原则，一致同意签订本合同如下。</w:t>
      </w:r>
    </w:p>
    <w:p>
      <w:pPr>
        <w:pStyle w:val="15"/>
        <w:numPr>
          <w:ilvl w:val="0"/>
          <w:numId w:val="30"/>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设备名称及价格</w:t>
      </w:r>
    </w:p>
    <w:tbl>
      <w:tblPr>
        <w:tblStyle w:val="13"/>
        <w:tblpPr w:leftFromText="180" w:rightFromText="180" w:vertAnchor="text" w:horzAnchor="page" w:tblpX="1364" w:tblpY="415"/>
        <w:tblOverlap w:val="never"/>
        <w:tblW w:w="9478" w:type="dxa"/>
        <w:tblInd w:w="0" w:type="dxa"/>
        <w:tblLayout w:type="fixed"/>
        <w:tblCellMar>
          <w:top w:w="0" w:type="dxa"/>
          <w:left w:w="0" w:type="dxa"/>
          <w:bottom w:w="0" w:type="dxa"/>
          <w:right w:w="0" w:type="dxa"/>
        </w:tblCellMar>
      </w:tblPr>
      <w:tblGrid>
        <w:gridCol w:w="735"/>
        <w:gridCol w:w="1605"/>
        <w:gridCol w:w="1710"/>
        <w:gridCol w:w="840"/>
        <w:gridCol w:w="810"/>
        <w:gridCol w:w="1208"/>
        <w:gridCol w:w="1162"/>
        <w:gridCol w:w="1408"/>
      </w:tblGrid>
      <w:tr>
        <w:tblPrEx>
          <w:tblCellMar>
            <w:top w:w="0" w:type="dxa"/>
            <w:left w:w="0" w:type="dxa"/>
            <w:bottom w:w="0" w:type="dxa"/>
            <w:right w:w="0" w:type="dxa"/>
          </w:tblCellMar>
        </w:tblPrEx>
        <w:trPr>
          <w:trHeight w:val="62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产品名称</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单价（元）</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金额（元）</w:t>
            </w: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制造商名称</w:t>
            </w:r>
          </w:p>
        </w:tc>
      </w:tr>
      <w:tr>
        <w:tblPrEx>
          <w:tblCellMar>
            <w:top w:w="0" w:type="dxa"/>
            <w:left w:w="0" w:type="dxa"/>
            <w:bottom w:w="0" w:type="dxa"/>
            <w:right w:w="0" w:type="dxa"/>
          </w:tblCellMar>
        </w:tblPrEx>
        <w:trPr>
          <w:trHeight w:val="536"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r>
        <w:tblPrEx>
          <w:tblCellMar>
            <w:top w:w="0" w:type="dxa"/>
            <w:left w:w="0" w:type="dxa"/>
            <w:bottom w:w="0" w:type="dxa"/>
            <w:right w:w="0" w:type="dxa"/>
          </w:tblCellMar>
        </w:tblPrEx>
        <w:trPr>
          <w:trHeight w:val="58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r>
        <w:tblPrEx>
          <w:tblCellMar>
            <w:top w:w="0" w:type="dxa"/>
            <w:left w:w="0" w:type="dxa"/>
            <w:bottom w:w="0" w:type="dxa"/>
            <w:right w:w="0" w:type="dxa"/>
          </w:tblCellMar>
        </w:tblPrEx>
        <w:trPr>
          <w:trHeight w:val="49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bl>
    <w:p>
      <w:pPr>
        <w:pStyle w:val="15"/>
        <w:numPr>
          <w:ilvl w:val="0"/>
          <w:numId w:val="0"/>
        </w:numPr>
        <w:tabs>
          <w:tab w:val="left" w:pos="960"/>
        </w:tabs>
        <w:spacing w:line="360" w:lineRule="auto"/>
        <w:rPr>
          <w:rFonts w:hint="eastAsia" w:ascii="宋体" w:hAnsi="宋体"/>
          <w:b/>
          <w:color w:val="auto"/>
          <w:sz w:val="24"/>
          <w:highlight w:val="none"/>
        </w:rPr>
      </w:pPr>
    </w:p>
    <w:p>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注：货物名称内容必须与</w:t>
      </w:r>
      <w:r>
        <w:rPr>
          <w:rFonts w:hint="eastAsia" w:ascii="宋体" w:hAnsi="宋体"/>
          <w:color w:val="auto"/>
          <w:sz w:val="24"/>
          <w:highlight w:val="none"/>
          <w:lang w:eastAsia="zh-CN"/>
        </w:rPr>
        <w:t>响应</w:t>
      </w:r>
      <w:r>
        <w:rPr>
          <w:rFonts w:hint="eastAsia" w:ascii="宋体" w:hAnsi="宋体"/>
          <w:color w:val="auto"/>
          <w:sz w:val="24"/>
          <w:highlight w:val="none"/>
        </w:rPr>
        <w:t>文件中货物名称内容一致。</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人民币元整；¥</w:t>
      </w:r>
      <w:r>
        <w:rPr>
          <w:rFonts w:hint="eastAsia" w:ascii="宋体" w:hAnsi="宋体" w:cs="宋体"/>
          <w:color w:val="auto"/>
          <w:kern w:val="0"/>
          <w:sz w:val="24"/>
          <w:szCs w:val="21"/>
          <w:highlight w:val="none"/>
          <w:u w:val="single"/>
          <w:lang w:val="en-US" w:eastAsia="zh-CN"/>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pPr>
        <w:spacing w:line="360" w:lineRule="auto"/>
        <w:ind w:firstLine="480" w:firstLineChars="200"/>
        <w:rPr>
          <w:rFonts w:hint="eastAsia" w:hAnsi="宋体" w:eastAsia="宋体"/>
          <w:color w:val="auto"/>
          <w:sz w:val="24"/>
          <w:szCs w:val="24"/>
          <w:highlight w:val="none"/>
          <w:lang w:eastAsia="zh-CN"/>
        </w:rPr>
      </w:pPr>
      <w:r>
        <w:rPr>
          <w:rFonts w:hint="eastAsia" w:ascii="宋体" w:hAnsi="宋体"/>
          <w:color w:val="auto"/>
          <w:sz w:val="24"/>
          <w:highlight w:val="none"/>
        </w:rPr>
        <w:t>合同总额包括乙方设计、安装、随机零配件、标配工具、运输保险、调试、培训、质保期服务、各项税费及合同实施过程中不可预见费用等。</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三、设备要求</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1.货物为原制造商制造的全新产品，整机无污染，无侵权行为、表面无划损、无任何缺陷隐患，在中国境内可依常规安全合法使用。</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2.交付验收标准</w:t>
      </w:r>
      <w:r>
        <w:rPr>
          <w:rFonts w:hint="eastAsia" w:ascii="宋体" w:hAnsi="宋体" w:eastAsia="宋体" w:cs="Times New Roman"/>
          <w:color w:val="auto"/>
          <w:sz w:val="24"/>
          <w:highlight w:val="none"/>
          <w:lang w:val="en-GB" w:eastAsia="zh-CN"/>
        </w:rPr>
        <w:t>依次序对照适用标准为：</w:t>
      </w:r>
      <w:r>
        <w:rPr>
          <w:rFonts w:hint="eastAsia" w:ascii="宋体" w:hAnsi="宋体" w:eastAsia="宋体" w:cs="Times New Roman"/>
          <w:color w:val="auto"/>
          <w:sz w:val="24"/>
          <w:highlight w:val="none"/>
          <w:lang w:val="en-US" w:eastAsia="zh-CN"/>
        </w:rPr>
        <w:t>①符合中华人民共和国国家安全质量标准、环保标准或行业标准；②符合采购文件和响应承诺中甲方认可的合理最佳配置、参数及各项要求；③货物来源国官方标准。</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3.进口产品必须具备原产地证明和商检局的检验证明及合法进货渠道证明。</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4.货物为原厂商未启封全新包装，具出厂合格证，序列号、包装箱号与出厂批号一致，并可追索查阅。</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5.乙方应将关键主机设备的用户手册、保修手册、有关单证资料及配备件、随机工具等交付给甲方，使用操作及安全须知等重要资料应附有中文说明。</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四、交货期、交货</w:t>
      </w:r>
      <w:r>
        <w:rPr>
          <w:rFonts w:hint="eastAsia" w:ascii="宋体" w:hAnsi="宋体"/>
          <w:b/>
          <w:color w:val="auto"/>
          <w:sz w:val="24"/>
          <w:highlight w:val="none"/>
        </w:rPr>
        <w:t>方式及交货地点</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交货期：合同签订之日起</w:t>
      </w:r>
      <w:r>
        <w:rPr>
          <w:rFonts w:hint="eastAsia" w:ascii="宋体" w:hAnsi="宋体"/>
          <w:color w:val="auto"/>
          <w:sz w:val="24"/>
          <w:highlight w:val="none"/>
          <w:lang w:val="en-US" w:eastAsia="zh-CN"/>
        </w:rPr>
        <w:t>天内</w:t>
      </w:r>
      <w:r>
        <w:rPr>
          <w:rFonts w:hint="eastAsia" w:ascii="宋体" w:hAnsi="宋体"/>
          <w:color w:val="auto"/>
          <w:sz w:val="24"/>
          <w:highlight w:val="none"/>
        </w:rPr>
        <w:t>完成设备的供货、安装与调试，并完成对使用单位相关人员的操作与使用培训</w:t>
      </w:r>
      <w:r>
        <w:rPr>
          <w:rFonts w:hint="eastAsia" w:ascii="宋体" w:hAnsi="宋体"/>
          <w:color w:val="auto"/>
          <w:sz w:val="24"/>
          <w:highlight w:val="none"/>
          <w:lang w:eastAsia="zh-CN"/>
        </w:rPr>
        <w:t>。</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交货方式：送货上门</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交货地点</w:t>
      </w:r>
      <w:r>
        <w:rPr>
          <w:rFonts w:hint="eastAsia" w:ascii="宋体" w:hAnsi="宋体"/>
          <w:color w:val="auto"/>
          <w:sz w:val="24"/>
          <w:highlight w:val="none"/>
          <w:lang w:eastAsia="zh-CN"/>
        </w:rPr>
        <w:t>：甲方指定地点</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五、付款方式</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1.合同签订生效后，货到安装、调试、验收合格后正常使用10个工作日内向乙方支付合同总额的100%。</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2.支付方式采用银行转账支付。</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3.乙方必须向甲方出具合法有效完整的完税发票及凭证进行支付结算。</w:t>
      </w:r>
    </w:p>
    <w:p>
      <w:pPr>
        <w:spacing w:line="460" w:lineRule="exact"/>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乙方账户信息如下：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p>
    <w:p>
      <w:pPr>
        <w:numPr>
          <w:ilvl w:val="0"/>
          <w:numId w:val="0"/>
        </w:numPr>
        <w:spacing w:line="460" w:lineRule="exact"/>
        <w:ind w:leftChars="0" w:firstLine="482"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合同设备自验收之日起</w:t>
      </w:r>
      <w:r>
        <w:rPr>
          <w:rFonts w:hint="eastAsia" w:ascii="宋体" w:hAnsi="宋体"/>
          <w:color w:val="auto"/>
          <w:sz w:val="24"/>
          <w:highlight w:val="none"/>
          <w:lang w:eastAsia="zh-CN"/>
        </w:rPr>
        <w:t>质保</w:t>
      </w:r>
      <w:r>
        <w:rPr>
          <w:rFonts w:hint="eastAsia" w:ascii="宋体" w:hAnsi="宋体"/>
          <w:color w:val="auto"/>
          <w:sz w:val="24"/>
          <w:highlight w:val="none"/>
          <w:lang w:eastAsia="zh-CN"/>
        </w:rPr>
        <w:t>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eastAsia="zh-CN"/>
        </w:rPr>
        <w:t>。质保</w:t>
      </w:r>
      <w:r>
        <w:rPr>
          <w:rFonts w:hint="eastAsia" w:ascii="宋体" w:hAnsi="宋体"/>
          <w:color w:val="auto"/>
          <w:sz w:val="24"/>
          <w:highlight w:val="none"/>
          <w:lang w:eastAsia="zh-CN"/>
        </w:rPr>
        <w:t>期</w:t>
      </w:r>
      <w:r>
        <w:rPr>
          <w:rFonts w:hint="eastAsia" w:ascii="宋体" w:hAnsi="宋体"/>
          <w:color w:val="auto"/>
          <w:sz w:val="24"/>
          <w:highlight w:val="none"/>
          <w:lang w:eastAsia="zh-CN"/>
        </w:rPr>
        <w:t>内非甲方的人为原因而出现产品质量及安装问题，由乙方负责包修、包换包退、包</w:t>
      </w:r>
      <w:r>
        <w:rPr>
          <w:rFonts w:hint="eastAsia" w:ascii="宋体" w:hAnsi="宋体"/>
          <w:color w:val="auto"/>
          <w:sz w:val="24"/>
          <w:highlight w:val="none"/>
        </w:rPr>
        <w:t>维护保养，并承担因此而产生的一切费</w:t>
      </w:r>
      <w:r>
        <w:rPr>
          <w:rFonts w:hint="eastAsia" w:ascii="宋体" w:hAnsi="宋体"/>
          <w:color w:val="auto"/>
          <w:sz w:val="24"/>
          <w:highlight w:val="none"/>
        </w:rPr>
        <w:t>用。</w:t>
      </w:r>
      <w:r>
        <w:rPr>
          <w:rFonts w:hint="eastAsia" w:ascii="宋体" w:hAnsi="宋体"/>
          <w:color w:val="auto"/>
          <w:sz w:val="24"/>
          <w:highlight w:val="none"/>
          <w:lang w:val="en-US" w:eastAsia="zh-CN"/>
        </w:rPr>
        <w:t>器械或零部件终身维修，质保期过后，</w:t>
      </w:r>
      <w:r>
        <w:rPr>
          <w:rFonts w:hint="eastAsia" w:ascii="宋体" w:hAnsi="宋体"/>
          <w:color w:val="auto"/>
          <w:sz w:val="24"/>
          <w:highlight w:val="none"/>
        </w:rPr>
        <w:t>不收取服务费，只收取零件成本费用。</w:t>
      </w:r>
    </w:p>
    <w:p>
      <w:pPr>
        <w:spacing w:line="460" w:lineRule="exact"/>
        <w:ind w:firstLine="480" w:firstLineChars="200"/>
        <w:jc w:val="both"/>
        <w:rPr>
          <w:rFonts w:hint="eastAsia" w:ascii="宋体" w:hAnsi="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质保期内，如设备或零部件因非人为因素出现故障而造成短期停用时，则</w:t>
      </w:r>
      <w:r>
        <w:rPr>
          <w:rFonts w:hint="eastAsia" w:ascii="宋体" w:hAnsi="宋体"/>
          <w:color w:val="auto"/>
          <w:sz w:val="24"/>
          <w:highlight w:val="none"/>
          <w:lang w:eastAsia="zh-CN"/>
        </w:rPr>
        <w:t>质保期和维修期相应顺延。如停用时间累计超过60天则质保期重新计算。</w:t>
      </w:r>
    </w:p>
    <w:p>
      <w:pPr>
        <w:spacing w:line="46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3.对</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的服务通知，</w:t>
      </w:r>
      <w:r>
        <w:rPr>
          <w:rFonts w:hint="eastAsia" w:ascii="宋体" w:hAnsi="宋体"/>
          <w:color w:val="auto"/>
          <w:sz w:val="24"/>
          <w:highlight w:val="none"/>
          <w:lang w:val="en-US" w:eastAsia="zh-CN"/>
        </w:rPr>
        <w:t>乙方</w:t>
      </w:r>
      <w:r>
        <w:rPr>
          <w:rFonts w:hint="eastAsia" w:ascii="宋体" w:hAnsi="宋体"/>
          <w:color w:val="auto"/>
          <w:sz w:val="24"/>
          <w:highlight w:val="none"/>
          <w:lang w:eastAsia="zh-CN"/>
        </w:rPr>
        <w:t>接报后2小时内做出回应,并在48小时内派人员到达用户现场实施维修并排除故障。若在48小时内仍未能有效解决，</w:t>
      </w:r>
      <w:r>
        <w:rPr>
          <w:rFonts w:hint="eastAsia" w:ascii="宋体" w:hAnsi="宋体"/>
          <w:color w:val="auto"/>
          <w:sz w:val="24"/>
          <w:highlight w:val="none"/>
          <w:lang w:val="en-US" w:eastAsia="zh-CN"/>
        </w:rPr>
        <w:t>乙方</w:t>
      </w:r>
      <w:r>
        <w:rPr>
          <w:rFonts w:hint="eastAsia" w:ascii="宋体" w:hAnsi="宋体"/>
          <w:color w:val="auto"/>
          <w:sz w:val="24"/>
          <w:highlight w:val="none"/>
          <w:lang w:eastAsia="zh-CN"/>
        </w:rPr>
        <w:t>须提供同档次的设备予</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临时使用。</w:t>
      </w:r>
    </w:p>
    <w:p>
      <w:pPr>
        <w:spacing w:line="460" w:lineRule="exact"/>
        <w:ind w:firstLine="480" w:firstLineChars="200"/>
        <w:rPr>
          <w:color w:val="auto"/>
          <w:highlight w:val="none"/>
        </w:rPr>
      </w:pPr>
      <w:r>
        <w:rPr>
          <w:rFonts w:hint="eastAsia" w:ascii="宋体" w:hAnsi="宋体"/>
          <w:color w:val="auto"/>
          <w:sz w:val="24"/>
          <w:highlight w:val="none"/>
          <w:lang w:eastAsia="zh-CN"/>
        </w:rPr>
        <w:t>4.乙方未按本合同第六大项第3</w:t>
      </w:r>
      <w:r>
        <w:rPr>
          <w:rFonts w:hint="eastAsia" w:ascii="宋体" w:hAnsi="宋体"/>
          <w:color w:val="auto"/>
          <w:sz w:val="24"/>
          <w:highlight w:val="none"/>
        </w:rPr>
        <w:t>小项进行响应的，甲方可另行委托第三方进行维修，由此产生的费用由乙方承担。</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七、安装与调试</w:t>
      </w:r>
    </w:p>
    <w:p>
      <w:pPr>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乙</w:t>
      </w:r>
      <w:r>
        <w:rPr>
          <w:rFonts w:hint="eastAsia" w:ascii="宋体" w:hAnsi="宋体"/>
          <w:color w:val="auto"/>
          <w:sz w:val="24"/>
          <w:highlight w:val="none"/>
        </w:rPr>
        <w:t>方必须依照采购文件的要求和报价文件的承诺，将设备、系统安装并调试至正常运行的最佳状态。</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按法定要求进行计量检定的设备，</w:t>
      </w:r>
      <w:r>
        <w:rPr>
          <w:rFonts w:hint="eastAsia" w:ascii="宋体" w:hAnsi="宋体"/>
          <w:color w:val="auto"/>
          <w:sz w:val="24"/>
          <w:highlight w:val="none"/>
          <w:lang w:val="en-US" w:eastAsia="zh-CN"/>
        </w:rPr>
        <w:t>甲方</w:t>
      </w:r>
      <w:r>
        <w:rPr>
          <w:rFonts w:hint="eastAsia" w:ascii="宋体" w:hAnsi="宋体"/>
          <w:color w:val="auto"/>
          <w:sz w:val="24"/>
          <w:highlight w:val="none"/>
          <w:lang w:val="en-US" w:eastAsia="zh-CN"/>
        </w:rPr>
        <w:t>验收完成后，当年的《计量检定证》由</w:t>
      </w:r>
      <w:r>
        <w:rPr>
          <w:rFonts w:hint="eastAsia" w:ascii="宋体" w:hAnsi="宋体"/>
          <w:color w:val="auto"/>
          <w:sz w:val="24"/>
          <w:highlight w:val="none"/>
          <w:lang w:val="en-US" w:eastAsia="zh-CN"/>
        </w:rPr>
        <w:t>乙方</w:t>
      </w:r>
      <w:r>
        <w:rPr>
          <w:rFonts w:hint="eastAsia" w:ascii="宋体" w:hAnsi="宋体"/>
          <w:color w:val="auto"/>
          <w:sz w:val="24"/>
          <w:highlight w:val="none"/>
          <w:lang w:val="en-US" w:eastAsia="zh-CN"/>
        </w:rPr>
        <w:t>负责办理，以后每年由</w:t>
      </w:r>
      <w:r>
        <w:rPr>
          <w:rFonts w:hint="eastAsia" w:ascii="宋体" w:hAnsi="宋体"/>
          <w:color w:val="auto"/>
          <w:sz w:val="24"/>
          <w:highlight w:val="none"/>
          <w:lang w:val="en-US" w:eastAsia="zh-CN"/>
        </w:rPr>
        <w:t>甲方</w:t>
      </w:r>
      <w:r>
        <w:rPr>
          <w:rFonts w:hint="eastAsia" w:ascii="宋体" w:hAnsi="宋体"/>
          <w:color w:val="auto"/>
          <w:sz w:val="24"/>
          <w:highlight w:val="none"/>
          <w:lang w:val="en-US" w:eastAsia="zh-CN"/>
        </w:rPr>
        <w:t>负责办理。</w:t>
      </w:r>
    </w:p>
    <w:p>
      <w:pPr>
        <w:spacing w:line="46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八、验收</w:t>
      </w:r>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货物为原制造商制造的全新产品，整机无污染，无侵权行为、表面无划损、无任何缺陷隐患，在中国境内可依常规安全合法使用。</w:t>
      </w:r>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2</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交付验收标准依次序对照适用标准为：①符合中华人民共和国国家安全质量标准、环保标准或行业标准；②符合采购文件和响应承诺中甲方认可的合理最佳配置、参数及各项要求；③货物来源国官方标准。</w:t>
      </w:r>
    </w:p>
    <w:p>
      <w:pPr>
        <w:tabs>
          <w:tab w:val="left" w:pos="900"/>
        </w:tabs>
        <w:spacing w:line="460" w:lineRule="exact"/>
        <w:ind w:firstLine="600" w:firstLineChars="250"/>
        <w:rPr>
          <w:rFonts w:hint="eastAsia" w:ascii="宋体" w:hAnsi="宋体" w:cs="Times New Roman"/>
          <w:color w:val="auto"/>
          <w:sz w:val="24"/>
          <w:highlight w:val="none"/>
        </w:rPr>
      </w:pPr>
      <w:r>
        <w:rPr>
          <w:rFonts w:hint="eastAsia" w:ascii="宋体" w:hAnsi="宋体" w:cs="Times New Roman"/>
          <w:color w:val="auto"/>
          <w:sz w:val="24"/>
          <w:highlight w:val="none"/>
        </w:rPr>
        <w:t>3</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进口产品必须具备原产地证明和商检局的检验证明及合法进货渠道证明</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报关单、完税凭证</w:t>
      </w:r>
      <w:r>
        <w:rPr>
          <w:rFonts w:hint="eastAsia" w:ascii="宋体" w:hAnsi="宋体" w:cs="Times New Roman"/>
          <w:color w:val="auto"/>
          <w:sz w:val="24"/>
          <w:highlight w:val="none"/>
          <w:lang w:eastAsia="zh-CN"/>
        </w:rPr>
        <w:t>等资料</w:t>
      </w:r>
      <w:r>
        <w:rPr>
          <w:rFonts w:hint="eastAsia" w:ascii="宋体" w:hAnsi="宋体" w:cs="Times New Roman"/>
          <w:color w:val="auto"/>
          <w:sz w:val="24"/>
          <w:highlight w:val="none"/>
        </w:rPr>
        <w:t>。</w:t>
      </w:r>
    </w:p>
    <w:p>
      <w:pPr>
        <w:tabs>
          <w:tab w:val="left" w:pos="900"/>
        </w:tabs>
        <w:spacing w:line="460" w:lineRule="exact"/>
        <w:ind w:firstLine="600" w:firstLineChars="250"/>
        <w:rPr>
          <w:rFonts w:hint="eastAsia" w:ascii="宋体" w:hAnsi="宋体" w:cs="Times New Roman"/>
          <w:color w:val="auto"/>
          <w:sz w:val="24"/>
          <w:highlight w:val="none"/>
        </w:rPr>
      </w:pPr>
      <w:r>
        <w:rPr>
          <w:rFonts w:hint="eastAsia" w:ascii="宋体" w:hAnsi="宋体" w:cs="Times New Roman"/>
          <w:color w:val="auto"/>
          <w:sz w:val="24"/>
          <w:highlight w:val="none"/>
        </w:rPr>
        <w:t>4</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货物为原厂商未启封全新包装，具出厂合格证，序列号、包装箱号与出厂批号一致，并可追索查阅。</w:t>
      </w:r>
    </w:p>
    <w:p>
      <w:pPr>
        <w:tabs>
          <w:tab w:val="left" w:pos="900"/>
        </w:tabs>
        <w:spacing w:line="460" w:lineRule="exact"/>
        <w:ind w:firstLine="600" w:firstLineChars="250"/>
        <w:rPr>
          <w:rFonts w:hint="eastAsia" w:ascii="宋体" w:hAnsi="宋体" w:cs="Times New Roman"/>
          <w:color w:val="auto"/>
          <w:sz w:val="24"/>
          <w:highlight w:val="none"/>
        </w:rPr>
      </w:pPr>
      <w:r>
        <w:rPr>
          <w:rFonts w:hint="eastAsia" w:ascii="宋体" w:hAnsi="宋体" w:cs="Times New Roman"/>
          <w:color w:val="auto"/>
          <w:sz w:val="24"/>
          <w:highlight w:val="none"/>
        </w:rPr>
        <w:t>5</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乙方应将关键主机设备的用户手册、保修手册、有关单证资料及配备件、随机工具等交付给甲方，使用操作及安全须知等重要资料应附有中文说明。</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6.</w:t>
      </w:r>
      <w:r>
        <w:rPr>
          <w:rFonts w:hint="eastAsia" w:ascii="宋体" w:hAnsi="宋体" w:cs="Times New Roman"/>
          <w:color w:val="auto"/>
          <w:sz w:val="24"/>
          <w:highlight w:val="none"/>
        </w:rPr>
        <w:t>验收时间：</w:t>
      </w:r>
      <w:r>
        <w:rPr>
          <w:rFonts w:hint="eastAsia" w:ascii="宋体" w:hAnsi="宋体" w:cs="Times New Roman"/>
          <w:color w:val="auto"/>
          <w:sz w:val="24"/>
          <w:highlight w:val="none"/>
          <w:lang w:eastAsia="zh-CN"/>
        </w:rPr>
        <w:t>乙方</w:t>
      </w:r>
      <w:r>
        <w:rPr>
          <w:rFonts w:hint="eastAsia" w:ascii="宋体" w:hAnsi="宋体" w:cs="Times New Roman"/>
          <w:color w:val="auto"/>
          <w:sz w:val="24"/>
          <w:highlight w:val="none"/>
        </w:rPr>
        <w:t>按</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要求，将设备在指定地点安装、调试、培训至正常使用后，由</w:t>
      </w:r>
      <w:r>
        <w:rPr>
          <w:rFonts w:hint="eastAsia" w:ascii="宋体" w:hAnsi="宋体" w:cs="Times New Roman"/>
          <w:color w:val="auto"/>
          <w:sz w:val="24"/>
          <w:highlight w:val="none"/>
          <w:lang w:eastAsia="zh-CN"/>
        </w:rPr>
        <w:t>乙</w:t>
      </w:r>
      <w:r>
        <w:rPr>
          <w:rFonts w:hint="eastAsia" w:ascii="宋体" w:hAnsi="宋体" w:cs="Times New Roman"/>
          <w:color w:val="auto"/>
          <w:sz w:val="24"/>
          <w:highlight w:val="none"/>
        </w:rPr>
        <w:t>方提出验收申请，</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接到验收申请后壹个月内组织验收。</w:t>
      </w:r>
    </w:p>
    <w:p>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rPr>
        <w:t>九、</w:t>
      </w:r>
      <w:r>
        <w:rPr>
          <w:rFonts w:hint="eastAsia" w:ascii="宋体" w:hAnsi="宋体"/>
          <w:b/>
          <w:color w:val="auto"/>
          <w:sz w:val="24"/>
          <w:highlight w:val="none"/>
        </w:rPr>
        <w:t>违约责任与赔偿损失</w:t>
      </w:r>
    </w:p>
    <w:p>
      <w:pPr>
        <w:tabs>
          <w:tab w:val="left" w:pos="900"/>
        </w:tabs>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乙方交付</w:t>
      </w:r>
      <w:r>
        <w:rPr>
          <w:rFonts w:hint="eastAsia" w:ascii="宋体" w:hAnsi="宋体"/>
          <w:color w:val="auto"/>
          <w:sz w:val="24"/>
          <w:highlight w:val="none"/>
        </w:rPr>
        <w:t>的货物、提供的服务不符合采购文件、报价文件或本合同规定的，甲方有权拒收，并且乙方须向甲方支付本合同总价</w:t>
      </w:r>
      <w:r>
        <w:rPr>
          <w:rFonts w:ascii="宋体" w:hAnsi="宋体"/>
          <w:color w:val="auto"/>
          <w:sz w:val="24"/>
          <w:highlight w:val="none"/>
        </w:rPr>
        <w:t>5%</w:t>
      </w:r>
      <w:r>
        <w:rPr>
          <w:rFonts w:hint="eastAsia" w:ascii="宋体" w:hAnsi="宋体"/>
          <w:color w:val="auto"/>
          <w:sz w:val="24"/>
          <w:highlight w:val="none"/>
        </w:rPr>
        <w:t>的违约金。</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440" w:lineRule="exact"/>
        <w:ind w:right="21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2．乙方未能按本合同规定的交货时间交付货物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提供服务的，从逾期之日起每日按本合同总价</w:t>
      </w:r>
      <w:r>
        <w:rPr>
          <w:rFonts w:hint="eastAsia" w:ascii="宋体" w:hAnsi="宋体" w:cs="宋体"/>
          <w:color w:val="auto"/>
          <w:sz w:val="24"/>
          <w:szCs w:val="24"/>
          <w:highlight w:val="none"/>
          <w:lang w:eastAsia="zh-CN"/>
        </w:rPr>
        <w:t>万分之五</w:t>
      </w:r>
      <w:r>
        <w:rPr>
          <w:rFonts w:hint="eastAsia" w:ascii="宋体" w:hAnsi="宋体" w:eastAsia="宋体" w:cs="宋体"/>
          <w:color w:val="auto"/>
          <w:sz w:val="24"/>
          <w:szCs w:val="24"/>
          <w:highlight w:val="none"/>
        </w:rPr>
        <w:t>的数额向甲方支付违约金；逾期半个月以上的，甲方有权终止合同，由此造成的甲方经济损失由乙方承担。</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3．甲方无正当理由拒收货物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接受服务，到期拒付货物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服务款项的，甲方向乙方偿付</w:t>
      </w:r>
      <w:r>
        <w:rPr>
          <w:rFonts w:hint="eastAsia" w:ascii="宋体" w:hAnsi="宋体" w:cs="宋体"/>
          <w:color w:val="auto"/>
          <w:sz w:val="24"/>
          <w:highlight w:val="none"/>
        </w:rPr>
        <w:t>拒付款项</w:t>
      </w:r>
      <w:r>
        <w:rPr>
          <w:rFonts w:hint="eastAsia" w:ascii="宋体" w:hAnsi="宋体" w:eastAsia="宋体" w:cs="宋体"/>
          <w:color w:val="auto"/>
          <w:sz w:val="24"/>
          <w:szCs w:val="24"/>
          <w:highlight w:val="none"/>
        </w:rPr>
        <w:t>5%的违约金。甲方逾期付款，则每日按</w:t>
      </w:r>
      <w:r>
        <w:rPr>
          <w:rFonts w:hint="eastAsia" w:ascii="宋体" w:hAnsi="宋体" w:cs="宋体"/>
          <w:color w:val="auto"/>
          <w:sz w:val="24"/>
          <w:szCs w:val="24"/>
          <w:highlight w:val="none"/>
          <w:lang w:eastAsia="zh-CN"/>
        </w:rPr>
        <w:t>应付款</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万分之五</w:t>
      </w:r>
      <w:r>
        <w:rPr>
          <w:rFonts w:hint="eastAsia" w:ascii="宋体" w:hAnsi="宋体" w:eastAsia="宋体" w:cs="宋体"/>
          <w:color w:val="auto"/>
          <w:sz w:val="24"/>
          <w:szCs w:val="24"/>
          <w:highlight w:val="none"/>
        </w:rPr>
        <w:t>向乙方偿付违约金。</w:t>
      </w:r>
    </w:p>
    <w:p>
      <w:pPr>
        <w:spacing w:line="460" w:lineRule="exact"/>
        <w:ind w:firstLine="600" w:firstLineChars="25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其它</w:t>
      </w:r>
      <w:r>
        <w:rPr>
          <w:rFonts w:hint="eastAsia" w:ascii="宋体" w:hAnsi="宋体"/>
          <w:bCs/>
          <w:color w:val="auto"/>
          <w:sz w:val="24"/>
          <w:highlight w:val="none"/>
        </w:rPr>
        <w:t>违约责任按《中华人民共和国民法典》处理。</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十、争议的解决</w:t>
      </w:r>
    </w:p>
    <w:p>
      <w:pPr>
        <w:tabs>
          <w:tab w:val="left" w:pos="824"/>
        </w:tabs>
        <w:spacing w:line="460" w:lineRule="exact"/>
        <w:ind w:firstLine="480"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w:t>
      </w:r>
      <w:r>
        <w:rPr>
          <w:rFonts w:hint="default" w:ascii="宋体" w:hAnsi="宋体"/>
          <w:color w:val="auto"/>
          <w:sz w:val="24"/>
          <w:highlight w:val="none"/>
        </w:rPr>
        <w:t>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十一、</w:t>
      </w:r>
      <w:r>
        <w:rPr>
          <w:rFonts w:hint="eastAsia" w:ascii="宋体" w:hAnsi="宋体"/>
          <w:b/>
          <w:color w:val="auto"/>
          <w:sz w:val="24"/>
          <w:highlight w:val="none"/>
        </w:rPr>
        <w:t>不可抗力</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pPr>
        <w:numPr>
          <w:ilvl w:val="0"/>
          <w:numId w:val="31"/>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税费</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十三、</w:t>
      </w:r>
      <w:r>
        <w:rPr>
          <w:rFonts w:hint="eastAsia" w:ascii="宋体" w:hAnsi="宋体"/>
          <w:b/>
          <w:color w:val="auto"/>
          <w:sz w:val="24"/>
          <w:highlight w:val="none"/>
        </w:rPr>
        <w:t>其它</w:t>
      </w:r>
    </w:p>
    <w:p>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w:t>
      </w:r>
      <w:r>
        <w:rPr>
          <w:rFonts w:hint="eastAsia" w:ascii="宋体" w:hAnsi="宋体"/>
          <w:color w:val="auto"/>
          <w:sz w:val="24"/>
          <w:highlight w:val="none"/>
          <w:lang w:eastAsia="zh-CN"/>
        </w:rPr>
        <w:t>成交</w:t>
      </w:r>
      <w:r>
        <w:rPr>
          <w:rFonts w:hint="eastAsia" w:ascii="宋体" w:hAnsi="宋体"/>
          <w:color w:val="auto"/>
          <w:sz w:val="24"/>
          <w:highlight w:val="none"/>
        </w:rPr>
        <w:t>通知书均为合同的有效组成部分，与本合同具有同等法律效力。</w:t>
      </w:r>
    </w:p>
    <w:p>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十四、合同生效</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本合同在甲乙双方法人代表或其授权代表签字盖章后生效。</w:t>
      </w:r>
    </w:p>
    <w:p>
      <w:pPr>
        <w:spacing w:line="460" w:lineRule="exact"/>
        <w:ind w:firstLine="480" w:firstLineChars="200"/>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olor w:val="auto"/>
          <w:sz w:val="24"/>
          <w:highlight w:val="none"/>
          <w:lang w:val="en-US" w:eastAsia="zh-CN"/>
        </w:rPr>
        <w:t>一式伍份</w:t>
      </w:r>
      <w:r>
        <w:rPr>
          <w:rFonts w:hint="eastAsia" w:ascii="宋体" w:hAnsi="宋体"/>
          <w:color w:val="auto"/>
          <w:sz w:val="24"/>
          <w:highlight w:val="none"/>
          <w:lang w:val="en-US" w:eastAsia="zh-CN"/>
        </w:rPr>
        <w:t>，甲方持肆份，乙方持壹份。</w:t>
      </w:r>
    </w:p>
    <w:p>
      <w:pPr>
        <w:spacing w:line="360" w:lineRule="auto"/>
        <w:rPr>
          <w:rFonts w:asci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法人代表：</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lang w:eastAsia="zh-CN"/>
        </w:rPr>
        <w:t>法人代表：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地址：</w:t>
      </w:r>
    </w:p>
    <w:p>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电话：0752-7806616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传真：0752-7806733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360" w:lineRule="auto"/>
        <w:rPr>
          <w:rFonts w:hint="eastAsia" w:ascii="仿宋" w:hAnsi="仿宋" w:eastAsia="仿宋" w:cs="仿宋"/>
          <w:color w:val="auto"/>
          <w:sz w:val="36"/>
          <w:highlight w:val="none"/>
          <w:u w:val="singl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9"/>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9"/>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9"/>
        <w:adjustRightInd w:val="0"/>
        <w:snapToGrid w:val="0"/>
        <w:spacing w:line="360" w:lineRule="auto"/>
        <w:jc w:val="center"/>
        <w:rPr>
          <w:rFonts w:hint="eastAsia" w:ascii="仿宋" w:hAnsi="仿宋" w:eastAsia="仿宋" w:cs="仿宋"/>
          <w:b/>
          <w:color w:val="auto"/>
          <w:kern w:val="0"/>
          <w:sz w:val="72"/>
          <w:szCs w:val="72"/>
          <w:highlight w:val="none"/>
        </w:rPr>
      </w:pPr>
    </w:p>
    <w:p>
      <w:pPr>
        <w:pStyle w:val="9"/>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9"/>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9"/>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9"/>
        <w:adjustRightInd w:val="0"/>
        <w:snapToGrid w:val="0"/>
        <w:spacing w:line="360" w:lineRule="auto"/>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9"/>
        <w:spacing w:line="360" w:lineRule="auto"/>
        <w:rPr>
          <w:rFonts w:hint="eastAsia" w:ascii="仿宋" w:hAnsi="仿宋" w:eastAsia="仿宋" w:cs="仿宋"/>
          <w:b/>
          <w:color w:val="auto"/>
          <w:sz w:val="28"/>
          <w:szCs w:val="28"/>
          <w:highlight w:val="none"/>
        </w:rPr>
      </w:pPr>
    </w:p>
    <w:p>
      <w:pPr>
        <w:pStyle w:val="9"/>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9"/>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9"/>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响应供应商：                              公章</w:t>
      </w: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9"/>
        <w:adjustRightInd w:val="0"/>
        <w:snapToGrid w:val="0"/>
        <w:spacing w:line="440" w:lineRule="exact"/>
        <w:rPr>
          <w:rFonts w:hint="eastAsia"/>
          <w:color w:val="auto"/>
          <w:highlight w:val="none"/>
        </w:rPr>
      </w:pPr>
      <w:bookmarkStart w:id="9" w:name="_Toc202252033"/>
      <w:bookmarkStart w:id="10" w:name="_Toc202254104"/>
      <w:bookmarkStart w:id="11" w:name="_Toc202251074"/>
      <w:bookmarkStart w:id="12" w:name="_Toc202819877"/>
      <w:bookmarkStart w:id="13" w:name="_Toc202820350"/>
      <w:bookmarkStart w:id="14" w:name="_Toc202816995"/>
      <w:bookmarkStart w:id="15" w:name="_Toc202251699"/>
      <w:r>
        <w:rPr>
          <w:color w:val="auto"/>
          <w:highlight w:val="none"/>
        </w:rPr>
        <w:br w:type="page"/>
      </w:r>
      <w:r>
        <w:rPr>
          <w:rFonts w:hint="eastAsia" w:ascii="仿宋" w:hAnsi="仿宋" w:eastAsia="仿宋" w:cs="仿宋"/>
          <w:b/>
          <w:bCs/>
          <w:color w:val="auto"/>
          <w:sz w:val="28"/>
          <w:highlight w:val="none"/>
        </w:rPr>
        <w:t xml:space="preserve">1 </w:t>
      </w:r>
      <w:bookmarkEnd w:id="9"/>
      <w:bookmarkEnd w:id="10"/>
      <w:bookmarkEnd w:id="11"/>
      <w:bookmarkEnd w:id="12"/>
      <w:bookmarkEnd w:id="13"/>
      <w:bookmarkEnd w:id="14"/>
      <w:bookmarkEnd w:id="15"/>
      <w:r>
        <w:rPr>
          <w:rFonts w:hint="eastAsia" w:ascii="仿宋" w:hAnsi="仿宋" w:eastAsia="仿宋" w:cs="仿宋"/>
          <w:b/>
          <w:bCs/>
          <w:color w:val="auto"/>
          <w:sz w:val="28"/>
          <w:highlight w:val="none"/>
        </w:rPr>
        <w:t>资格性/符合性自查表</w:t>
      </w:r>
    </w:p>
    <w:tbl>
      <w:tblPr>
        <w:tblStyle w:val="13"/>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64"/>
        <w:gridCol w:w="1849"/>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26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846" w:type="dxa"/>
            <w:vMerge w:val="restart"/>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4264" w:type="dxa"/>
            <w:noWrap w:val="0"/>
            <w:vAlign w:val="center"/>
          </w:tcPr>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1.具备《政府采购法》第二十二条规定的条件,且提供以下证明文件：</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（1）在中华人民共和国境内注册的具有独立承担民事责任能力的法人或其他组织（提供营业执照等证明文件）；</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必须具有良好的商业信誉和健全的财务会计制度。可提供：①2021年至今任意一年经审计的审计报告复印件（包含审计报告中所涉及的财务报表和报表附注）；或②2021年度至今任意一年响应供应商人内部的财务报表复印件（新成立公司提供成立至今的月或季度财务报表复印件）；或③截至响应文件递交截止日一年内银行出具的资信证明（复印件）；</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（3）比选截止时间前一年内任意一个月的依法缴纳税收证明材料（如依法免税，则须提供相应文件证明其依法免税）；</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（4）比选截止时间前一年内任意一个月的依法缴纳社会保险凭据（如依法不需要缴纳社保，则须提供相应文件证明其依法不需要缴纳）；</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（5）履行合同所必需的设备和专业技术能力的证明材料或书面声明；</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（6）参加政府采购活动前3年内在经营活动中没有重大违法记录的书面声明。</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3.单位负责人为同一人或者存在直接控股、管理关系的不同供应商，不得参加同一包号比选或者未划分包号的同一采购项目。(供应商出具声明函)</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4.为采购项目提供整体设计、规范编制或者项目管理、监理、检测等服务的供应商，不得再参加该采购项目的其他采购活动。(供应商出具声明函)</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5.本项目不接受联合体参加比选，不允许响应供应商对各比选项目进行分包或转包(供应商出具声明函)。</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供应商为生产企业:所投产品为第二、三类医疗器械，提供有效的《医疗器械生产许可证》;供应商为经营企业:所投产品 为第三类医疗器械，提供有效的《医疗器械经营许可证》。</w:t>
            </w:r>
          </w:p>
          <w:p>
            <w:pPr>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本项目是专门面向中小企业采购的项目，供应商应为中小微企业。（提供《中小企业声明函》。本项目中小企业划分标准所属行业为：</w:t>
            </w:r>
            <w:r>
              <w:rPr>
                <w:rFonts w:hint="eastAsia" w:ascii="仿宋" w:hAnsi="仿宋" w:eastAsia="仿宋" w:cs="仿宋"/>
                <w:color w:val="auto"/>
                <w:szCs w:val="21"/>
                <w:highlight w:val="none"/>
                <w:lang w:val="en-US" w:eastAsia="zh-CN"/>
              </w:rPr>
              <w:t>工业</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8.已在招采办报名</w:t>
            </w:r>
            <w:r>
              <w:rPr>
                <w:rFonts w:hint="eastAsia" w:ascii="仿宋" w:hAnsi="仿宋" w:eastAsia="仿宋" w:cs="仿宋"/>
                <w:color w:val="auto"/>
                <w:sz w:val="24"/>
                <w:highlight w:val="none"/>
                <w:lang w:val="en-US" w:eastAsia="zh-CN"/>
              </w:rPr>
              <w:t>。</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4264" w:type="dxa"/>
            <w:noWrap w:val="0"/>
            <w:vAlign w:val="top"/>
          </w:tcPr>
          <w:p>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264" w:type="dxa"/>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264" w:type="dxa"/>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849"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按有关法律、法规、规章和比选文件中规定的其他无效投标情形。</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7"/>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9"/>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3"/>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pPr>
              <w:pStyle w:val="16"/>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16"/>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pPr>
              <w:pStyle w:val="16"/>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pPr>
              <w:pStyle w:val="16"/>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rPr>
              <w:t xml:space="preserve">对用户服务需求不带▲号的响应程度 </w:t>
            </w:r>
          </w:p>
        </w:tc>
        <w:tc>
          <w:tcPr>
            <w:tcW w:w="5232" w:type="dxa"/>
            <w:noWrap w:val="0"/>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rPr>
              <w:t>所提供的服务是否满足用户需求</w:t>
            </w:r>
            <w:r>
              <w:rPr>
                <w:rFonts w:hint="eastAsia" w:ascii="仿宋" w:hAnsi="仿宋" w:eastAsia="仿宋" w:cs="仿宋"/>
                <w:color w:val="auto"/>
                <w:kern w:val="0"/>
                <w:sz w:val="21"/>
                <w:szCs w:val="21"/>
                <w:highlight w:val="none"/>
                <w:lang w:eastAsia="zh-CN"/>
              </w:rPr>
              <w:t>书</w:t>
            </w:r>
            <w:r>
              <w:rPr>
                <w:rFonts w:hint="eastAsia" w:ascii="仿宋" w:hAnsi="仿宋" w:eastAsia="仿宋" w:cs="仿宋"/>
                <w:color w:val="auto"/>
                <w:kern w:val="0"/>
                <w:sz w:val="21"/>
                <w:szCs w:val="21"/>
                <w:highlight w:val="none"/>
              </w:rPr>
              <w:t>响应程度进行评分：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不带▲号的一般技术参数，得</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 xml:space="preserve">0分；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有一项不带▲号条款负偏离，得</w:t>
            </w:r>
            <w:r>
              <w:rPr>
                <w:rFonts w:hint="eastAsia" w:ascii="仿宋" w:hAnsi="仿宋" w:eastAsia="仿宋" w:cs="仿宋"/>
                <w:color w:val="auto"/>
                <w:kern w:val="0"/>
                <w:sz w:val="21"/>
                <w:szCs w:val="21"/>
                <w:highlight w:val="none"/>
                <w:lang w:val="en-US" w:eastAsia="zh-CN"/>
              </w:rPr>
              <w:t>29</w:t>
            </w:r>
            <w:r>
              <w:rPr>
                <w:rFonts w:hint="eastAsia" w:ascii="仿宋" w:hAnsi="仿宋" w:eastAsia="仿宋" w:cs="仿宋"/>
                <w:color w:val="auto"/>
                <w:kern w:val="0"/>
                <w:sz w:val="21"/>
                <w:szCs w:val="21"/>
                <w:highlight w:val="none"/>
              </w:rPr>
              <w:t xml:space="preserve">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有二项不带▲号条款负偏离，得</w:t>
            </w:r>
            <w:r>
              <w:rPr>
                <w:rFonts w:hint="eastAsia" w:ascii="仿宋" w:hAnsi="仿宋" w:eastAsia="仿宋" w:cs="仿宋"/>
                <w:color w:val="auto"/>
                <w:kern w:val="0"/>
                <w:sz w:val="21"/>
                <w:szCs w:val="21"/>
                <w:highlight w:val="none"/>
                <w:lang w:val="en-US" w:eastAsia="zh-CN"/>
              </w:rPr>
              <w:t>28</w:t>
            </w:r>
            <w:r>
              <w:rPr>
                <w:rFonts w:hint="eastAsia" w:ascii="仿宋" w:hAnsi="仿宋" w:eastAsia="仿宋" w:cs="仿宋"/>
                <w:color w:val="auto"/>
                <w:kern w:val="0"/>
                <w:sz w:val="21"/>
                <w:szCs w:val="21"/>
                <w:highlight w:val="none"/>
              </w:rPr>
              <w:t xml:space="preserve">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有三项不带▲号条款负偏离，得</w:t>
            </w:r>
            <w:r>
              <w:rPr>
                <w:rFonts w:hint="eastAsia" w:ascii="仿宋" w:hAnsi="仿宋" w:eastAsia="仿宋" w:cs="仿宋"/>
                <w:color w:val="auto"/>
                <w:kern w:val="0"/>
                <w:sz w:val="21"/>
                <w:szCs w:val="21"/>
                <w:highlight w:val="none"/>
                <w:lang w:val="en-US" w:eastAsia="zh-CN"/>
              </w:rPr>
              <w:t>27</w:t>
            </w:r>
            <w:r>
              <w:rPr>
                <w:rFonts w:hint="eastAsia" w:ascii="仿宋" w:hAnsi="仿宋" w:eastAsia="仿宋" w:cs="仿宋"/>
                <w:color w:val="auto"/>
                <w:kern w:val="0"/>
                <w:sz w:val="21"/>
                <w:szCs w:val="21"/>
                <w:highlight w:val="none"/>
              </w:rPr>
              <w:t xml:space="preserve">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有四项不带▲号条款负偏离，得</w:t>
            </w:r>
            <w:r>
              <w:rPr>
                <w:rFonts w:hint="eastAsia" w:ascii="仿宋" w:hAnsi="仿宋" w:eastAsia="仿宋" w:cs="仿宋"/>
                <w:color w:val="auto"/>
                <w:kern w:val="0"/>
                <w:sz w:val="21"/>
                <w:szCs w:val="21"/>
                <w:highlight w:val="none"/>
                <w:lang w:val="en-US" w:eastAsia="zh-CN"/>
              </w:rPr>
              <w:t>26</w:t>
            </w:r>
            <w:r>
              <w:rPr>
                <w:rFonts w:hint="eastAsia" w:ascii="仿宋" w:hAnsi="仿宋" w:eastAsia="仿宋" w:cs="仿宋"/>
                <w:color w:val="auto"/>
                <w:kern w:val="0"/>
                <w:sz w:val="21"/>
                <w:szCs w:val="21"/>
                <w:highlight w:val="none"/>
              </w:rPr>
              <w:t xml:space="preserve">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有五项不带▲号条款负偏离，得</w:t>
            </w:r>
            <w:r>
              <w:rPr>
                <w:rFonts w:hint="eastAsia" w:ascii="仿宋" w:hAnsi="仿宋" w:eastAsia="仿宋" w:cs="仿宋"/>
                <w:color w:val="auto"/>
                <w:kern w:val="0"/>
                <w:sz w:val="21"/>
                <w:szCs w:val="21"/>
                <w:highlight w:val="none"/>
                <w:lang w:val="en-US" w:eastAsia="zh-CN"/>
              </w:rPr>
              <w:t>25</w:t>
            </w:r>
            <w:r>
              <w:rPr>
                <w:rFonts w:hint="eastAsia" w:ascii="仿宋" w:hAnsi="仿宋" w:eastAsia="仿宋" w:cs="仿宋"/>
                <w:color w:val="auto"/>
                <w:kern w:val="0"/>
                <w:sz w:val="21"/>
                <w:szCs w:val="21"/>
                <w:highlight w:val="none"/>
              </w:rPr>
              <w:t xml:space="preserve">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以此类推，当不带▲号条款负偏离达到</w:t>
            </w:r>
            <w:r>
              <w:rPr>
                <w:rFonts w:hint="eastAsia" w:ascii="仿宋" w:hAnsi="仿宋" w:eastAsia="仿宋" w:cs="仿宋"/>
                <w:color w:val="auto"/>
                <w:kern w:val="0"/>
                <w:sz w:val="21"/>
                <w:szCs w:val="21"/>
                <w:highlight w:val="none"/>
                <w:lang w:val="en-US" w:eastAsia="zh-CN"/>
              </w:rPr>
              <w:t>30</w:t>
            </w:r>
            <w:r>
              <w:rPr>
                <w:rFonts w:hint="eastAsia" w:ascii="仿宋" w:hAnsi="仿宋" w:eastAsia="仿宋" w:cs="仿宋"/>
                <w:color w:val="auto"/>
                <w:kern w:val="0"/>
                <w:sz w:val="21"/>
                <w:szCs w:val="21"/>
                <w:highlight w:val="none"/>
              </w:rPr>
              <w:t>项（含）以上时，视为严重偏离此评分项不得分。</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eastAsia="zh-CN"/>
              </w:rPr>
              <w:t>注：响应供应商</w:t>
            </w:r>
            <w:r>
              <w:rPr>
                <w:rFonts w:hint="eastAsia" w:ascii="仿宋" w:hAnsi="仿宋" w:eastAsia="仿宋" w:cs="仿宋"/>
                <w:color w:val="auto"/>
                <w:kern w:val="0"/>
                <w:sz w:val="21"/>
                <w:szCs w:val="21"/>
                <w:highlight w:val="none"/>
              </w:rPr>
              <w:t>应提供</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产品技术证明文件如</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产品彩页或相应技术参数的厂家使用说明书或技术白皮书或厂家公开发布的印刷资料或第三方机构出具的检验报告等作为技术证明文件，否则</w:t>
            </w:r>
            <w:r>
              <w:rPr>
                <w:rFonts w:hint="eastAsia" w:ascii="仿宋" w:hAnsi="仿宋" w:eastAsia="仿宋" w:cs="仿宋"/>
                <w:color w:val="auto"/>
                <w:kern w:val="0"/>
                <w:sz w:val="21"/>
                <w:szCs w:val="21"/>
                <w:highlight w:val="none"/>
                <w:lang w:eastAsia="zh-CN"/>
              </w:rPr>
              <w:t>比选专家</w:t>
            </w:r>
            <w:r>
              <w:rPr>
                <w:rFonts w:hint="eastAsia" w:ascii="仿宋" w:hAnsi="仿宋" w:eastAsia="仿宋" w:cs="仿宋"/>
                <w:color w:val="auto"/>
                <w:kern w:val="0"/>
                <w:sz w:val="21"/>
                <w:szCs w:val="21"/>
                <w:highlight w:val="none"/>
              </w:rPr>
              <w:t>有权视相应技术参数响应不符合</w:t>
            </w:r>
            <w:r>
              <w:rPr>
                <w:rFonts w:hint="eastAsia" w:ascii="仿宋" w:hAnsi="仿宋" w:eastAsia="仿宋" w:cs="仿宋"/>
                <w:color w:val="auto"/>
                <w:kern w:val="0"/>
                <w:sz w:val="21"/>
                <w:szCs w:val="21"/>
                <w:highlight w:val="none"/>
                <w:lang w:eastAsia="zh-CN"/>
              </w:rPr>
              <w:t>比选</w:t>
            </w:r>
            <w:r>
              <w:rPr>
                <w:rFonts w:hint="eastAsia" w:ascii="仿宋" w:hAnsi="仿宋" w:eastAsia="仿宋" w:cs="仿宋"/>
                <w:color w:val="auto"/>
                <w:kern w:val="0"/>
                <w:sz w:val="21"/>
                <w:szCs w:val="21"/>
                <w:highlight w:val="none"/>
              </w:rPr>
              <w:t>要求（如厂家的产品使用说明书为英文版，请同时提供中文版）。</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项目实施组织情况</w:t>
            </w:r>
          </w:p>
        </w:tc>
        <w:tc>
          <w:tcPr>
            <w:tcW w:w="5232" w:type="dxa"/>
            <w:noWrap w:val="0"/>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rPr>
              <w:t xml:space="preserve">提供的项目组织实施方案（包括实施方案、供货安装进度安排、组织情况、项目实施计划等内容）进行综合评审：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组织实施方案清晰、全面、合理，施工方案科学可操作性强，进度安排合理，组织、实施计划有条理性的，得</w:t>
            </w:r>
            <w:r>
              <w:rPr>
                <w:rFonts w:hint="eastAsia" w:ascii="仿宋" w:hAnsi="仿宋" w:eastAsia="仿宋" w:cs="仿宋"/>
                <w:color w:val="auto"/>
                <w:kern w:val="0"/>
                <w:sz w:val="21"/>
                <w:szCs w:val="21"/>
                <w:highlight w:val="none"/>
                <w:lang w:val="en-US" w:eastAsia="zh-CN"/>
              </w:rPr>
              <w:t>10</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组织实施方案较清晰、较全面、较合理，施工方案可行，进度安排较合理，组织、实施计划基本有条理性的，得</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组织实施方案简单、基本合理，施工方案科学基本可行，进度安排一般，组织、实施计划欠缺条理性的，得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16" w:type="dxa"/>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响应供应商的履约能力</w:t>
            </w:r>
          </w:p>
        </w:tc>
        <w:tc>
          <w:tcPr>
            <w:tcW w:w="5232" w:type="dxa"/>
            <w:noWrap w:val="0"/>
            <w:vAlign w:val="center"/>
          </w:tcPr>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根据</w:t>
            </w:r>
            <w:r>
              <w:rPr>
                <w:rFonts w:hint="eastAsia" w:ascii="仿宋" w:hAnsi="仿宋" w:eastAsia="仿宋" w:cs="仿宋"/>
                <w:color w:val="auto"/>
                <w:kern w:val="0"/>
                <w:sz w:val="21"/>
                <w:szCs w:val="21"/>
                <w:highlight w:val="none"/>
              </w:rPr>
              <w:t>各</w:t>
            </w:r>
            <w:r>
              <w:rPr>
                <w:rFonts w:hint="eastAsia" w:ascii="仿宋" w:hAnsi="仿宋" w:eastAsia="仿宋" w:cs="仿宋"/>
                <w:color w:val="auto"/>
                <w:kern w:val="0"/>
                <w:sz w:val="21"/>
                <w:szCs w:val="21"/>
                <w:highlight w:val="none"/>
                <w:lang w:eastAsia="zh-CN"/>
              </w:rPr>
              <w:t xml:space="preserve">响应供应商为本项目投入的项目团队、人员构成、分工及送货时效等（包含但不限于团队分组、人员名单、履约进度表等内容）进行综合评比： </w:t>
            </w:r>
          </w:p>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1.响应供应商为本项目投入的项目团队、人员构成合理且分工明确，能够安全、快捷地将货物运送至采购人指定地点的，得5分；</w:t>
            </w:r>
          </w:p>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2.项目团队、人员构成及分工较为合理且有一定分工，能够按规定将货物运送至采购人指定地点的，得3分；</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eastAsia="zh-CN"/>
              </w:rPr>
              <w:t xml:space="preserve">3.项目团队、人员构成及分工有缺陷且有分工不明确，不能保证货物按时运送至采购人指定地点的，得1分。 </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拟投入本项目</w:t>
            </w:r>
            <w:r>
              <w:rPr>
                <w:rFonts w:hint="eastAsia" w:ascii="仿宋" w:hAnsi="仿宋" w:eastAsia="仿宋" w:cs="仿宋"/>
                <w:color w:val="auto"/>
                <w:kern w:val="0"/>
                <w:sz w:val="21"/>
                <w:szCs w:val="21"/>
                <w:highlight w:val="none"/>
                <w:lang w:eastAsia="zh-CN"/>
              </w:rPr>
              <w:t>的项目负责人</w:t>
            </w:r>
          </w:p>
        </w:tc>
        <w:tc>
          <w:tcPr>
            <w:tcW w:w="5232" w:type="dxa"/>
            <w:noWrap w:val="0"/>
            <w:vAlign w:val="center"/>
          </w:tcPr>
          <w:p>
            <w:pPr>
              <w:widowControl/>
              <w:jc w:val="left"/>
              <w:rPr>
                <w:rFonts w:hint="eastAsia" w:ascii="仿宋" w:hAnsi="仿宋" w:eastAsia="仿宋" w:cs="仿宋"/>
                <w:color w:val="auto"/>
                <w:kern w:val="0"/>
                <w:sz w:val="21"/>
                <w:szCs w:val="21"/>
                <w:highlight w:val="none"/>
                <w:lang w:val="en-GB"/>
              </w:rPr>
            </w:pPr>
            <w:r>
              <w:rPr>
                <w:rFonts w:hint="eastAsia" w:ascii="仿宋" w:hAnsi="仿宋" w:eastAsia="仿宋" w:cs="仿宋"/>
                <w:color w:val="auto"/>
                <w:kern w:val="0"/>
                <w:sz w:val="21"/>
                <w:szCs w:val="21"/>
                <w:highlight w:val="none"/>
                <w:lang w:val="en-GB"/>
              </w:rPr>
              <w:t>根据</w:t>
            </w:r>
            <w:r>
              <w:rPr>
                <w:rFonts w:hint="eastAsia" w:ascii="仿宋" w:hAnsi="仿宋" w:eastAsia="仿宋" w:cs="仿宋"/>
                <w:color w:val="auto"/>
                <w:kern w:val="0"/>
                <w:sz w:val="21"/>
                <w:szCs w:val="21"/>
                <w:highlight w:val="none"/>
              </w:rPr>
              <w:t>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lang w:val="en-GB"/>
              </w:rPr>
              <w:t>拟投入本项目的项目负责人进行评分：</w:t>
            </w:r>
          </w:p>
          <w:p>
            <w:pPr>
              <w:widowControl/>
              <w:jc w:val="left"/>
              <w:rPr>
                <w:rFonts w:hint="eastAsia" w:ascii="仿宋" w:hAnsi="仿宋" w:eastAsia="仿宋" w:cs="仿宋"/>
                <w:color w:val="auto"/>
                <w:kern w:val="0"/>
                <w:sz w:val="21"/>
                <w:szCs w:val="21"/>
                <w:highlight w:val="none"/>
                <w:lang w:val="en-GB"/>
              </w:rPr>
            </w:pPr>
            <w:r>
              <w:rPr>
                <w:rFonts w:hint="eastAsia" w:ascii="仿宋" w:hAnsi="仿宋" w:eastAsia="仿宋" w:cs="仿宋"/>
                <w:color w:val="auto"/>
                <w:kern w:val="0"/>
                <w:sz w:val="21"/>
                <w:szCs w:val="21"/>
                <w:highlight w:val="none"/>
                <w:lang w:val="en-GB"/>
              </w:rPr>
              <w:t>响应供应商需提供至少1名项目负责人，负责项目全流程。</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GB"/>
              </w:rPr>
              <w:t>（所投人员需提供近半年内任意一个月的社保缴纳证明文件复印件，无提供不得分。）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同类业绩</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自2021年1月1日至今，各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rPr>
              <w:t>每提供一份同类业绩</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得</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 xml:space="preserve">2 分，最多得10分。 </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eastAsia="zh-CN"/>
              </w:rPr>
              <w:t>注：</w:t>
            </w:r>
            <w:r>
              <w:rPr>
                <w:rFonts w:hint="eastAsia" w:ascii="仿宋" w:hAnsi="仿宋" w:eastAsia="仿宋" w:cs="仿宋"/>
                <w:color w:val="auto"/>
                <w:kern w:val="0"/>
                <w:sz w:val="21"/>
                <w:szCs w:val="21"/>
                <w:highlight w:val="none"/>
              </w:rPr>
              <w:t>同类业绩证明文件是中标/成交通知书或合同关键页的复印件或扫描件（合同关键页是指包括：①能显示设备名称等相关信息；②签订合同双方的单位名称、合同项目名称；③签订合同双方的签章、盖章及签订日期），无提供不得分。</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售后服务方案</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rPr>
              <w:t>提供的售后服务内容（包括质保期、维护保养方案、应急维修时间、维修的及时性、安排的合理性等）是否完善具体，各阶段服务计划是否详尽进行评分：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售后服务方案（包括质保期、维护保养方案、应急维修时间、维修的及时性、安排的合理性等）详细、具体，完全满足</w:t>
            </w:r>
            <w:r>
              <w:rPr>
                <w:rFonts w:hint="eastAsia" w:ascii="仿宋" w:hAnsi="仿宋" w:eastAsia="仿宋" w:cs="仿宋"/>
                <w:color w:val="auto"/>
                <w:kern w:val="0"/>
                <w:sz w:val="21"/>
                <w:szCs w:val="21"/>
                <w:highlight w:val="none"/>
                <w:lang w:eastAsia="zh-CN"/>
              </w:rPr>
              <w:t>且</w:t>
            </w:r>
            <w:r>
              <w:rPr>
                <w:rFonts w:hint="eastAsia" w:ascii="仿宋" w:hAnsi="仿宋" w:eastAsia="仿宋" w:cs="仿宋"/>
                <w:color w:val="auto"/>
                <w:kern w:val="0"/>
                <w:sz w:val="21"/>
                <w:szCs w:val="21"/>
                <w:highlight w:val="none"/>
              </w:rPr>
              <w:t>优于招标文件要求</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各阶段服务计划</w:t>
            </w:r>
            <w:r>
              <w:rPr>
                <w:rFonts w:hint="eastAsia" w:ascii="仿宋" w:hAnsi="仿宋" w:eastAsia="仿宋" w:cs="仿宋"/>
                <w:color w:val="auto"/>
                <w:kern w:val="0"/>
                <w:sz w:val="21"/>
                <w:szCs w:val="21"/>
                <w:highlight w:val="none"/>
                <w:lang w:eastAsia="zh-CN"/>
              </w:rPr>
              <w:t>周全</w:t>
            </w:r>
            <w:r>
              <w:rPr>
                <w:rFonts w:hint="eastAsia" w:ascii="仿宋" w:hAnsi="仿宋" w:eastAsia="仿宋" w:cs="仿宋"/>
                <w:color w:val="auto"/>
                <w:kern w:val="0"/>
                <w:sz w:val="21"/>
                <w:szCs w:val="21"/>
                <w:highlight w:val="none"/>
              </w:rPr>
              <w:t>详尽，得</w:t>
            </w: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 xml:space="preserve">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售后服务方案（包括质保期、维护保养方案、应急维修时间、维修的及时性、安排的合理性等）基本详细、具体，满足招标文件要求</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各阶段服务计划</w:t>
            </w:r>
            <w:r>
              <w:rPr>
                <w:rFonts w:hint="eastAsia" w:ascii="仿宋" w:hAnsi="仿宋" w:eastAsia="仿宋" w:cs="仿宋"/>
                <w:color w:val="auto"/>
                <w:kern w:val="0"/>
                <w:sz w:val="21"/>
                <w:szCs w:val="21"/>
                <w:highlight w:val="none"/>
                <w:lang w:eastAsia="zh-CN"/>
              </w:rPr>
              <w:t>满足</w:t>
            </w:r>
            <w:r>
              <w:rPr>
                <w:rFonts w:hint="eastAsia" w:ascii="仿宋" w:hAnsi="仿宋" w:eastAsia="仿宋" w:cs="仿宋"/>
                <w:color w:val="auto"/>
                <w:kern w:val="0"/>
                <w:sz w:val="21"/>
                <w:szCs w:val="21"/>
                <w:highlight w:val="none"/>
              </w:rPr>
              <w:t>，得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售后服务方案（包括质保期、维护保养方案、应急维修时间、维修的及时性、安排的合理性等）不详细、具体，基本满足招标文件要求</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各阶段服务计划不</w:t>
            </w:r>
            <w:r>
              <w:rPr>
                <w:rFonts w:hint="eastAsia" w:ascii="仿宋" w:hAnsi="仿宋" w:eastAsia="仿宋" w:cs="仿宋"/>
                <w:color w:val="auto"/>
                <w:kern w:val="0"/>
                <w:sz w:val="21"/>
                <w:szCs w:val="21"/>
                <w:highlight w:val="none"/>
                <w:lang w:eastAsia="zh-CN"/>
              </w:rPr>
              <w:t>完全</w:t>
            </w:r>
            <w:r>
              <w:rPr>
                <w:rFonts w:hint="eastAsia" w:ascii="仿宋" w:hAnsi="仿宋" w:eastAsia="仿宋" w:cs="仿宋"/>
                <w:color w:val="auto"/>
                <w:kern w:val="0"/>
                <w:sz w:val="21"/>
                <w:szCs w:val="21"/>
                <w:highlight w:val="none"/>
              </w:rPr>
              <w:t>齐全，得</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4.无提供不得分。</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报价得分</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报价得分＝（评标基准价/</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报价）×价格分值</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【注：满足</w:t>
            </w:r>
            <w:r>
              <w:rPr>
                <w:rFonts w:hint="eastAsia" w:ascii="仿宋" w:hAnsi="仿宋" w:eastAsia="仿宋" w:cs="仿宋"/>
                <w:color w:val="auto"/>
                <w:kern w:val="0"/>
                <w:sz w:val="21"/>
                <w:szCs w:val="21"/>
                <w:highlight w:val="none"/>
                <w:lang w:eastAsia="zh-CN"/>
              </w:rPr>
              <w:t>比选</w:t>
            </w:r>
            <w:r>
              <w:rPr>
                <w:rFonts w:hint="eastAsia" w:ascii="仿宋" w:hAnsi="仿宋" w:eastAsia="仿宋" w:cs="仿宋"/>
                <w:color w:val="auto"/>
                <w:kern w:val="0"/>
                <w:sz w:val="21"/>
                <w:szCs w:val="21"/>
                <w:highlight w:val="none"/>
              </w:rPr>
              <w:t>文件要求且</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价格最低的</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报价为评标基准价。】最低报价不是</w:t>
            </w:r>
            <w:r>
              <w:rPr>
                <w:rFonts w:hint="eastAsia" w:ascii="仿宋" w:hAnsi="仿宋" w:eastAsia="仿宋" w:cs="仿宋"/>
                <w:color w:val="auto"/>
                <w:kern w:val="0"/>
                <w:sz w:val="21"/>
                <w:szCs w:val="21"/>
                <w:highlight w:val="none"/>
                <w:lang w:eastAsia="zh-CN"/>
              </w:rPr>
              <w:t>成交</w:t>
            </w:r>
            <w:r>
              <w:rPr>
                <w:rFonts w:hint="eastAsia" w:ascii="仿宋" w:hAnsi="仿宋" w:eastAsia="仿宋" w:cs="仿宋"/>
                <w:color w:val="auto"/>
                <w:kern w:val="0"/>
                <w:sz w:val="21"/>
                <w:szCs w:val="21"/>
                <w:highlight w:val="none"/>
              </w:rPr>
              <w:t>的唯一依据。因落实政府采购政策进行价格调整的，以调整后的价格计算评标基准价和</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6" w:name="_Toc202251700"/>
      <w:bookmarkStart w:id="17" w:name="_Toc202820351"/>
      <w:bookmarkStart w:id="18" w:name="_Toc202816996"/>
      <w:bookmarkStart w:id="19" w:name="_Toc202819878"/>
      <w:bookmarkStart w:id="20" w:name="_Toc202254105"/>
      <w:bookmarkStart w:id="21" w:name="_Toc202252034"/>
      <w:bookmarkStart w:id="22" w:name="_Toc202251075"/>
      <w:r>
        <w:rPr>
          <w:rFonts w:hint="eastAsia" w:ascii="仿宋" w:hAnsi="仿宋" w:eastAsia="仿宋" w:cs="仿宋"/>
          <w:b/>
          <w:bCs/>
          <w:color w:val="auto"/>
          <w:sz w:val="28"/>
          <w:szCs w:val="28"/>
          <w:highlight w:val="none"/>
        </w:rPr>
        <w:t>3 资格性文件</w:t>
      </w:r>
      <w:bookmarkEnd w:id="16"/>
      <w:bookmarkEnd w:id="17"/>
      <w:bookmarkEnd w:id="18"/>
      <w:bookmarkEnd w:id="19"/>
      <w:bookmarkEnd w:id="20"/>
      <w:bookmarkEnd w:id="21"/>
      <w:bookmarkEnd w:id="22"/>
    </w:p>
    <w:p>
      <w:pPr>
        <w:pStyle w:val="4"/>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6.我方完全服从贵院采购流程与规定并尊重评委会所作的评定结果，同时清楚理解到报价最低并非意味着必定获得成交资格。</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440" w:lineRule="exact"/>
        <w:ind w:firstLine="729"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028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8240"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8240;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480" w:lineRule="exact"/>
        <w:ind w:firstLine="729"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spacing w:line="480" w:lineRule="exact"/>
        <w:ind w:firstLine="729"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pPr>
        <w:spacing w:line="440" w:lineRule="exact"/>
        <w:ind w:firstLine="745" w:firstLineChars="307"/>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
          <w:bCs/>
          <w:color w:val="auto"/>
          <w:sz w:val="24"/>
          <w:highlight w:val="none"/>
        </w:rPr>
        <w:t>有效期限：必须超出响应文件中标注的响应有效期，自本单位盖公章之日起生效。</w:t>
      </w:r>
    </w:p>
    <w:p>
      <w:pPr>
        <w:spacing w:line="440" w:lineRule="exact"/>
        <w:ind w:firstLine="745" w:firstLineChars="307"/>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6.响应签字代表为法定代表人，则本表不适用。</w:t>
      </w: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59264;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2336;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EGMc/w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1312"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1312;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响应邀请，本签字人愿意参加响应，提供比选文件中规定的货物及服务，并证明提交的下列文件和说明是准确的和真实的。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文件递交截止日一年内银行出具的资信证明（复印件）；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pPr>
        <w:spacing w:line="48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供应商为生产企业:所投产品为第二、三类医疗器械，提供有效的《医疗器械生产许可证》;供应商为经营企业:所投产品 为第三类医疗器械，提供有效的《医疗器械经营许可证》。</w:t>
      </w:r>
    </w:p>
    <w:p>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本项目是专门面向中小企业采购的项目，供应商应为中小微企业。（提供《中小企业声明函》。本项目中小企业划分标准所属行业为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工业</w:t>
      </w:r>
    </w:p>
    <w:p>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8.已在招采办报名。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3" w:name="_Toc202820352"/>
      <w:bookmarkStart w:id="24" w:name="_Toc202251076"/>
      <w:bookmarkStart w:id="25" w:name="_Toc202254106"/>
      <w:bookmarkStart w:id="26" w:name="_Toc202819879"/>
      <w:bookmarkStart w:id="27" w:name="_Toc202252035"/>
      <w:bookmarkStart w:id="28" w:name="_Toc202816997"/>
      <w:bookmarkStart w:id="29" w:name="_Toc202251701"/>
    </w:p>
    <w:p>
      <w:pPr>
        <w:pStyle w:val="3"/>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23"/>
      <w:bookmarkEnd w:id="24"/>
      <w:bookmarkEnd w:id="25"/>
      <w:bookmarkEnd w:id="26"/>
      <w:bookmarkEnd w:id="27"/>
      <w:bookmarkEnd w:id="28"/>
      <w:bookmarkEnd w:id="29"/>
    </w:p>
    <w:p>
      <w:pPr>
        <w:pStyle w:val="4"/>
        <w:spacing w:before="0"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4.1响应供应商综合概况</w:t>
      </w:r>
    </w:p>
    <w:p>
      <w:pPr>
        <w:tabs>
          <w:tab w:val="left" w:pos="180"/>
        </w:tabs>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4.1.1响应供应商情况介绍表</w:t>
      </w: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108"/>
        <w:gridCol w:w="1306"/>
        <w:gridCol w:w="202"/>
        <w:gridCol w:w="1246"/>
        <w:gridCol w:w="228"/>
        <w:gridCol w:w="898"/>
        <w:gridCol w:w="704"/>
        <w:gridCol w:w="262"/>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7172" w:type="dxa"/>
            <w:gridSpan w:val="9"/>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172" w:type="dxa"/>
            <w:gridSpan w:val="9"/>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1108"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w:t>
            </w:r>
          </w:p>
        </w:tc>
        <w:tc>
          <w:tcPr>
            <w:tcW w:w="1474"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108"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1474"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108"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474"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48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tc>
        <w:tc>
          <w:tcPr>
            <w:tcW w:w="7172" w:type="dxa"/>
            <w:gridSpan w:val="9"/>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tc>
        <w:tc>
          <w:tcPr>
            <w:tcW w:w="7172" w:type="dxa"/>
            <w:gridSpan w:val="9"/>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restart"/>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0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306" w:type="dxa"/>
            <w:noWrap w:val="0"/>
            <w:vAlign w:val="top"/>
          </w:tcPr>
          <w:p>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310" w:type="dxa"/>
            <w:gridSpan w:val="5"/>
            <w:noWrap w:val="0"/>
            <w:vAlign w:val="top"/>
          </w:tcPr>
          <w:p>
            <w:pPr>
              <w:tabs>
                <w:tab w:val="left" w:pos="540"/>
              </w:tabs>
              <w:ind w:left="-136" w:leftChars="-64" w:right="-106" w:rightChars="-50" w:firstLine="3088"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306" w:type="dxa"/>
            <w:noWrap w:val="0"/>
            <w:vAlign w:val="top"/>
          </w:tcPr>
          <w:p>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448"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310" w:type="dxa"/>
            <w:gridSpan w:val="5"/>
            <w:noWrap w:val="0"/>
            <w:vAlign w:val="top"/>
          </w:tcPr>
          <w:p>
            <w:pPr>
              <w:tabs>
                <w:tab w:val="left" w:pos="540"/>
              </w:tabs>
              <w:ind w:left="-136" w:leftChars="-64" w:right="-106" w:rightChars="-50" w:firstLine="3088"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vMerge w:val="restart"/>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1306"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净资产</w:t>
            </w:r>
          </w:p>
        </w:tc>
        <w:tc>
          <w:tcPr>
            <w:tcW w:w="1448" w:type="dxa"/>
            <w:gridSpan w:val="2"/>
            <w:noWrap w:val="0"/>
            <w:vAlign w:val="center"/>
          </w:tcPr>
          <w:p>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负债</w:t>
            </w:r>
          </w:p>
        </w:tc>
        <w:tc>
          <w:tcPr>
            <w:tcW w:w="1448" w:type="dxa"/>
            <w:gridSpan w:val="2"/>
            <w:noWrap w:val="0"/>
            <w:vAlign w:val="center"/>
          </w:tcPr>
          <w:p>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67" w:type="dxa"/>
            <w:vMerge w:val="restart"/>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10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306"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主营收入</w:t>
            </w:r>
          </w:p>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收入总额</w:t>
            </w:r>
          </w:p>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12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利润总额（万元）</w:t>
            </w:r>
          </w:p>
        </w:tc>
        <w:tc>
          <w:tcPr>
            <w:tcW w:w="96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净利润（万元）</w:t>
            </w:r>
          </w:p>
        </w:tc>
        <w:tc>
          <w:tcPr>
            <w:tcW w:w="121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67"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bl>
    <w:p>
      <w:pPr>
        <w:pStyle w:val="17"/>
        <w:spacing w:line="360" w:lineRule="auto"/>
        <w:ind w:left="960" w:hanging="972" w:hangingChars="400"/>
        <w:rPr>
          <w:rFonts w:hint="eastAsia"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pPr>
        <w:pStyle w:val="17"/>
        <w:ind w:firstLine="486" w:firstLineChars="200"/>
        <w:rPr>
          <w:rFonts w:hint="eastAsia" w:ascii="仿宋" w:hAnsi="仿宋" w:eastAsia="仿宋" w:cs="仿宋"/>
          <w:color w:val="auto"/>
          <w:kern w:val="2"/>
          <w:szCs w:val="24"/>
          <w:highlight w:val="none"/>
          <w:lang w:val="en-GB"/>
        </w:rPr>
      </w:pPr>
      <w:r>
        <w:rPr>
          <w:rFonts w:hint="eastAsia" w:ascii="仿宋" w:hAnsi="仿宋" w:eastAsia="仿宋" w:cs="仿宋"/>
          <w:bCs w:val="0"/>
          <w:color w:val="auto"/>
          <w:spacing w:val="0"/>
          <w:kern w:val="2"/>
          <w:szCs w:val="24"/>
          <w:highlight w:val="none"/>
          <w:lang w:val="en-GB"/>
        </w:rPr>
        <w:t>2)</w:t>
      </w:r>
      <w:r>
        <w:rPr>
          <w:rFonts w:hint="eastAsia" w:ascii="仿宋" w:hAnsi="仿宋" w:eastAsia="仿宋" w:cs="仿宋"/>
          <w:color w:val="auto"/>
          <w:kern w:val="2"/>
          <w:szCs w:val="24"/>
          <w:highlight w:val="none"/>
          <w:lang w:val="en-GB"/>
        </w:rPr>
        <w:t>如响应供应商此表数据有虚假，一经查实，自行承担相关责任。</w:t>
      </w:r>
    </w:p>
    <w:p>
      <w:pPr>
        <w:pStyle w:val="17"/>
        <w:rPr>
          <w:rFonts w:hint="eastAsia" w:ascii="仿宋" w:hAnsi="仿宋" w:eastAsia="仿宋" w:cs="仿宋"/>
          <w:color w:val="auto"/>
          <w:kern w:val="2"/>
          <w:szCs w:val="24"/>
          <w:highlight w:val="none"/>
          <w:lang w:val="en-GB"/>
        </w:rPr>
      </w:pPr>
    </w:p>
    <w:p>
      <w:pPr>
        <w:pStyle w:val="17"/>
        <w:ind w:firstLine="526" w:firstLineChars="200"/>
        <w:rPr>
          <w:rFonts w:hint="eastAsia" w:ascii="仿宋" w:hAnsi="仿宋" w:eastAsia="仿宋" w:cs="仿宋"/>
          <w:color w:val="auto"/>
          <w:kern w:val="2"/>
          <w:szCs w:val="24"/>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pStyle w:val="17"/>
        <w:ind w:firstLine="526" w:firstLineChars="200"/>
        <w:rPr>
          <w:rFonts w:hint="eastAsia" w:ascii="仿宋" w:hAnsi="仿宋" w:eastAsia="仿宋" w:cs="仿宋"/>
          <w:color w:val="auto"/>
          <w:kern w:val="2"/>
          <w:szCs w:val="24"/>
          <w:highlight w:val="none"/>
          <w:lang w:val="en-GB"/>
        </w:rPr>
      </w:pPr>
    </w:p>
    <w:p>
      <w:pPr>
        <w:pStyle w:val="17"/>
        <w:rPr>
          <w:rFonts w:ascii="仿宋" w:hAnsi="仿宋" w:eastAsia="仿宋" w:cs="仿宋"/>
          <w:b/>
          <w:color w:val="auto"/>
          <w:highlight w:val="none"/>
        </w:rPr>
      </w:pPr>
    </w:p>
    <w:p>
      <w:pPr>
        <w:tabs>
          <w:tab w:val="left" w:pos="540"/>
        </w:tabs>
        <w:spacing w:line="400" w:lineRule="exact"/>
        <w:rPr>
          <w:rFonts w:hint="eastAsia" w:ascii="仿宋" w:hAnsi="仿宋" w:eastAsia="仿宋" w:cs="仿宋"/>
          <w:b/>
          <w:color w:val="auto"/>
          <w:sz w:val="24"/>
          <w:highlight w:val="none"/>
        </w:rPr>
      </w:pPr>
      <w:r>
        <w:rPr>
          <w:rFonts w:ascii="仿宋" w:hAnsi="仿宋" w:eastAsia="仿宋" w:cs="仿宋"/>
          <w:b/>
          <w:color w:val="auto"/>
          <w:sz w:val="24"/>
          <w:highlight w:val="none"/>
        </w:rPr>
        <w:br w:type="page"/>
      </w: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numPr>
          <w:ilvl w:val="0"/>
          <w:numId w:val="0"/>
        </w:numPr>
        <w:rPr>
          <w:rFonts w:hint="eastAsia" w:ascii="仿宋" w:hAnsi="仿宋" w:eastAsia="仿宋" w:cs="仿宋"/>
          <w:color w:val="auto"/>
          <w:sz w:val="24"/>
          <w:highlight w:val="none"/>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企业名称），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企业名称），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pStyle w:val="8"/>
        <w:rPr>
          <w:rFonts w:hint="eastAsia" w:ascii="仿宋" w:hAnsi="仿宋" w:eastAsia="仿宋" w:cs="仿宋"/>
          <w:color w:val="auto"/>
          <w:sz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企业名称），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企业名称），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企业名称（盖章）：__________________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rFonts w:hint="default"/>
          <w:color w:val="auto"/>
          <w:highlight w:val="none"/>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spacing w:line="380" w:lineRule="exact"/>
              <w:jc w:val="center"/>
              <w:rPr>
                <w:rFonts w:hint="eastAsia" w:ascii="仿宋" w:hAnsi="仿宋" w:eastAsia="仿宋" w:cs="仿宋"/>
                <w:color w:val="auto"/>
                <w:sz w:val="21"/>
                <w:szCs w:val="21"/>
                <w:highlight w:val="none"/>
                <w:lang w:val="en-US" w:eastAsia="zh-CN"/>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jc w:val="center"/>
              <w:rPr>
                <w:rFonts w:hint="eastAsia" w:ascii="仿宋" w:hAnsi="仿宋" w:eastAsia="仿宋" w:cs="仿宋"/>
                <w:color w:val="auto"/>
                <w:sz w:val="21"/>
                <w:szCs w:val="21"/>
                <w:highlight w:val="none"/>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4"/>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3"/>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eastAsia" w:ascii="仿宋" w:hAnsi="仿宋" w:eastAsia="仿宋" w:cs="仿宋"/>
                <w:color w:val="auto"/>
                <w:szCs w:val="21"/>
                <w:highlight w:val="none"/>
              </w:rPr>
            </w:pPr>
          </w:p>
        </w:tc>
        <w:tc>
          <w:tcPr>
            <w:tcW w:w="6650" w:type="dxa"/>
            <w:gridSpan w:val="3"/>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30" w:name="_Toc202820353"/>
      <w:bookmarkStart w:id="31" w:name="_Toc202251702"/>
      <w:bookmarkStart w:id="32" w:name="_Toc202254107"/>
      <w:bookmarkStart w:id="33" w:name="_Toc202251077"/>
      <w:bookmarkStart w:id="34" w:name="_Toc202819880"/>
      <w:bookmarkStart w:id="35" w:name="_Toc202816998"/>
      <w:bookmarkStart w:id="36" w:name="_Toc202252036"/>
      <w:r>
        <w:rPr>
          <w:rFonts w:hint="eastAsia"/>
          <w:color w:val="auto"/>
          <w:highlight w:val="none"/>
        </w:rPr>
        <w:br w:type="page"/>
      </w:r>
    </w:p>
    <w:p>
      <w:pPr>
        <w:tabs>
          <w:tab w:val="left" w:pos="540"/>
        </w:tabs>
        <w:outlineLvl w:val="1"/>
        <w:rPr>
          <w:rFonts w:hint="eastAsia" w:ascii="仿宋" w:hAnsi="仿宋" w:eastAsia="仿宋" w:cs="仿宋"/>
          <w:b/>
          <w:color w:val="auto"/>
          <w:sz w:val="24"/>
          <w:highlight w:val="none"/>
        </w:rPr>
      </w:pPr>
      <w:bookmarkStart w:id="37"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37"/>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pStyle w:val="19"/>
              <w:rPr>
                <w:rFonts w:hint="eastAsia" w:ascii="仿宋" w:hAnsi="仿宋" w:eastAsia="仿宋" w:cs="仿宋"/>
                <w:color w:val="auto"/>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pStyle w:val="8"/>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30"/>
      <w:bookmarkEnd w:id="31"/>
      <w:bookmarkEnd w:id="32"/>
      <w:bookmarkEnd w:id="33"/>
      <w:bookmarkEnd w:id="34"/>
      <w:bookmarkEnd w:id="35"/>
      <w:bookmarkEnd w:id="36"/>
    </w:p>
    <w:p>
      <w:pPr>
        <w:pStyle w:val="9"/>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8"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8"/>
      <w:r>
        <w:rPr>
          <w:rFonts w:hint="eastAsia" w:ascii="仿宋" w:hAnsi="仿宋" w:eastAsia="仿宋" w:cs="仿宋"/>
          <w:b/>
          <w:color w:val="auto"/>
          <w:sz w:val="24"/>
          <w:highlight w:val="none"/>
        </w:rPr>
        <w:t>响应表（单页填写）</w:t>
      </w:r>
    </w:p>
    <w:p>
      <w:pPr>
        <w:pStyle w:val="9"/>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3"/>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center"/>
          </w:tcPr>
          <w:p>
            <w:pPr>
              <w:adjustRightInd w:val="0"/>
              <w:snapToGrid w:val="0"/>
              <w:spacing w:line="360" w:lineRule="auto"/>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spacing w:line="20" w:lineRule="atLeast"/>
              <w:jc w:val="center"/>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1"/>
                <w:szCs w:val="21"/>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9"/>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9"/>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3"/>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8"/>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8"/>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8"/>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hint="eastAsia" w:ascii="仿宋" w:hAnsi="仿宋" w:eastAsia="仿宋" w:cs="仿宋"/>
          <w:color w:val="auto"/>
          <w:spacing w:val="20"/>
          <w:szCs w:val="21"/>
          <w:highlight w:val="none"/>
        </w:rPr>
      </w:pPr>
    </w:p>
    <w:tbl>
      <w:tblPr>
        <w:tblStyle w:val="13"/>
        <w:tblW w:w="8750" w:type="dxa"/>
        <w:jc w:val="center"/>
        <w:tblLayout w:type="fixed"/>
        <w:tblCellMar>
          <w:top w:w="0" w:type="dxa"/>
          <w:left w:w="108" w:type="dxa"/>
          <w:bottom w:w="0" w:type="dxa"/>
          <w:right w:w="108" w:type="dxa"/>
        </w:tblCellMar>
      </w:tblPr>
      <w:tblGrid>
        <w:gridCol w:w="771"/>
        <w:gridCol w:w="1692"/>
        <w:gridCol w:w="1728"/>
        <w:gridCol w:w="708"/>
        <w:gridCol w:w="672"/>
        <w:gridCol w:w="1056"/>
        <w:gridCol w:w="1104"/>
        <w:gridCol w:w="1019"/>
      </w:tblGrid>
      <w:tr>
        <w:tblPrEx>
          <w:tblCellMar>
            <w:top w:w="0" w:type="dxa"/>
            <w:left w:w="108" w:type="dxa"/>
            <w:bottom w:w="0" w:type="dxa"/>
            <w:right w:w="108" w:type="dxa"/>
          </w:tblCellMar>
        </w:tblPrEx>
        <w:trPr>
          <w:trHeight w:val="6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金额（元）</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制造商</w:t>
            </w:r>
          </w:p>
        </w:tc>
      </w:tr>
      <w:tr>
        <w:tblPrEx>
          <w:tblCellMar>
            <w:top w:w="0" w:type="dxa"/>
            <w:left w:w="108" w:type="dxa"/>
            <w:bottom w:w="0" w:type="dxa"/>
            <w:right w:w="108" w:type="dxa"/>
          </w:tblCellMar>
        </w:tblPrEx>
        <w:trPr>
          <w:trHeight w:val="50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56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431"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431" w:hRule="atLeast"/>
          <w:jc w:val="center"/>
        </w:trPr>
        <w:tc>
          <w:tcPr>
            <w:tcW w:w="87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合计</w:t>
            </w: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p>
      <w:pPr>
        <w:rPr>
          <w:b/>
          <w:bCs/>
          <w:color w:val="auto"/>
          <w:highlight w:val="none"/>
        </w:rPr>
      </w:pPr>
    </w:p>
    <w:p>
      <w:pPr>
        <w:rPr>
          <w:color w:val="auto"/>
          <w:highlight w:val="none"/>
        </w:rPr>
      </w:pPr>
    </w:p>
    <w:p>
      <w:pPr>
        <w:rPr>
          <w:color w:val="auto"/>
          <w:highlight w:val="none"/>
        </w:rPr>
      </w:pPr>
      <w:bookmarkStart w:id="39" w:name="_GoBack"/>
      <w:bookmarkEnd w:id="39"/>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882F9"/>
    <w:multiLevelType w:val="singleLevel"/>
    <w:tmpl w:val="811882F9"/>
    <w:lvl w:ilvl="0" w:tentative="0">
      <w:start w:val="1"/>
      <w:numFmt w:val="decimal"/>
      <w:lvlText w:val="%1."/>
      <w:lvlJc w:val="left"/>
      <w:pPr>
        <w:tabs>
          <w:tab w:val="left" w:pos="312"/>
        </w:tabs>
      </w:pPr>
    </w:lvl>
  </w:abstractNum>
  <w:abstractNum w:abstractNumId="1">
    <w:nsid w:val="81253407"/>
    <w:multiLevelType w:val="singleLevel"/>
    <w:tmpl w:val="81253407"/>
    <w:lvl w:ilvl="0" w:tentative="0">
      <w:start w:val="1"/>
      <w:numFmt w:val="decimal"/>
      <w:lvlText w:val="%1."/>
      <w:lvlJc w:val="left"/>
      <w:pPr>
        <w:tabs>
          <w:tab w:val="left" w:pos="312"/>
        </w:tabs>
      </w:pPr>
    </w:lvl>
  </w:abstractNum>
  <w:abstractNum w:abstractNumId="2">
    <w:nsid w:val="8E4772E5"/>
    <w:multiLevelType w:val="singleLevel"/>
    <w:tmpl w:val="8E4772E5"/>
    <w:lvl w:ilvl="0" w:tentative="0">
      <w:start w:val="1"/>
      <w:numFmt w:val="decimal"/>
      <w:lvlText w:val="%1."/>
      <w:lvlJc w:val="left"/>
      <w:pPr>
        <w:tabs>
          <w:tab w:val="left" w:pos="312"/>
        </w:tabs>
      </w:pPr>
    </w:lvl>
  </w:abstractNum>
  <w:abstractNum w:abstractNumId="3">
    <w:nsid w:val="9B3F8774"/>
    <w:multiLevelType w:val="singleLevel"/>
    <w:tmpl w:val="9B3F8774"/>
    <w:lvl w:ilvl="0" w:tentative="0">
      <w:start w:val="1"/>
      <w:numFmt w:val="decimal"/>
      <w:lvlText w:val="%1."/>
      <w:lvlJc w:val="left"/>
      <w:pPr>
        <w:tabs>
          <w:tab w:val="left" w:pos="312"/>
        </w:tabs>
      </w:pPr>
    </w:lvl>
  </w:abstractNum>
  <w:abstractNum w:abstractNumId="4">
    <w:nsid w:val="A245C8E2"/>
    <w:multiLevelType w:val="singleLevel"/>
    <w:tmpl w:val="A245C8E2"/>
    <w:lvl w:ilvl="0" w:tentative="0">
      <w:start w:val="1"/>
      <w:numFmt w:val="decimal"/>
      <w:lvlText w:val="%1."/>
      <w:lvlJc w:val="left"/>
      <w:pPr>
        <w:tabs>
          <w:tab w:val="left" w:pos="312"/>
        </w:tabs>
      </w:pPr>
    </w:lvl>
  </w:abstractNum>
  <w:abstractNum w:abstractNumId="5">
    <w:nsid w:val="C140C2CC"/>
    <w:multiLevelType w:val="singleLevel"/>
    <w:tmpl w:val="C140C2CC"/>
    <w:lvl w:ilvl="0" w:tentative="0">
      <w:start w:val="1"/>
      <w:numFmt w:val="chineseCounting"/>
      <w:suff w:val="nothing"/>
      <w:lvlText w:val="%1、"/>
      <w:lvlJc w:val="left"/>
      <w:rPr>
        <w:rFonts w:hint="eastAsia"/>
      </w:rPr>
    </w:lvl>
  </w:abstractNum>
  <w:abstractNum w:abstractNumId="6">
    <w:nsid w:val="C93A8B12"/>
    <w:multiLevelType w:val="singleLevel"/>
    <w:tmpl w:val="C93A8B12"/>
    <w:lvl w:ilvl="0" w:tentative="0">
      <w:start w:val="1"/>
      <w:numFmt w:val="decimal"/>
      <w:lvlText w:val="%1."/>
      <w:lvlJc w:val="left"/>
      <w:pPr>
        <w:tabs>
          <w:tab w:val="left" w:pos="312"/>
        </w:tabs>
      </w:pPr>
    </w:lvl>
  </w:abstractNum>
  <w:abstractNum w:abstractNumId="7">
    <w:nsid w:val="CC6A04C6"/>
    <w:multiLevelType w:val="singleLevel"/>
    <w:tmpl w:val="CC6A04C6"/>
    <w:lvl w:ilvl="0" w:tentative="0">
      <w:start w:val="1"/>
      <w:numFmt w:val="decimal"/>
      <w:lvlText w:val="%1."/>
      <w:lvlJc w:val="left"/>
      <w:pPr>
        <w:tabs>
          <w:tab w:val="left" w:pos="312"/>
        </w:tabs>
      </w:pPr>
    </w:lvl>
  </w:abstractNum>
  <w:abstractNum w:abstractNumId="8">
    <w:nsid w:val="D1C9B253"/>
    <w:multiLevelType w:val="singleLevel"/>
    <w:tmpl w:val="D1C9B253"/>
    <w:lvl w:ilvl="0" w:tentative="0">
      <w:start w:val="1"/>
      <w:numFmt w:val="decimal"/>
      <w:lvlText w:val="%1."/>
      <w:lvlJc w:val="left"/>
      <w:pPr>
        <w:tabs>
          <w:tab w:val="left" w:pos="312"/>
        </w:tabs>
      </w:pPr>
    </w:lvl>
  </w:abstractNum>
  <w:abstractNum w:abstractNumId="9">
    <w:nsid w:val="D4D3ED32"/>
    <w:multiLevelType w:val="singleLevel"/>
    <w:tmpl w:val="D4D3ED32"/>
    <w:lvl w:ilvl="0" w:tentative="0">
      <w:start w:val="1"/>
      <w:numFmt w:val="decimal"/>
      <w:lvlText w:val="%1."/>
      <w:lvlJc w:val="left"/>
      <w:pPr>
        <w:tabs>
          <w:tab w:val="left" w:pos="312"/>
        </w:tabs>
      </w:pPr>
    </w:lvl>
  </w:abstractNum>
  <w:abstractNum w:abstractNumId="10">
    <w:nsid w:val="E1E63AE9"/>
    <w:multiLevelType w:val="singleLevel"/>
    <w:tmpl w:val="E1E63AE9"/>
    <w:lvl w:ilvl="0" w:tentative="0">
      <w:start w:val="1"/>
      <w:numFmt w:val="decimal"/>
      <w:lvlText w:val="%1."/>
      <w:lvlJc w:val="left"/>
      <w:pPr>
        <w:tabs>
          <w:tab w:val="left" w:pos="312"/>
        </w:tabs>
      </w:pPr>
    </w:lvl>
  </w:abstractNum>
  <w:abstractNum w:abstractNumId="11">
    <w:nsid w:val="E41F01D2"/>
    <w:multiLevelType w:val="singleLevel"/>
    <w:tmpl w:val="E41F01D2"/>
    <w:lvl w:ilvl="0" w:tentative="0">
      <w:start w:val="1"/>
      <w:numFmt w:val="decimal"/>
      <w:lvlText w:val="%1."/>
      <w:lvlJc w:val="left"/>
      <w:pPr>
        <w:tabs>
          <w:tab w:val="left" w:pos="312"/>
        </w:tabs>
      </w:pPr>
    </w:lvl>
  </w:abstractNum>
  <w:abstractNum w:abstractNumId="12">
    <w:nsid w:val="E92D5EEE"/>
    <w:multiLevelType w:val="singleLevel"/>
    <w:tmpl w:val="E92D5EEE"/>
    <w:lvl w:ilvl="0" w:tentative="0">
      <w:start w:val="1"/>
      <w:numFmt w:val="decimal"/>
      <w:lvlText w:val="%1."/>
      <w:lvlJc w:val="left"/>
      <w:pPr>
        <w:tabs>
          <w:tab w:val="left" w:pos="312"/>
        </w:tabs>
      </w:pPr>
    </w:lvl>
  </w:abstractNum>
  <w:abstractNum w:abstractNumId="13">
    <w:nsid w:val="FB0337ED"/>
    <w:multiLevelType w:val="singleLevel"/>
    <w:tmpl w:val="FB0337ED"/>
    <w:lvl w:ilvl="0" w:tentative="0">
      <w:start w:val="1"/>
      <w:numFmt w:val="decimal"/>
      <w:lvlText w:val="%1."/>
      <w:lvlJc w:val="left"/>
      <w:pPr>
        <w:tabs>
          <w:tab w:val="left" w:pos="312"/>
        </w:tabs>
      </w:pPr>
    </w:lvl>
  </w:abstractNum>
  <w:abstractNum w:abstractNumId="14">
    <w:nsid w:val="051C87AE"/>
    <w:multiLevelType w:val="singleLevel"/>
    <w:tmpl w:val="051C87AE"/>
    <w:lvl w:ilvl="0" w:tentative="0">
      <w:start w:val="1"/>
      <w:numFmt w:val="decimal"/>
      <w:lvlText w:val="%1."/>
      <w:lvlJc w:val="left"/>
      <w:pPr>
        <w:tabs>
          <w:tab w:val="left" w:pos="312"/>
        </w:tabs>
      </w:pPr>
    </w:lvl>
  </w:abstractNum>
  <w:abstractNum w:abstractNumId="15">
    <w:nsid w:val="06016A29"/>
    <w:multiLevelType w:val="singleLevel"/>
    <w:tmpl w:val="06016A29"/>
    <w:lvl w:ilvl="0" w:tentative="0">
      <w:start w:val="4"/>
      <w:numFmt w:val="chineseCounting"/>
      <w:suff w:val="nothing"/>
      <w:lvlText w:val="%1、"/>
      <w:lvlJc w:val="left"/>
      <w:rPr>
        <w:rFonts w:hint="eastAsia"/>
      </w:rPr>
    </w:lvl>
  </w:abstractNum>
  <w:abstractNum w:abstractNumId="16">
    <w:nsid w:val="07AC4FCA"/>
    <w:multiLevelType w:val="singleLevel"/>
    <w:tmpl w:val="07AC4FCA"/>
    <w:lvl w:ilvl="0" w:tentative="0">
      <w:start w:val="1"/>
      <w:numFmt w:val="decimal"/>
      <w:lvlText w:val="%1."/>
      <w:lvlJc w:val="left"/>
      <w:pPr>
        <w:tabs>
          <w:tab w:val="left" w:pos="312"/>
        </w:tabs>
      </w:pPr>
    </w:lvl>
  </w:abstractNum>
  <w:abstractNum w:abstractNumId="17">
    <w:nsid w:val="08A9BB30"/>
    <w:multiLevelType w:val="singleLevel"/>
    <w:tmpl w:val="08A9BB30"/>
    <w:lvl w:ilvl="0" w:tentative="0">
      <w:start w:val="12"/>
      <w:numFmt w:val="chineseCounting"/>
      <w:suff w:val="nothing"/>
      <w:lvlText w:val="%1、"/>
      <w:lvlJc w:val="left"/>
      <w:rPr>
        <w:rFonts w:hint="eastAsia"/>
      </w:rPr>
    </w:lvl>
  </w:abstractNum>
  <w:abstractNum w:abstractNumId="18">
    <w:nsid w:val="1CFA474F"/>
    <w:multiLevelType w:val="singleLevel"/>
    <w:tmpl w:val="1CFA474F"/>
    <w:lvl w:ilvl="0" w:tentative="0">
      <w:start w:val="1"/>
      <w:numFmt w:val="decimal"/>
      <w:lvlText w:val="%1."/>
      <w:lvlJc w:val="left"/>
      <w:pPr>
        <w:tabs>
          <w:tab w:val="left" w:pos="312"/>
        </w:tabs>
      </w:pPr>
    </w:lvl>
  </w:abstractNum>
  <w:abstractNum w:abstractNumId="19">
    <w:nsid w:val="1F6C2108"/>
    <w:multiLevelType w:val="singleLevel"/>
    <w:tmpl w:val="1F6C2108"/>
    <w:lvl w:ilvl="0" w:tentative="0">
      <w:start w:val="1"/>
      <w:numFmt w:val="decimal"/>
      <w:lvlText w:val="%1."/>
      <w:lvlJc w:val="left"/>
      <w:pPr>
        <w:tabs>
          <w:tab w:val="left" w:pos="312"/>
        </w:tabs>
      </w:pPr>
    </w:lvl>
  </w:abstractNum>
  <w:abstractNum w:abstractNumId="20">
    <w:nsid w:val="21CC0F38"/>
    <w:multiLevelType w:val="singleLevel"/>
    <w:tmpl w:val="21CC0F38"/>
    <w:lvl w:ilvl="0" w:tentative="0">
      <w:start w:val="1"/>
      <w:numFmt w:val="decimal"/>
      <w:lvlText w:val="%1."/>
      <w:lvlJc w:val="left"/>
      <w:pPr>
        <w:tabs>
          <w:tab w:val="left" w:pos="312"/>
        </w:tabs>
      </w:pPr>
    </w:lvl>
  </w:abstractNum>
  <w:abstractNum w:abstractNumId="21">
    <w:nsid w:val="25EE8BA3"/>
    <w:multiLevelType w:val="singleLevel"/>
    <w:tmpl w:val="25EE8BA3"/>
    <w:lvl w:ilvl="0" w:tentative="0">
      <w:start w:val="1"/>
      <w:numFmt w:val="decimal"/>
      <w:suff w:val="nothing"/>
      <w:lvlText w:val="%1，"/>
      <w:lvlJc w:val="left"/>
    </w:lvl>
  </w:abstractNum>
  <w:abstractNum w:abstractNumId="22">
    <w:nsid w:val="298BDC3D"/>
    <w:multiLevelType w:val="singleLevel"/>
    <w:tmpl w:val="298BDC3D"/>
    <w:lvl w:ilvl="0" w:tentative="0">
      <w:start w:val="1"/>
      <w:numFmt w:val="decimal"/>
      <w:lvlText w:val="%1."/>
      <w:lvlJc w:val="left"/>
      <w:pPr>
        <w:tabs>
          <w:tab w:val="left" w:pos="312"/>
        </w:tabs>
      </w:pPr>
    </w:lvl>
  </w:abstractNum>
  <w:abstractNum w:abstractNumId="23">
    <w:nsid w:val="2A37A4D4"/>
    <w:multiLevelType w:val="singleLevel"/>
    <w:tmpl w:val="2A37A4D4"/>
    <w:lvl w:ilvl="0" w:tentative="0">
      <w:start w:val="1"/>
      <w:numFmt w:val="decimal"/>
      <w:lvlText w:val="%1."/>
      <w:lvlJc w:val="left"/>
      <w:pPr>
        <w:tabs>
          <w:tab w:val="left" w:pos="312"/>
        </w:tabs>
      </w:pPr>
    </w:lvl>
  </w:abstractNum>
  <w:abstractNum w:abstractNumId="24">
    <w:nsid w:val="2D0B1851"/>
    <w:multiLevelType w:val="singleLevel"/>
    <w:tmpl w:val="2D0B1851"/>
    <w:lvl w:ilvl="0" w:tentative="0">
      <w:start w:val="1"/>
      <w:numFmt w:val="decimal"/>
      <w:lvlText w:val="%1."/>
      <w:lvlJc w:val="left"/>
      <w:pPr>
        <w:tabs>
          <w:tab w:val="left" w:pos="312"/>
        </w:tabs>
      </w:pPr>
    </w:lvl>
  </w:abstractNum>
  <w:abstractNum w:abstractNumId="25">
    <w:nsid w:val="2D2158BA"/>
    <w:multiLevelType w:val="singleLevel"/>
    <w:tmpl w:val="2D2158BA"/>
    <w:lvl w:ilvl="0" w:tentative="0">
      <w:start w:val="1"/>
      <w:numFmt w:val="decimal"/>
      <w:lvlText w:val="%1."/>
      <w:lvlJc w:val="left"/>
      <w:pPr>
        <w:tabs>
          <w:tab w:val="left" w:pos="312"/>
        </w:tabs>
      </w:pPr>
    </w:lvl>
  </w:abstractNum>
  <w:abstractNum w:abstractNumId="26">
    <w:nsid w:val="346EEFF3"/>
    <w:multiLevelType w:val="singleLevel"/>
    <w:tmpl w:val="346EEFF3"/>
    <w:lvl w:ilvl="0" w:tentative="0">
      <w:start w:val="1"/>
      <w:numFmt w:val="decimal"/>
      <w:lvlText w:val="%1."/>
      <w:lvlJc w:val="left"/>
      <w:pPr>
        <w:tabs>
          <w:tab w:val="left" w:pos="312"/>
        </w:tabs>
      </w:pPr>
    </w:lvl>
  </w:abstractNum>
  <w:abstractNum w:abstractNumId="27">
    <w:nsid w:val="569C8C25"/>
    <w:multiLevelType w:val="singleLevel"/>
    <w:tmpl w:val="569C8C25"/>
    <w:lvl w:ilvl="0" w:tentative="0">
      <w:start w:val="1"/>
      <w:numFmt w:val="chineseCounting"/>
      <w:suff w:val="nothing"/>
      <w:lvlText w:val="%1、"/>
      <w:lvlJc w:val="left"/>
    </w:lvl>
  </w:abstractNum>
  <w:abstractNum w:abstractNumId="28">
    <w:nsid w:val="7AC48AC1"/>
    <w:multiLevelType w:val="singleLevel"/>
    <w:tmpl w:val="7AC48AC1"/>
    <w:lvl w:ilvl="0" w:tentative="0">
      <w:start w:val="1"/>
      <w:numFmt w:val="decimal"/>
      <w:lvlText w:val="%1."/>
      <w:lvlJc w:val="left"/>
      <w:pPr>
        <w:tabs>
          <w:tab w:val="left" w:pos="312"/>
        </w:tabs>
      </w:pPr>
    </w:lvl>
  </w:abstractNum>
  <w:abstractNum w:abstractNumId="29">
    <w:nsid w:val="7B9F7055"/>
    <w:multiLevelType w:val="singleLevel"/>
    <w:tmpl w:val="7B9F7055"/>
    <w:lvl w:ilvl="0" w:tentative="0">
      <w:start w:val="1"/>
      <w:numFmt w:val="decimal"/>
      <w:lvlText w:val="%1."/>
      <w:lvlJc w:val="left"/>
      <w:pPr>
        <w:tabs>
          <w:tab w:val="left" w:pos="312"/>
        </w:tabs>
      </w:pPr>
    </w:lvl>
  </w:abstractNum>
  <w:abstractNum w:abstractNumId="30">
    <w:nsid w:val="7EE67D34"/>
    <w:multiLevelType w:val="singleLevel"/>
    <w:tmpl w:val="7EE67D34"/>
    <w:lvl w:ilvl="0" w:tentative="0">
      <w:start w:val="1"/>
      <w:numFmt w:val="decimal"/>
      <w:lvlText w:val="%1."/>
      <w:lvlJc w:val="left"/>
      <w:pPr>
        <w:tabs>
          <w:tab w:val="left" w:pos="312"/>
        </w:tabs>
      </w:pPr>
    </w:lvl>
  </w:abstractNum>
  <w:num w:numId="1">
    <w:abstractNumId w:val="27"/>
  </w:num>
  <w:num w:numId="2">
    <w:abstractNumId w:val="15"/>
  </w:num>
  <w:num w:numId="3">
    <w:abstractNumId w:val="8"/>
  </w:num>
  <w:num w:numId="4">
    <w:abstractNumId w:val="20"/>
  </w:num>
  <w:num w:numId="5">
    <w:abstractNumId w:val="10"/>
  </w:num>
  <w:num w:numId="6">
    <w:abstractNumId w:val="4"/>
  </w:num>
  <w:num w:numId="7">
    <w:abstractNumId w:val="16"/>
  </w:num>
  <w:num w:numId="8">
    <w:abstractNumId w:val="28"/>
  </w:num>
  <w:num w:numId="9">
    <w:abstractNumId w:val="19"/>
  </w:num>
  <w:num w:numId="10">
    <w:abstractNumId w:val="7"/>
  </w:num>
  <w:num w:numId="11">
    <w:abstractNumId w:val="2"/>
  </w:num>
  <w:num w:numId="12">
    <w:abstractNumId w:val="14"/>
  </w:num>
  <w:num w:numId="13">
    <w:abstractNumId w:val="26"/>
  </w:num>
  <w:num w:numId="14">
    <w:abstractNumId w:val="13"/>
  </w:num>
  <w:num w:numId="15">
    <w:abstractNumId w:val="29"/>
  </w:num>
  <w:num w:numId="16">
    <w:abstractNumId w:val="12"/>
  </w:num>
  <w:num w:numId="17">
    <w:abstractNumId w:val="30"/>
  </w:num>
  <w:num w:numId="18">
    <w:abstractNumId w:val="0"/>
  </w:num>
  <w:num w:numId="19">
    <w:abstractNumId w:val="11"/>
  </w:num>
  <w:num w:numId="20">
    <w:abstractNumId w:val="1"/>
  </w:num>
  <w:num w:numId="21">
    <w:abstractNumId w:val="25"/>
  </w:num>
  <w:num w:numId="22">
    <w:abstractNumId w:val="24"/>
  </w:num>
  <w:num w:numId="23">
    <w:abstractNumId w:val="22"/>
  </w:num>
  <w:num w:numId="24">
    <w:abstractNumId w:val="3"/>
  </w:num>
  <w:num w:numId="25">
    <w:abstractNumId w:val="18"/>
  </w:num>
  <w:num w:numId="26">
    <w:abstractNumId w:val="21"/>
  </w:num>
  <w:num w:numId="27">
    <w:abstractNumId w:val="9"/>
  </w:num>
  <w:num w:numId="28">
    <w:abstractNumId w:val="6"/>
  </w:num>
  <w:num w:numId="29">
    <w:abstractNumId w:val="23"/>
  </w:num>
  <w:num w:numId="30">
    <w:abstractNumId w:val="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F4D49"/>
    <w:rsid w:val="0CF27BF6"/>
    <w:rsid w:val="1533571F"/>
    <w:rsid w:val="1C812E58"/>
    <w:rsid w:val="3445500F"/>
    <w:rsid w:val="3BD40273"/>
    <w:rsid w:val="46C24FEB"/>
    <w:rsid w:val="47BB65FE"/>
    <w:rsid w:val="4AFE297E"/>
    <w:rsid w:val="4D171EA6"/>
    <w:rsid w:val="51B722BD"/>
    <w:rsid w:val="7B112942"/>
    <w:rsid w:val="7C5D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customStyle="1" w:styleId="2">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styleId="5">
    <w:name w:val="caption"/>
    <w:basedOn w:val="1"/>
    <w:next w:val="1"/>
    <w:qFormat/>
    <w:uiPriority w:val="0"/>
    <w:rPr>
      <w:rFonts w:ascii="Cambria" w:hAnsi="Cambria" w:eastAsia="黑体" w:cs="Times New Roman"/>
      <w:sz w:val="20"/>
      <w:szCs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Body Text"/>
    <w:basedOn w:val="1"/>
    <w:next w:val="1"/>
    <w:qFormat/>
    <w:uiPriority w:val="0"/>
    <w:pPr>
      <w:spacing w:after="12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style>
  <w:style w:type="paragraph" w:customStyle="1" w:styleId="15">
    <w:name w:val="列出段落1"/>
    <w:basedOn w:val="1"/>
    <w:qFormat/>
    <w:uiPriority w:val="0"/>
    <w:pPr>
      <w:ind w:firstLine="420" w:firstLineChars="200"/>
    </w:pPr>
    <w:rPr>
      <w:rFonts w:ascii="Calibri" w:hAnsi="Calibri" w:eastAsia="宋体" w:cs="Times New Roman"/>
    </w:rPr>
  </w:style>
  <w:style w:type="paragraph" w:customStyle="1" w:styleId="16">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17">
    <w:name w:val="表格文字"/>
    <w:basedOn w:val="1"/>
    <w:qFormat/>
    <w:uiPriority w:val="0"/>
    <w:pPr>
      <w:spacing w:before="25" w:after="25"/>
      <w:jc w:val="left"/>
    </w:pPr>
    <w:rPr>
      <w:bCs/>
      <w:spacing w:val="10"/>
      <w:kern w:val="0"/>
      <w:sz w:val="24"/>
      <w:szCs w:val="20"/>
    </w:rPr>
  </w:style>
  <w:style w:type="paragraph" w:customStyle="1" w:styleId="1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9">
    <w:name w:val="题注4"/>
    <w:basedOn w:val="1"/>
    <w:next w:val="5"/>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2024-10-21T01:52:00Z</dcterms:created>
  <dc:creator>Administrator.FY-202308300715</dc:creator>
  <cp:lastModifiedBy>Mao</cp:lastModifiedBy>
  <dcterms:modified xsi:type="dcterms:W3CDTF">2024-10-24T03:06:19Z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