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90D6F">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rPr>
        <w:t xml:space="preserve">  </w:t>
      </w:r>
      <w:r>
        <w:rPr>
          <w:rFonts w:hint="eastAsia" w:ascii="仿宋" w:hAnsi="仿宋" w:eastAsia="仿宋" w:cs="仿宋"/>
          <w:b/>
          <w:color w:val="auto"/>
          <w:sz w:val="72"/>
          <w:szCs w:val="72"/>
          <w:highlight w:val="none"/>
          <w:lang w:eastAsia="zh-CN"/>
        </w:rPr>
        <w:t>惠州市第一妇幼保健院</w:t>
      </w:r>
    </w:p>
    <w:p w14:paraId="08AD3726">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237187B5">
      <w:pPr>
        <w:spacing w:line="500" w:lineRule="exact"/>
        <w:jc w:val="center"/>
        <w:rPr>
          <w:rFonts w:hint="eastAsia" w:ascii="仿宋" w:hAnsi="仿宋" w:eastAsia="仿宋" w:cs="仿宋"/>
          <w:bCs/>
          <w:color w:val="auto"/>
          <w:sz w:val="28"/>
          <w:szCs w:val="28"/>
          <w:highlight w:val="none"/>
        </w:rPr>
      </w:pPr>
    </w:p>
    <w:p w14:paraId="6A88870F">
      <w:pPr>
        <w:spacing w:line="500" w:lineRule="exact"/>
        <w:jc w:val="center"/>
        <w:rPr>
          <w:rFonts w:hint="eastAsia" w:ascii="仿宋" w:hAnsi="仿宋" w:eastAsia="仿宋" w:cs="仿宋"/>
          <w:bCs/>
          <w:color w:val="auto"/>
          <w:sz w:val="28"/>
          <w:szCs w:val="28"/>
          <w:highlight w:val="none"/>
        </w:rPr>
      </w:pPr>
    </w:p>
    <w:p w14:paraId="400E50F1">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ZCB-YN-2024015</w:t>
      </w:r>
    </w:p>
    <w:p w14:paraId="0CA638E4">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1CF82BFD">
      <w:pPr>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w:t>
      </w:r>
    </w:p>
    <w:p w14:paraId="63928B96">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lang w:val="en-US" w:eastAsia="zh-CN"/>
        </w:rPr>
        <w:t>2024年医学影像信息系统维保服务(含新增工作站）采购项目</w:t>
      </w:r>
    </w:p>
    <w:p w14:paraId="0D56D582">
      <w:pPr>
        <w:jc w:val="both"/>
        <w:rPr>
          <w:rFonts w:hint="eastAsia" w:ascii="仿宋" w:hAnsi="仿宋" w:eastAsia="仿宋" w:cs="仿宋"/>
          <w:b/>
          <w:color w:val="auto"/>
          <w:sz w:val="32"/>
          <w:szCs w:val="32"/>
          <w:highlight w:val="none"/>
        </w:rPr>
      </w:pPr>
    </w:p>
    <w:p w14:paraId="31E25EE7">
      <w:pPr>
        <w:jc w:val="center"/>
        <w:rPr>
          <w:rFonts w:hint="eastAsia" w:ascii="仿宋" w:hAnsi="仿宋" w:eastAsia="仿宋" w:cs="仿宋"/>
          <w:b/>
          <w:color w:val="auto"/>
          <w:sz w:val="32"/>
          <w:szCs w:val="32"/>
          <w:highlight w:val="none"/>
        </w:rPr>
      </w:pPr>
    </w:p>
    <w:p w14:paraId="21664AD4">
      <w:pPr>
        <w:jc w:val="center"/>
        <w:rPr>
          <w:rFonts w:hint="eastAsia" w:ascii="仿宋" w:hAnsi="仿宋" w:eastAsia="仿宋" w:cs="仿宋"/>
          <w:b/>
          <w:color w:val="auto"/>
          <w:sz w:val="32"/>
          <w:szCs w:val="32"/>
          <w:highlight w:val="none"/>
        </w:rPr>
      </w:pPr>
    </w:p>
    <w:p w14:paraId="46FB0C2C">
      <w:pPr>
        <w:pStyle w:val="3"/>
        <w:rPr>
          <w:rFonts w:hint="eastAsia" w:ascii="仿宋" w:hAnsi="仿宋" w:eastAsia="仿宋" w:cs="仿宋"/>
          <w:b/>
          <w:color w:val="auto"/>
          <w:sz w:val="32"/>
          <w:szCs w:val="32"/>
          <w:highlight w:val="none"/>
        </w:rPr>
      </w:pPr>
    </w:p>
    <w:p w14:paraId="7DFF412E">
      <w:pPr>
        <w:rPr>
          <w:rFonts w:hint="eastAsia" w:ascii="仿宋" w:hAnsi="仿宋" w:eastAsia="仿宋" w:cs="仿宋"/>
          <w:b/>
          <w:color w:val="auto"/>
          <w:sz w:val="32"/>
          <w:szCs w:val="32"/>
          <w:highlight w:val="none"/>
        </w:rPr>
      </w:pPr>
    </w:p>
    <w:p w14:paraId="184440F4">
      <w:pPr>
        <w:spacing w:line="360" w:lineRule="auto"/>
        <w:ind w:firstLine="1968" w:firstLineChars="700"/>
        <w:rPr>
          <w:rFonts w:hint="eastAsia"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14:paraId="318EC78D">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cs="仿宋"/>
          <w:b/>
          <w:snapToGrid w:val="0"/>
          <w:color w:val="auto"/>
          <w:kern w:val="0"/>
          <w:sz w:val="28"/>
          <w:szCs w:val="28"/>
          <w:highlight w:val="none"/>
        </w:rPr>
        <w:t>二○二</w:t>
      </w:r>
      <w:r>
        <w:rPr>
          <w:rFonts w:hint="eastAsia" w:ascii="仿宋" w:hAnsi="仿宋" w:eastAsia="仿宋" w:cs="仿宋"/>
          <w:b/>
          <w:snapToGrid w:val="0"/>
          <w:color w:val="auto"/>
          <w:kern w:val="0"/>
          <w:sz w:val="28"/>
          <w:szCs w:val="28"/>
          <w:highlight w:val="none"/>
          <w:lang w:eastAsia="zh-CN"/>
        </w:rPr>
        <w:t>四</w:t>
      </w:r>
      <w:r>
        <w:rPr>
          <w:rFonts w:hint="eastAsia" w:ascii="仿宋" w:hAnsi="仿宋" w:eastAsia="仿宋" w:cs="仿宋"/>
          <w:b/>
          <w:snapToGrid w:val="0"/>
          <w:color w:val="auto"/>
          <w:kern w:val="0"/>
          <w:sz w:val="28"/>
          <w:szCs w:val="28"/>
          <w:highlight w:val="none"/>
        </w:rPr>
        <w:t>年</w:t>
      </w:r>
      <w:r>
        <w:rPr>
          <w:rFonts w:hint="eastAsia" w:ascii="仿宋" w:hAnsi="仿宋" w:eastAsia="仿宋" w:cs="仿宋"/>
          <w:b/>
          <w:snapToGrid w:val="0"/>
          <w:color w:val="auto"/>
          <w:kern w:val="0"/>
          <w:sz w:val="28"/>
          <w:szCs w:val="28"/>
          <w:highlight w:val="none"/>
          <w:lang w:val="en-US" w:eastAsia="zh-CN"/>
        </w:rPr>
        <w:t>九</w:t>
      </w:r>
      <w:r>
        <w:rPr>
          <w:rFonts w:hint="eastAsia" w:ascii="仿宋" w:hAnsi="仿宋" w:eastAsia="仿宋" w:cs="仿宋"/>
          <w:b/>
          <w:snapToGrid w:val="0"/>
          <w:color w:val="auto"/>
          <w:kern w:val="0"/>
          <w:sz w:val="28"/>
          <w:szCs w:val="28"/>
          <w:highlight w:val="none"/>
        </w:rPr>
        <w:t>月</w:t>
      </w:r>
    </w:p>
    <w:p w14:paraId="5B8BEF45">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7DC2E00E">
      <w:pPr>
        <w:pStyle w:val="10"/>
        <w:rPr>
          <w:rFonts w:hint="eastAsia"/>
          <w:highlight w:val="none"/>
          <w:lang w:eastAsia="zh-CN"/>
        </w:rPr>
      </w:pPr>
    </w:p>
    <w:p w14:paraId="6C2738B5">
      <w:pPr>
        <w:pStyle w:val="15"/>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79D23D7C">
      <w:pPr>
        <w:rPr>
          <w:rFonts w:hint="eastAsia" w:ascii="仿宋" w:hAnsi="仿宋" w:eastAsia="仿宋" w:cs="仿宋"/>
          <w:b/>
          <w:bCs/>
          <w:color w:val="auto"/>
          <w:sz w:val="36"/>
          <w:szCs w:val="36"/>
          <w:highlight w:val="none"/>
        </w:rPr>
      </w:pPr>
    </w:p>
    <w:p w14:paraId="082CF836">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4779FF68">
      <w:pPr>
        <w:rPr>
          <w:rFonts w:hint="eastAsia" w:ascii="仿宋" w:hAnsi="仿宋" w:eastAsia="仿宋" w:cs="仿宋"/>
          <w:b/>
          <w:bCs/>
          <w:color w:val="auto"/>
          <w:sz w:val="36"/>
          <w:szCs w:val="36"/>
          <w:highlight w:val="none"/>
        </w:rPr>
      </w:pPr>
    </w:p>
    <w:p w14:paraId="202A4F32">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77D3BB61">
      <w:pPr>
        <w:rPr>
          <w:rFonts w:hint="eastAsia" w:ascii="仿宋" w:hAnsi="仿宋" w:eastAsia="仿宋" w:cs="仿宋"/>
          <w:b/>
          <w:bCs/>
          <w:color w:val="auto"/>
          <w:sz w:val="36"/>
          <w:szCs w:val="36"/>
          <w:highlight w:val="none"/>
        </w:rPr>
      </w:pPr>
    </w:p>
    <w:p w14:paraId="23DE5F0D">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5030D7EE">
      <w:pPr>
        <w:rPr>
          <w:rFonts w:hint="eastAsia" w:ascii="仿宋" w:hAnsi="仿宋" w:eastAsia="仿宋" w:cs="仿宋"/>
          <w:b/>
          <w:bCs/>
          <w:color w:val="auto"/>
          <w:sz w:val="36"/>
          <w:szCs w:val="36"/>
          <w:highlight w:val="none"/>
        </w:rPr>
      </w:pPr>
    </w:p>
    <w:p w14:paraId="74E9E075">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60A6CD8F">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NumType w:fmt="decimal"/>
          <w:cols w:space="720" w:num="1"/>
          <w:docGrid w:type="lines" w:linePitch="312" w:charSpace="0"/>
        </w:sectPr>
      </w:pPr>
    </w:p>
    <w:p w14:paraId="51B42B1D">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0E09F0E4">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1BDD8F0A">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惠州市第一妇幼保健院2024年医学影像信息系统维保服务(含新增工作站）采购项目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025E933E">
      <w:pPr>
        <w:autoSpaceDE w:val="0"/>
        <w:autoSpaceDN w:val="0"/>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ZCB-YN-2024015</w:t>
      </w:r>
    </w:p>
    <w:p w14:paraId="0AE1476B">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惠州市第一妇幼保健院2024年医学影像信息系统维保服务(含新增工作站）采购项目</w:t>
      </w:r>
    </w:p>
    <w:p w14:paraId="4A393552">
      <w:pPr>
        <w:autoSpaceDE w:val="0"/>
        <w:autoSpaceDN w:val="0"/>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w:t>
      </w:r>
      <w:r>
        <w:rPr>
          <w:rFonts w:hint="eastAsia" w:ascii="仿宋" w:hAnsi="仿宋" w:eastAsia="仿宋" w:cs="仿宋"/>
          <w:color w:val="auto"/>
          <w:sz w:val="24"/>
          <w:highlight w:val="none"/>
          <w:lang w:val="en-US" w:eastAsia="zh-CN"/>
        </w:rPr>
        <w:t>建设</w:t>
      </w:r>
      <w:r>
        <w:rPr>
          <w:rFonts w:hint="eastAsia" w:ascii="仿宋" w:hAnsi="仿宋" w:eastAsia="仿宋" w:cs="仿宋"/>
          <w:color w:val="auto"/>
          <w:sz w:val="24"/>
          <w:highlight w:val="none"/>
          <w:lang w:val="zh-CN"/>
        </w:rPr>
        <w:t>内容：</w:t>
      </w:r>
    </w:p>
    <w:tbl>
      <w:tblPr>
        <w:tblStyle w:val="17"/>
        <w:tblW w:w="953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73"/>
        <w:gridCol w:w="2059"/>
        <w:gridCol w:w="1487"/>
        <w:gridCol w:w="1819"/>
      </w:tblGrid>
      <w:tr w14:paraId="56F7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0" w:type="dxa"/>
            <w:noWrap/>
            <w:vAlign w:val="center"/>
          </w:tcPr>
          <w:p w14:paraId="42B3915E">
            <w:pPr>
              <w:autoSpaceDE w:val="0"/>
              <w:autoSpaceDN w:val="0"/>
              <w:spacing w:line="4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3273" w:type="dxa"/>
            <w:noWrap/>
            <w:vAlign w:val="center"/>
          </w:tcPr>
          <w:p w14:paraId="6C2EBBDF">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项目名称</w:t>
            </w:r>
          </w:p>
        </w:tc>
        <w:tc>
          <w:tcPr>
            <w:tcW w:w="2059" w:type="dxa"/>
            <w:noWrap/>
            <w:vAlign w:val="center"/>
          </w:tcPr>
          <w:p w14:paraId="7F2E4F35">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服务内容</w:t>
            </w:r>
          </w:p>
        </w:tc>
        <w:tc>
          <w:tcPr>
            <w:tcW w:w="1487" w:type="dxa"/>
            <w:noWrap/>
            <w:vAlign w:val="center"/>
          </w:tcPr>
          <w:p w14:paraId="5E05BF16">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数量（项）</w:t>
            </w:r>
          </w:p>
        </w:tc>
        <w:tc>
          <w:tcPr>
            <w:tcW w:w="1819" w:type="dxa"/>
            <w:noWrap/>
            <w:vAlign w:val="center"/>
          </w:tcPr>
          <w:p w14:paraId="5EFD5AA6">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sz w:val="24"/>
                <w:highlight w:val="none"/>
                <w:lang w:val="en-US" w:eastAsia="zh-CN"/>
              </w:rPr>
              <w:t>最高限价</w:t>
            </w:r>
            <w:r>
              <w:rPr>
                <w:rFonts w:hint="eastAsia" w:ascii="仿宋" w:hAnsi="仿宋" w:eastAsia="仿宋" w:cs="仿宋"/>
                <w:color w:val="auto"/>
                <w:kern w:val="2"/>
                <w:sz w:val="24"/>
                <w:szCs w:val="24"/>
                <w:highlight w:val="none"/>
                <w:lang w:val="en-US" w:eastAsia="zh-CN" w:bidi="ar-SA"/>
              </w:rPr>
              <w:t>（元）</w:t>
            </w:r>
          </w:p>
        </w:tc>
      </w:tr>
      <w:tr w14:paraId="29DC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0" w:type="dxa"/>
            <w:noWrap w:val="0"/>
            <w:vAlign w:val="center"/>
          </w:tcPr>
          <w:p w14:paraId="4D46A49C">
            <w:pPr>
              <w:autoSpaceDE w:val="0"/>
              <w:autoSpaceDN w:val="0"/>
              <w:spacing w:line="4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273" w:type="dxa"/>
            <w:vMerge w:val="restart"/>
            <w:noWrap w:val="0"/>
            <w:vAlign w:val="center"/>
          </w:tcPr>
          <w:p w14:paraId="6061A56B">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2024年医学影像信息系统维保服务(含新增工作站）</w:t>
            </w:r>
          </w:p>
        </w:tc>
        <w:tc>
          <w:tcPr>
            <w:tcW w:w="2059" w:type="dxa"/>
            <w:noWrap/>
            <w:vAlign w:val="center"/>
          </w:tcPr>
          <w:p w14:paraId="7F2F5EAC">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系统维护</w:t>
            </w:r>
          </w:p>
        </w:tc>
        <w:tc>
          <w:tcPr>
            <w:tcW w:w="1487" w:type="dxa"/>
            <w:noWrap/>
            <w:vAlign w:val="center"/>
          </w:tcPr>
          <w:p w14:paraId="4ACB78E1">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1819" w:type="dxa"/>
            <w:noWrap/>
            <w:vAlign w:val="center"/>
          </w:tcPr>
          <w:p w14:paraId="44458410">
            <w:pPr>
              <w:autoSpaceDE w:val="0"/>
              <w:autoSpaceDN w:val="0"/>
              <w:spacing w:line="4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37000.00</w:t>
            </w:r>
          </w:p>
        </w:tc>
      </w:tr>
      <w:tr w14:paraId="6AD3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00" w:type="dxa"/>
            <w:noWrap w:val="0"/>
            <w:vAlign w:val="center"/>
          </w:tcPr>
          <w:p w14:paraId="2FC67322">
            <w:pPr>
              <w:autoSpaceDE w:val="0"/>
              <w:autoSpaceDN w:val="0"/>
              <w:spacing w:line="4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273" w:type="dxa"/>
            <w:vMerge w:val="continue"/>
            <w:noWrap w:val="0"/>
            <w:vAlign w:val="center"/>
          </w:tcPr>
          <w:p w14:paraId="20ACE07A">
            <w:pPr>
              <w:autoSpaceDE w:val="0"/>
              <w:autoSpaceDN w:val="0"/>
              <w:spacing w:line="420" w:lineRule="exact"/>
              <w:jc w:val="center"/>
              <w:rPr>
                <w:rFonts w:hint="eastAsia" w:ascii="仿宋" w:hAnsi="仿宋" w:eastAsia="仿宋" w:cs="仿宋"/>
                <w:color w:val="auto"/>
                <w:sz w:val="24"/>
                <w:highlight w:val="none"/>
                <w:lang w:eastAsia="zh-CN"/>
              </w:rPr>
            </w:pPr>
          </w:p>
        </w:tc>
        <w:tc>
          <w:tcPr>
            <w:tcW w:w="2059" w:type="dxa"/>
            <w:noWrap/>
            <w:vAlign w:val="center"/>
          </w:tcPr>
          <w:p w14:paraId="27D26D84">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新增工作站</w:t>
            </w:r>
          </w:p>
        </w:tc>
        <w:tc>
          <w:tcPr>
            <w:tcW w:w="1487" w:type="dxa"/>
            <w:noWrap/>
            <w:vAlign w:val="center"/>
          </w:tcPr>
          <w:p w14:paraId="30507109">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1819" w:type="dxa"/>
            <w:noWrap/>
            <w:vAlign w:val="center"/>
          </w:tcPr>
          <w:p w14:paraId="2DC50651">
            <w:pPr>
              <w:autoSpaceDE w:val="0"/>
              <w:autoSpaceDN w:val="0"/>
              <w:spacing w:line="4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21000.00</w:t>
            </w:r>
          </w:p>
        </w:tc>
      </w:tr>
    </w:tbl>
    <w:p w14:paraId="53729294">
      <w:pPr>
        <w:numPr>
          <w:ilvl w:val="0"/>
          <w:numId w:val="3"/>
        </w:numPr>
        <w:spacing w:line="420" w:lineRule="exact"/>
        <w:ind w:firstLine="504" w:firstLineChars="21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¥58000.00</w:t>
      </w:r>
      <w:r>
        <w:rPr>
          <w:rFonts w:hint="eastAsia" w:ascii="仿宋" w:hAnsi="仿宋" w:eastAsia="仿宋" w:cs="仿宋"/>
          <w:b w:val="0"/>
          <w:bCs w:val="0"/>
          <w:color w:val="auto"/>
          <w:sz w:val="24"/>
          <w:highlight w:val="none"/>
          <w:u w:val="none" w:color="auto"/>
          <w:lang w:val="zh-CN" w:eastAsia="zh-CN"/>
        </w:rPr>
        <w:t>元</w:t>
      </w:r>
    </w:p>
    <w:p w14:paraId="5A1266FB">
      <w:pPr>
        <w:numPr>
          <w:ilvl w:val="0"/>
          <w:numId w:val="3"/>
        </w:num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拟参加</w:t>
      </w:r>
      <w:r>
        <w:rPr>
          <w:rFonts w:hint="eastAsia" w:ascii="仿宋" w:hAnsi="仿宋" w:eastAsia="仿宋" w:cs="仿宋"/>
          <w:color w:val="auto"/>
          <w:sz w:val="24"/>
          <w:highlight w:val="none"/>
        </w:rPr>
        <w:t>响应的供应商应当在2024年9月30日起至2024年10月11日（上午08:00-12:00，下午14:30-17:30，法定节假日除外）</w:t>
      </w:r>
      <w:r>
        <w:rPr>
          <w:rFonts w:hint="eastAsia" w:ascii="仿宋" w:hAnsi="仿宋" w:eastAsia="仿宋" w:cs="仿宋"/>
          <w:color w:val="auto"/>
          <w:kern w:val="0"/>
          <w:sz w:val="24"/>
          <w:highlight w:val="none"/>
        </w:rPr>
        <w:t>通过惠州市第一妇幼保健院招标采购办邮箱报名或现场报名。招标采购办邮箱：dyfyzcb@huizhou.gov.cn</w:t>
      </w:r>
    </w:p>
    <w:p w14:paraId="0CB6602C">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、响应文件递交截止时间：</w:t>
      </w:r>
      <w:r>
        <w:rPr>
          <w:rFonts w:hint="eastAsia" w:ascii="仿宋" w:hAnsi="仿宋" w:eastAsia="仿宋" w:cs="仿宋"/>
          <w:color w:val="auto"/>
          <w:sz w:val="24"/>
          <w:highlight w:val="none"/>
        </w:rPr>
        <w:t>2024年10月12日15时（北京时间）</w:t>
      </w:r>
    </w:p>
    <w:p w14:paraId="0A0DA465">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w:t>
      </w:r>
      <w:r>
        <w:rPr>
          <w:rFonts w:hint="eastAsia" w:ascii="仿宋" w:hAnsi="仿宋" w:eastAsia="仿宋" w:cs="仿宋"/>
          <w:color w:val="auto"/>
          <w:sz w:val="24"/>
          <w:highlight w:val="none"/>
          <w:lang w:val="en-US" w:eastAsia="zh-CN"/>
        </w:rPr>
        <w:t>发热门诊二楼招采办开标室。</w:t>
      </w:r>
    </w:p>
    <w:p w14:paraId="62710F3B">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、比选时间：2024年10月12日15时15分（北京时间）</w:t>
      </w:r>
    </w:p>
    <w:p w14:paraId="39D6119B">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惠州市第一妇幼保健院培训楼</w:t>
      </w:r>
      <w:r>
        <w:rPr>
          <w:rFonts w:hint="eastAsia" w:ascii="仿宋" w:hAnsi="仿宋" w:eastAsia="仿宋" w:cs="仿宋"/>
          <w:color w:val="auto"/>
          <w:sz w:val="24"/>
          <w:highlight w:val="none"/>
          <w:lang w:val="en-US" w:eastAsia="zh-CN"/>
        </w:rPr>
        <w:t>204室</w:t>
      </w:r>
      <w:r>
        <w:rPr>
          <w:rFonts w:hint="eastAsia" w:ascii="仿宋" w:hAnsi="仿宋" w:eastAsia="仿宋" w:cs="仿宋"/>
          <w:color w:val="auto"/>
          <w:sz w:val="24"/>
          <w:highlight w:val="none"/>
          <w:lang w:val="zh-CN"/>
        </w:rPr>
        <w:t>招采办</w:t>
      </w:r>
      <w:r>
        <w:rPr>
          <w:rFonts w:hint="eastAsia" w:ascii="仿宋" w:hAnsi="仿宋" w:eastAsia="仿宋" w:cs="仿宋"/>
          <w:color w:val="auto"/>
          <w:sz w:val="24"/>
          <w:highlight w:val="none"/>
          <w:lang w:val="en-US" w:eastAsia="zh-CN"/>
        </w:rPr>
        <w:t>开标室</w:t>
      </w:r>
      <w:r>
        <w:rPr>
          <w:rFonts w:hint="eastAsia" w:ascii="仿宋" w:hAnsi="仿宋" w:eastAsia="仿宋" w:cs="仿宋"/>
          <w:color w:val="auto"/>
          <w:sz w:val="24"/>
          <w:highlight w:val="none"/>
        </w:rPr>
        <w:t>。</w:t>
      </w:r>
    </w:p>
    <w:p w14:paraId="24123A32">
      <w:pPr>
        <w:spacing w:line="420" w:lineRule="exact"/>
        <w:rPr>
          <w:rFonts w:hint="eastAsia" w:ascii="仿宋" w:hAnsi="仿宋" w:eastAsia="仿宋" w:cs="仿宋"/>
          <w:color w:val="auto"/>
          <w:sz w:val="24"/>
          <w:highlight w:val="none"/>
        </w:rPr>
      </w:pPr>
    </w:p>
    <w:p w14:paraId="47134A4A">
      <w:pPr>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74725062">
      <w:pPr>
        <w:spacing w:line="42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1D28DD26">
      <w:pPr>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52D972FB">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918D2BA">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B54D47F">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22D48DCE">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2</w:t>
      </w:r>
      <w:r>
        <w:rPr>
          <w:rFonts w:hint="eastAsia" w:ascii="仿宋" w:hAnsi="仿宋" w:eastAsia="仿宋" w:cs="仿宋"/>
          <w:color w:val="auto"/>
          <w:sz w:val="24"/>
          <w:highlight w:val="none"/>
        </w:rPr>
        <w:t>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2CB51235">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2CA9758F">
      <w:pPr>
        <w:numPr>
          <w:ilvl w:val="0"/>
          <w:numId w:val="4"/>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7E4D6C1C">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4CF83BEE">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3232D1F9">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14:paraId="0F173664">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截止时间前一年内任意一个月的依法缴纳税收证明材料（如依法免税，则须提供相应文件证明其依法免税）；</w:t>
      </w:r>
    </w:p>
    <w:p w14:paraId="51434FB5">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截止时间前一年内任意一个月的依法缴纳社会保险凭据（如依法不需要缴纳社保，则须提供相应文件证明其依法不需要缴纳）；</w:t>
      </w:r>
    </w:p>
    <w:p w14:paraId="4DC2B359">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1E6EC9E3">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27E4D638">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0ACB1A98">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或者未划分包号的同一采购项目。(供应商出具声明函)</w:t>
      </w:r>
    </w:p>
    <w:p w14:paraId="262A0E4B">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4.为采购项目提供整体设计、规范编制或者项目管理、监理、检测等服务的供应商，不得再参加该采购项目的其他采购活动。(供应商出具声明函)</w:t>
      </w:r>
    </w:p>
    <w:p w14:paraId="4EFBA11C">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14:paraId="039C8A8D">
      <w:pPr>
        <w:tabs>
          <w:tab w:val="left" w:pos="0"/>
        </w:tabs>
        <w:wordWrap w:val="0"/>
        <w:spacing w:line="360" w:lineRule="auto"/>
        <w:ind w:firstLine="480" w:firstLineChars="200"/>
        <w:jc w:val="left"/>
        <w:rPr>
          <w:rFonts w:hint="default" w:eastAsia="宋体"/>
          <w:strike/>
          <w:dstrike w:val="0"/>
          <w:color w:val="auto"/>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本项目专门面向中小企业采购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供应商应为中小微企业。（提供《中小企业声明函》。本项目中小企业划分标准所属行业为：</w:t>
      </w:r>
      <w:r>
        <w:rPr>
          <w:rFonts w:hint="eastAsia" w:ascii="仿宋" w:hAnsi="仿宋" w:eastAsia="仿宋" w:cs="仿宋"/>
          <w:color w:val="auto"/>
          <w:sz w:val="24"/>
          <w:highlight w:val="none"/>
          <w:lang w:val="en-US" w:eastAsia="zh-CN"/>
        </w:rPr>
        <w:t>软件和信息技术服务业。</w:t>
      </w:r>
    </w:p>
    <w:p w14:paraId="68A59E89">
      <w:pPr>
        <w:tabs>
          <w:tab w:val="left" w:pos="0"/>
        </w:tabs>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已在</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报名。</w:t>
      </w:r>
    </w:p>
    <w:p w14:paraId="4E599DEF">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14:paraId="660BDE83">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6BECBCA0">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003E833E">
      <w:pPr>
        <w:spacing w:line="360" w:lineRule="auto"/>
        <w:ind w:firstLine="482" w:firstLineChars="20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u w:val="none" w:color="auto"/>
        </w:rPr>
        <w:t>1、本项目要求中所出现的产品工艺、材料、设备或参照的型号、品牌仅作为参考建议，不作为限制性要求。“采购项目技术参数要求”中所列参数为最低要求，供应商可以提供相当于或优于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w:t>
      </w:r>
      <w:r>
        <w:rPr>
          <w:rFonts w:hint="eastAsia" w:ascii="仿宋" w:hAnsi="仿宋" w:eastAsia="仿宋" w:cs="仿宋"/>
          <w:b/>
          <w:bCs w:val="0"/>
          <w:color w:val="auto"/>
          <w:sz w:val="24"/>
          <w:highlight w:val="none"/>
          <w:u w:val="none" w:color="auto"/>
        </w:rPr>
        <w:t>数的货物</w:t>
      </w:r>
      <w:r>
        <w:rPr>
          <w:rFonts w:hint="eastAsia" w:ascii="仿宋" w:hAnsi="仿宋" w:eastAsia="仿宋" w:cs="仿宋"/>
          <w:b/>
          <w:bCs w:val="0"/>
          <w:color w:val="auto"/>
          <w:sz w:val="24"/>
          <w:highlight w:val="none"/>
          <w:u w:val="none" w:color="auto"/>
          <w:lang w:eastAsia="zh-CN"/>
        </w:rPr>
        <w:t>，</w:t>
      </w:r>
      <w:r>
        <w:rPr>
          <w:rFonts w:hint="eastAsia" w:ascii="仿宋" w:hAnsi="仿宋" w:eastAsia="仿宋" w:cs="仿宋"/>
          <w:b/>
          <w:bCs w:val="0"/>
          <w:color w:val="auto"/>
          <w:sz w:val="24"/>
          <w:highlight w:val="none"/>
        </w:rPr>
        <w:t>至少应提供对主要技术参数的响应证明材料。响应供应商所响应产品应当提供厂商说明材料，厂商说明材料包括但不限于下列文件：</w:t>
      </w:r>
    </w:p>
    <w:p w14:paraId="33EEC3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6B32EEC9">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7710760D">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2、采购项目中标注★号的内容为实质性要求和条件，如果响应供应商所比选货物、服务与具体要求存在不响应或者负偏离，在符合性审查时将不予通过，响应无效。</w:t>
      </w:r>
    </w:p>
    <w:p w14:paraId="53006CE9">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3、本采购项目中标注▲号的内容为择优要求和条件，负偏离或不响应▲号条款的响应供应商将影响综合得分。</w:t>
      </w:r>
    </w:p>
    <w:p w14:paraId="12296208">
      <w:pPr>
        <w:autoSpaceDE w:val="0"/>
        <w:autoSpaceDN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4、响应供应商须提供独立密封和装订成册“比选响应文件”一式两份，否则其响应文件将被拒收。</w:t>
      </w:r>
    </w:p>
    <w:p w14:paraId="32E4FCED">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三、比选项目概况</w:t>
      </w:r>
    </w:p>
    <w:p w14:paraId="4EDC2ED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ZCB-YN-2024015</w:t>
      </w:r>
    </w:p>
    <w:p w14:paraId="411B4F6A">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b w:val="0"/>
          <w:bCs w:val="0"/>
          <w:color w:val="auto"/>
          <w:sz w:val="24"/>
          <w:highlight w:val="none"/>
          <w:u w:val="none" w:color="auto"/>
          <w:lang w:val="en-US" w:eastAsia="zh-CN"/>
        </w:rPr>
        <w:t>惠州市第一妇幼保健院2024年医学影像信息系统维保服务(含新增工作站）采购项目</w:t>
      </w:r>
    </w:p>
    <w:p w14:paraId="32CD0A68">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¥58000.00</w:t>
      </w:r>
      <w:r>
        <w:rPr>
          <w:rFonts w:hint="eastAsia" w:ascii="仿宋" w:hAnsi="仿宋" w:eastAsia="仿宋" w:cs="仿宋"/>
          <w:b w:val="0"/>
          <w:bCs w:val="0"/>
          <w:color w:val="auto"/>
          <w:sz w:val="24"/>
          <w:highlight w:val="none"/>
          <w:u w:val="none" w:color="auto"/>
          <w:lang w:val="zh-CN" w:eastAsia="zh-CN"/>
        </w:rPr>
        <w:t>元。</w:t>
      </w:r>
    </w:p>
    <w:p w14:paraId="16C15F6F">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四、服务要求：</w:t>
      </w:r>
    </w:p>
    <w:p w14:paraId="7134FD88">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1.建设目标</w:t>
      </w:r>
    </w:p>
    <w:p w14:paraId="6FB572F5">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default" w:ascii="仿宋" w:hAnsi="仿宋" w:eastAsia="仿宋" w:cs="仿宋"/>
          <w:b w:val="0"/>
          <w:bCs w:val="0"/>
          <w:color w:val="auto"/>
          <w:sz w:val="24"/>
          <w:highlight w:val="none"/>
          <w:u w:val="none" w:color="auto"/>
          <w:lang w:val="en-US" w:eastAsia="zh-CN"/>
        </w:rPr>
        <w:t>为满足体检中心的业务需求，需接入一台设备，保证系统正常工作。</w:t>
      </w:r>
    </w:p>
    <w:p w14:paraId="21961867">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default" w:ascii="仿宋" w:hAnsi="仿宋" w:eastAsia="仿宋" w:cs="仿宋"/>
          <w:b w:val="0"/>
          <w:bCs w:val="0"/>
          <w:color w:val="auto"/>
          <w:sz w:val="24"/>
          <w:highlight w:val="none"/>
          <w:u w:val="none" w:color="auto"/>
          <w:lang w:val="en-US" w:eastAsia="zh-CN"/>
        </w:rPr>
        <w:t>负责维护保障医院蓝网医学影像信息系统（PACS）软件V7.0的正常运行。</w:t>
      </w:r>
    </w:p>
    <w:p w14:paraId="0DE21F73">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供应商需具有提供本院同版本系统维保服务的能力，即具备对医院</w:t>
      </w:r>
      <w:r>
        <w:rPr>
          <w:rFonts w:hint="eastAsia" w:ascii="仿宋" w:hAnsi="仿宋" w:eastAsia="仿宋" w:cs="仿宋"/>
          <w:color w:val="auto"/>
          <w:sz w:val="24"/>
          <w:highlight w:val="none"/>
          <w:u w:val="none" w:color="auto"/>
          <w:lang w:val="en-US" w:eastAsia="zh-CN"/>
        </w:rPr>
        <w:t>蓝网医学影像信息系统</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lang w:val="en-US" w:eastAsia="zh-CN"/>
        </w:rPr>
        <w:t>PACS</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lang w:val="en-US" w:eastAsia="zh-CN"/>
        </w:rPr>
        <w:t>软件V7.0</w:t>
      </w:r>
      <w:r>
        <w:rPr>
          <w:rFonts w:hint="eastAsia" w:ascii="仿宋" w:hAnsi="仿宋" w:eastAsia="仿宋" w:cs="仿宋"/>
          <w:b w:val="0"/>
          <w:bCs w:val="0"/>
          <w:color w:val="auto"/>
          <w:sz w:val="24"/>
          <w:highlight w:val="none"/>
          <w:u w:val="none" w:color="auto"/>
          <w:lang w:val="en-US" w:eastAsia="zh-CN"/>
        </w:rPr>
        <w:t>的维护能力，可提供如系统源代码、相关授权、历史服务项目案例、历史服务客户评价函等材料。</w:t>
      </w:r>
    </w:p>
    <w:p w14:paraId="74F060BB">
      <w:pPr>
        <w:autoSpaceDE w:val="0"/>
        <w:autoSpaceDN w:val="0"/>
        <w:spacing w:line="360" w:lineRule="auto"/>
        <w:ind w:firstLine="480" w:firstLineChars="200"/>
        <w:rPr>
          <w:rFonts w:hint="default" w:ascii="宋体" w:hAnsi="宋体" w:eastAsia="宋体" w:cs="宋体"/>
          <w:color w:val="000000"/>
          <w:sz w:val="24"/>
          <w:szCs w:val="24"/>
          <w:highlight w:val="none"/>
        </w:rPr>
      </w:pPr>
      <w:r>
        <w:rPr>
          <w:rFonts w:hint="eastAsia" w:ascii="仿宋" w:hAnsi="仿宋" w:eastAsia="仿宋" w:cs="仿宋"/>
          <w:b w:val="0"/>
          <w:bCs w:val="0"/>
          <w:color w:val="auto"/>
          <w:sz w:val="24"/>
          <w:highlight w:val="none"/>
          <w:u w:val="none" w:color="auto"/>
          <w:lang w:val="en-US" w:eastAsia="zh-CN"/>
        </w:rPr>
        <w:t>2.服务清单</w:t>
      </w:r>
    </w:p>
    <w:tbl>
      <w:tblPr>
        <w:tblStyle w:val="17"/>
        <w:tblW w:w="46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282"/>
        <w:gridCol w:w="3532"/>
        <w:gridCol w:w="1268"/>
        <w:gridCol w:w="1803"/>
      </w:tblGrid>
      <w:tr w14:paraId="4194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jc w:val="center"/>
        </w:trPr>
        <w:tc>
          <w:tcPr>
            <w:tcW w:w="464" w:type="pct"/>
            <w:noWrap w:val="0"/>
            <w:vAlign w:val="center"/>
          </w:tcPr>
          <w:p w14:paraId="1712C75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序号</w:t>
            </w:r>
          </w:p>
        </w:tc>
        <w:tc>
          <w:tcPr>
            <w:tcW w:w="737" w:type="pct"/>
            <w:noWrap w:val="0"/>
            <w:vAlign w:val="center"/>
          </w:tcPr>
          <w:p w14:paraId="3EC2123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模块名称</w:t>
            </w:r>
          </w:p>
        </w:tc>
        <w:tc>
          <w:tcPr>
            <w:tcW w:w="2031" w:type="pct"/>
            <w:noWrap w:val="0"/>
            <w:vAlign w:val="center"/>
          </w:tcPr>
          <w:p w14:paraId="39EF390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内容描述</w:t>
            </w:r>
          </w:p>
        </w:tc>
        <w:tc>
          <w:tcPr>
            <w:tcW w:w="729" w:type="pct"/>
            <w:noWrap w:val="0"/>
            <w:vAlign w:val="center"/>
          </w:tcPr>
          <w:p w14:paraId="25D6D9B3">
            <w:pPr>
              <w:autoSpaceDE w:val="0"/>
              <w:autoSpaceDN w:val="0"/>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数量（项）</w:t>
            </w:r>
          </w:p>
        </w:tc>
        <w:tc>
          <w:tcPr>
            <w:tcW w:w="1037" w:type="pct"/>
            <w:noWrap w:val="0"/>
            <w:vAlign w:val="center"/>
          </w:tcPr>
          <w:p w14:paraId="57416E0A">
            <w:pPr>
              <w:autoSpaceDE w:val="0"/>
              <w:autoSpaceDN w:val="0"/>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highlight w:val="none"/>
                <w:lang w:val="en-US" w:eastAsia="zh-CN"/>
              </w:rPr>
              <w:t>最高限价</w:t>
            </w:r>
            <w:r>
              <w:rPr>
                <w:rFonts w:hint="eastAsia" w:ascii="仿宋" w:hAnsi="仿宋" w:eastAsia="仿宋" w:cs="仿宋"/>
                <w:color w:val="auto"/>
                <w:kern w:val="2"/>
                <w:sz w:val="24"/>
                <w:szCs w:val="24"/>
                <w:highlight w:val="none"/>
                <w:lang w:val="en-US" w:eastAsia="zh-CN" w:bidi="ar-SA"/>
              </w:rPr>
              <w:t>（元）</w:t>
            </w:r>
          </w:p>
        </w:tc>
      </w:tr>
      <w:tr w14:paraId="4A2B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64" w:type="pct"/>
            <w:noWrap w:val="0"/>
            <w:vAlign w:val="center"/>
          </w:tcPr>
          <w:p w14:paraId="5650B3F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p>
        </w:tc>
        <w:tc>
          <w:tcPr>
            <w:tcW w:w="737" w:type="pct"/>
            <w:vMerge w:val="restart"/>
            <w:noWrap w:val="0"/>
            <w:vAlign w:val="center"/>
          </w:tcPr>
          <w:p w14:paraId="13DCA9A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2024年医学影像信息系统维保服务（含新增工作站）</w:t>
            </w:r>
          </w:p>
        </w:tc>
        <w:tc>
          <w:tcPr>
            <w:tcW w:w="2031" w:type="pct"/>
            <w:noWrap w:val="0"/>
            <w:vAlign w:val="center"/>
          </w:tcPr>
          <w:p w14:paraId="7A79142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新增工作站：能够接入现有超声网络系统，实现患者登记、病历数据检索、病历管理、影像管理、支持超声设备静态/动态影像采集功能、报告管理、报告打印、病历随访、统计分析、用户管理功能。</w:t>
            </w:r>
          </w:p>
        </w:tc>
        <w:tc>
          <w:tcPr>
            <w:tcW w:w="729" w:type="pct"/>
            <w:noWrap w:val="0"/>
            <w:vAlign w:val="center"/>
          </w:tcPr>
          <w:p w14:paraId="1C88E5FE">
            <w:pPr>
              <w:autoSpaceDE w:val="0"/>
              <w:autoSpaceDN w:val="0"/>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1037" w:type="pct"/>
            <w:noWrap w:val="0"/>
            <w:vAlign w:val="center"/>
          </w:tcPr>
          <w:p w14:paraId="3BBD8E21">
            <w:pPr>
              <w:autoSpaceDE w:val="0"/>
              <w:autoSpaceDN w:val="0"/>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21000.00</w:t>
            </w:r>
          </w:p>
        </w:tc>
      </w:tr>
      <w:tr w14:paraId="5613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pct"/>
            <w:noWrap w:val="0"/>
            <w:vAlign w:val="center"/>
          </w:tcPr>
          <w:p w14:paraId="6FB8D1D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p>
        </w:tc>
        <w:tc>
          <w:tcPr>
            <w:tcW w:w="737" w:type="pct"/>
            <w:vMerge w:val="continue"/>
            <w:noWrap w:val="0"/>
            <w:vAlign w:val="center"/>
          </w:tcPr>
          <w:p w14:paraId="57C2589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p>
        </w:tc>
        <w:tc>
          <w:tcPr>
            <w:tcW w:w="2031" w:type="pct"/>
            <w:noWrap w:val="0"/>
            <w:vAlign w:val="center"/>
          </w:tcPr>
          <w:p w14:paraId="031B46B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系统维护：完成医学影像信息系统软件功能需求和bug维护、定期巡检和电话回访、协助医院在系统规划时提供技术支持、提供在线、现场技术支持服务。</w:t>
            </w:r>
          </w:p>
        </w:tc>
        <w:tc>
          <w:tcPr>
            <w:tcW w:w="729" w:type="pct"/>
            <w:noWrap w:val="0"/>
            <w:vAlign w:val="center"/>
          </w:tcPr>
          <w:p w14:paraId="3739C624">
            <w:pPr>
              <w:autoSpaceDE w:val="0"/>
              <w:autoSpaceDN w:val="0"/>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1037" w:type="pct"/>
            <w:noWrap w:val="0"/>
            <w:vAlign w:val="center"/>
          </w:tcPr>
          <w:p w14:paraId="7FA465C6">
            <w:pPr>
              <w:autoSpaceDE w:val="0"/>
              <w:autoSpaceDN w:val="0"/>
              <w:spacing w:line="42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37000.00</w:t>
            </w:r>
          </w:p>
        </w:tc>
      </w:tr>
    </w:tbl>
    <w:p w14:paraId="3ADE9B4C">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p>
    <w:p w14:paraId="1CC244D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3.技术要求</w:t>
      </w:r>
    </w:p>
    <w:p w14:paraId="534F2AF8">
      <w:pPr>
        <w:pStyle w:val="5"/>
        <w:numPr>
          <w:ilvl w:val="0"/>
          <w:numId w:val="0"/>
        </w:numPr>
        <w:spacing w:line="360" w:lineRule="auto"/>
        <w:ind w:left="0" w:firstLine="480" w:firstLineChars="200"/>
        <w:rPr>
          <w:rFonts w:hint="eastAsia" w:ascii="仿宋" w:hAnsi="仿宋" w:eastAsia="仿宋" w:cs="仿宋"/>
          <w:b w:val="0"/>
          <w:bCs w:val="0"/>
          <w:color w:val="auto"/>
          <w:kern w:val="2"/>
          <w:sz w:val="24"/>
          <w:szCs w:val="24"/>
          <w:highlight w:val="none"/>
          <w:u w:val="none" w:color="auto"/>
          <w:lang w:val="en-US" w:eastAsia="zh-CN" w:bidi="ar-SA"/>
        </w:rPr>
      </w:pPr>
      <w:bookmarkStart w:id="0" w:name="_Toc121324629"/>
      <w:r>
        <w:rPr>
          <w:rFonts w:hint="eastAsia" w:ascii="仿宋" w:hAnsi="仿宋" w:eastAsia="仿宋" w:cs="仿宋"/>
          <w:b w:val="0"/>
          <w:bCs w:val="0"/>
          <w:color w:val="auto"/>
          <w:kern w:val="2"/>
          <w:sz w:val="24"/>
          <w:szCs w:val="24"/>
          <w:highlight w:val="none"/>
          <w:u w:val="none" w:color="auto"/>
          <w:lang w:val="en-US" w:eastAsia="zh-CN" w:bidi="ar-SA"/>
        </w:rPr>
        <w:t>3.1新增工作站</w:t>
      </w:r>
      <w:bookmarkEnd w:id="0"/>
    </w:p>
    <w:p w14:paraId="27FBAACE">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3.1.1登记分诊</w:t>
      </w:r>
    </w:p>
    <w:p w14:paraId="559D9A01">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支持通过条码、二维码、就诊卡及电子健康卡提取病人检查申请信息；</w:t>
      </w:r>
    </w:p>
    <w:p w14:paraId="18077A0D">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支持快速新增病人，可以使用连续新增功能和连续预约功能；快速新增基本信息为空病例，后期可再将病例基本信息维护进去；</w:t>
      </w:r>
    </w:p>
    <w:p w14:paraId="724A188E">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支持登记时自动判断复诊病人或复诊弹框提醒，以及复诊病人信息更新；</w:t>
      </w:r>
    </w:p>
    <w:p w14:paraId="182B0767">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支持根据患者登记顺序生成并打印排队号票；</w:t>
      </w:r>
    </w:p>
    <w:p w14:paraId="23358511">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支持按上下午来取排队号，即上午或下午分别从1号开始取；</w:t>
      </w:r>
    </w:p>
    <w:p w14:paraId="04834CF8">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支持排队小票格式信息配置，如排队号、检查项目、检查诊室位置、排队人数、时段、注意事项等信息；</w:t>
      </w:r>
    </w:p>
    <w:p w14:paraId="687A7E28">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提供数据检索功能，可以通过多条件检索预约登记的病人信息；</w:t>
      </w:r>
    </w:p>
    <w:p w14:paraId="66A11026">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对于不同申请类型的病人使用不同的颜色区分显示，如急诊以红色显示；</w:t>
      </w:r>
    </w:p>
    <w:p w14:paraId="5C2D6245">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支持根据不同检查类型设置不同的检查队列；</w:t>
      </w:r>
    </w:p>
    <w:p w14:paraId="6C059E71">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支持查看当天各检查诊室的空闲状态及患者的排队人数情况；</w:t>
      </w:r>
    </w:p>
    <w:p w14:paraId="5B1FEB3A">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支持查看当天各检查队列排队人数、暂停人数、过号人数、受理人数、合计人数；</w:t>
      </w:r>
    </w:p>
    <w:p w14:paraId="10FD84A3">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支持显示患者等待时间，患者重新排队时等待时间重置。</w:t>
      </w:r>
    </w:p>
    <w:p w14:paraId="5E68E982">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3.1.2叫号显示</w:t>
      </w:r>
    </w:p>
    <w:p w14:paraId="77B3369C">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支持以检查队列或检查诊室区分显示患者排队信息、已叫号信息、过号信息、正叫信息以及温馨提示信息；</w:t>
      </w:r>
    </w:p>
    <w:p w14:paraId="76BE0B7A">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支持显示患者类型信息如急诊、预约等，按照优先级叫号；支持重复呼叫；</w:t>
      </w:r>
    </w:p>
    <w:p w14:paraId="38427039">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支持设置呼叫规则以及留号规则；</w:t>
      </w:r>
    </w:p>
    <w:p w14:paraId="31E38E71">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支持语音设置；包括叫号语音播放次数、报告语音播放次数、设置语音播放；</w:t>
      </w:r>
    </w:p>
    <w:p w14:paraId="78F0B4B3">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支持叫号屏图像化配置，自定义叫号屏背景，字体等内容。</w:t>
      </w:r>
    </w:p>
    <w:p w14:paraId="7195B4CA">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3.1.3病历管理</w:t>
      </w:r>
    </w:p>
    <w:p w14:paraId="29EA1E3D">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可以按照检查大类和检查部位来管理检查资源，全方位满足科室的资源管理需求；</w:t>
      </w:r>
    </w:p>
    <w:p w14:paraId="72E7D1BB">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支持精确查询和模糊查询功能；</w:t>
      </w:r>
    </w:p>
    <w:p w14:paraId="11F5923F">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支持关键字检索功能；</w:t>
      </w:r>
    </w:p>
    <w:p w14:paraId="1650FD3D">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支持自定义设置病历检索条件，并保存采购人的使用习惯；</w:t>
      </w:r>
    </w:p>
    <w:p w14:paraId="38E54114">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对应不同的检查状态（已预约、已登记、已检查、已诊断、已打印）可以设置不同的颜色显示，方便采购人区分病人列表中不同检查状态的病人；</w:t>
      </w:r>
    </w:p>
    <w:p w14:paraId="10C4E5D2">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支持不同类型病人、有病历标签、超时未打印不同颜色显示，如可对疑难病例、危急病例、病历随访设置不同背景颜色；</w:t>
      </w:r>
    </w:p>
    <w:p w14:paraId="0CE51F9F">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支持检索结果列表的字段和顺序由采购人灵活设置，并保存采购人习惯；</w:t>
      </w:r>
    </w:p>
    <w:p w14:paraId="3FE2888D">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检索结果数据可根据采购人科室权限设置进行分级管理（不同科室的医生只可查看本科室检查数据）；</w:t>
      </w:r>
    </w:p>
    <w:p w14:paraId="4FDC80CB">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检索列表支持弹出菜单选择下一步操作，需包含以下功能：信息修改、图像采集、报告编辑、报告批量打印、查看操作日志。</w:t>
      </w:r>
    </w:p>
    <w:p w14:paraId="2B8DE325">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3.1.4医生叫号</w:t>
      </w:r>
    </w:p>
    <w:p w14:paraId="6E9BFB92">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支持设置不同的颜色来区别不同的候诊状态；</w:t>
      </w:r>
    </w:p>
    <w:p w14:paraId="7E4FAEFA">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支持按规则顺序呼叫、指定呼叫、重复呼叫、出本诊室重新排队（误叫/不满足检查条件）；</w:t>
      </w:r>
    </w:p>
    <w:p w14:paraId="1AF74535">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支持候诊列表按队列显示已呼叫人数、排队人数、暂停人数、过号人数、总人数；</w:t>
      </w:r>
    </w:p>
    <w:p w14:paraId="6246F22A">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支持限制诊室医生同时呼叫多个病人；</w:t>
      </w:r>
    </w:p>
    <w:p w14:paraId="0DE34A1D">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支持隐藏候诊列表病人信息，实现公平叫号。</w:t>
      </w:r>
    </w:p>
    <w:p w14:paraId="4B273A2A">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3.1.5影像采集</w:t>
      </w:r>
    </w:p>
    <w:p w14:paraId="61250020">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支持模拟信号采集；含DVI、S-Video、RGB输出口图像输出接口；</w:t>
      </w:r>
    </w:p>
    <w:p w14:paraId="0F5A2755">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支持与符合DICOM3.0标准的超声设备无缝集成，设备图像可一键传入超声工作站。支持DICOM采集传输与编辑报告对不同患者分别操作，互不影响，提高超声检查效率。</w:t>
      </w:r>
    </w:p>
    <w:p w14:paraId="63B3D36C">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支持通过采集手柄、键盘快捷键采集图像。</w:t>
      </w:r>
    </w:p>
    <w:p w14:paraId="656C4DE3">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支持静态图像采集及动态图像采集；动态图像采集可预设采集时间或灵活控制采集时间；采集动态影像时能同步采集多普勒音频；</w:t>
      </w:r>
    </w:p>
    <w:p w14:paraId="417DAB2A">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支持适配不同设备的影像界面，能够设置截取图像区域、图像边框、视频信号；</w:t>
      </w:r>
    </w:p>
    <w:p w14:paraId="2C49C9DF">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支持图像采集到后台缓冲区，并能够把采集到后台的图像全部导入到当前病人；</w:t>
      </w:r>
    </w:p>
    <w:p w14:paraId="51608D11">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支持图像导入、反白、对比分析、自动适应窗体、标注、直线测量、角度测量、矩形测量、椭圆测量、多边形测量、矩形掩模功能；</w:t>
      </w:r>
    </w:p>
    <w:p w14:paraId="67159306">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多种图像处理工具，如:校准图像、图像文字标识，图像放大缩小、图像截取、图像聚焦、图像测量、RGB通道调色、图像标注、图像翻转；</w:t>
      </w:r>
    </w:p>
    <w:p w14:paraId="7DF02C8A">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支持将图像导出为DCM、JPG格式；将影像导出为AVI格式。</w:t>
      </w:r>
    </w:p>
    <w:p w14:paraId="0BD27FBC">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3.1.6报告编辑</w:t>
      </w:r>
    </w:p>
    <w:p w14:paraId="6F85E451">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支持同一诊室两个医生工作模式，一人专业书写报告，一人专业检查采图，同时对两个病人进行检查诊断；</w:t>
      </w:r>
    </w:p>
    <w:p w14:paraId="0FE64C29">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支持影像采集和报告诊断同屏工作模式；</w:t>
      </w:r>
    </w:p>
    <w:p w14:paraId="44B8F70E">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支持叫号列表独立弹窗；</w:t>
      </w:r>
    </w:p>
    <w:p w14:paraId="62EB3D5F">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支持诊断知识库管理：可以添加更新术语，增加典型病例，增加正常病例，增加目录，作废节点，还原节点，字体大小设置等操作；</w:t>
      </w:r>
    </w:p>
    <w:p w14:paraId="5366B1AB">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支持快速添加当前患者病历到知识库中；</w:t>
      </w:r>
    </w:p>
    <w:p w14:paraId="5D381385">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支持所见及所得报告编写方式，提供丰富的专业诊断模板知识库，按检查部位分类；并可自定义公用模板和私用模板；</w:t>
      </w:r>
    </w:p>
    <w:p w14:paraId="60A19B4F">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支持诊断报告界面字体、行高、字体大小等设置；</w:t>
      </w:r>
    </w:p>
    <w:p w14:paraId="1A02C4E7">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支持一键调整检查所见和提示字体增大和缩小；</w:t>
      </w:r>
    </w:p>
    <w:p w14:paraId="2B9083B0">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支持按性别显示检查参数参考范围值；</w:t>
      </w:r>
    </w:p>
    <w:p w14:paraId="4D53A390">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支持检查参数设置，便于诊断报告时直接引用；支持编辑报告时需要填入的参数可全键盘录入；</w:t>
      </w:r>
    </w:p>
    <w:p w14:paraId="67EE52B9">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支持诊断报告智能校验提醒。</w:t>
      </w:r>
    </w:p>
    <w:p w14:paraId="70DA0A08">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支持引用系统知识库的典型病历报告；支持引用病人历史的检查报告；</w:t>
      </w:r>
    </w:p>
    <w:p w14:paraId="2CBF4B56">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支持测量参数按使用情况在报告单中动态显示，如未测量填值时不在报告单中显示；</w:t>
      </w:r>
    </w:p>
    <w:p w14:paraId="5775F68C">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支持调阅第三方电子病历；支持查看相关检查报告和影像；</w:t>
      </w:r>
    </w:p>
    <w:p w14:paraId="69478633">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支持自动患者匹配功能，如该患者的过往检查历史记录，将查询并提示出来；</w:t>
      </w:r>
    </w:p>
    <w:p w14:paraId="18ED5918">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支持报告留痕功能，可查看报告的修改记录；</w:t>
      </w:r>
    </w:p>
    <w:p w14:paraId="1633BF81">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支持报告打印模板自定义编辑，可设置“适用检查科室”；支持界面字体、行高、加粗、字体大小等设置；</w:t>
      </w:r>
    </w:p>
    <w:p w14:paraId="4B245AFC">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支持根据采购人选择图像的数量智能图像排列；</w:t>
      </w:r>
    </w:p>
    <w:p w14:paraId="7A7DA880">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支持报告多级审核机制，上级医生可对报告进行修改、审核、并保存修改记录信息；</w:t>
      </w:r>
    </w:p>
    <w:p w14:paraId="3EA576FC">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支持打印的图像自动排版并可调整图像排列顺序，打印的图像数量没有限制；</w:t>
      </w:r>
    </w:p>
    <w:p w14:paraId="472D2EF8">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支持规培医生的报告诊断以及双签报告模式；</w:t>
      </w:r>
    </w:p>
    <w:p w14:paraId="03CE275E">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支持报告电子签名验证功能；</w:t>
      </w:r>
    </w:p>
    <w:p w14:paraId="2CA80954">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支持多医疗机构的自助打印功能；</w:t>
      </w:r>
    </w:p>
    <w:p w14:paraId="1E1219BC">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报告单能另存为JPG图片文件或PDF文件等，方便输出携带；</w:t>
      </w:r>
    </w:p>
    <w:p w14:paraId="412A71E6">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收藏夹支持自定义目录；对操作中的报告可收藏；可设置为典型病例以及教学病例；</w:t>
      </w:r>
    </w:p>
    <w:p w14:paraId="3766D3F8">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支持不良事件上报、典型病例记录、病历追踪、疑难病例和临床随访标记、手术记录等功能。</w:t>
      </w:r>
    </w:p>
    <w:p w14:paraId="090B234E">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3.1.7病历追踪模块</w:t>
      </w:r>
    </w:p>
    <w:p w14:paraId="0C211523">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适用于超声病人初步检查结束后持续追踪病人诊断情况；</w:t>
      </w:r>
    </w:p>
    <w:p w14:paraId="0F85FCC2">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按检查日期、追踪时间、姓名、性别、追踪状态、病人ID、检查医生、符合情况、检查ID、追踪医生、病历标签条件进行查询；</w:t>
      </w:r>
    </w:p>
    <w:p w14:paraId="6C687D40">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支持对手术结果、病理结果、实验室结果、出院诊断、其他追踪资料进行补充；</w:t>
      </w:r>
    </w:p>
    <w:p w14:paraId="5DE2DC33">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支持按检查日期、追踪时间、姓名、性别、追踪状态、病人ID、检查医生、符合情况、检查ID、追踪医生、病历标签条件进行查询。</w:t>
      </w:r>
    </w:p>
    <w:p w14:paraId="7F49682D">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3.1.8科室管理</w:t>
      </w:r>
    </w:p>
    <w:p w14:paraId="54CAC309">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支持报告和影像评价质控功能；</w:t>
      </w:r>
    </w:p>
    <w:p w14:paraId="7715BF1F">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支持报告和影像评价细项内容和分值自定义；</w:t>
      </w:r>
    </w:p>
    <w:p w14:paraId="41C5D8EF">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常规统计报表，如：阳性率统计、检查费用分类统计、登记工作量统计、诊断医生工作量统计、危急报告统计、临床医生申请量统计、检查项目分类统计、设备工作量统计、诊断结果分类统计、诊断符合率统计；</w:t>
      </w:r>
    </w:p>
    <w:p w14:paraId="00DC1DAB">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条件组合查询：统计查询按时间范围、检查部位、病人来源、检查科室、诊断医生、设备名称、费用、积分；</w:t>
      </w:r>
    </w:p>
    <w:p w14:paraId="7CF2FBD2">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导出数据：数据列表页面下显示的统计数据都可导出，导出的格式为Excel文件；</w:t>
      </w:r>
    </w:p>
    <w:p w14:paraId="69828A51">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按性别、年龄、检查类别、检查部位、疾病名称进行单个和组合查询；</w:t>
      </w:r>
    </w:p>
    <w:p w14:paraId="35E28992">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统计结果多模态的数据展示：包括表格、柱状图、饼状图、折线图；</w:t>
      </w:r>
    </w:p>
    <w:p w14:paraId="05AD1ADB">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bookmarkStart w:id="1" w:name="_Hlk99122319"/>
      <w:r>
        <w:rPr>
          <w:rFonts w:hint="eastAsia" w:ascii="仿宋" w:hAnsi="仿宋" w:eastAsia="仿宋" w:cs="仿宋"/>
          <w:b w:val="0"/>
          <w:bCs w:val="0"/>
          <w:color w:val="auto"/>
          <w:sz w:val="24"/>
          <w:highlight w:val="none"/>
          <w:u w:val="none" w:color="auto"/>
          <w:lang w:val="en-US" w:eastAsia="zh-CN"/>
        </w:rPr>
        <w:t>支持统计分析结果预览和打印；</w:t>
      </w:r>
    </w:p>
    <w:p w14:paraId="6232AA40">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系统支持数据以Excel文件导出。</w:t>
      </w:r>
      <w:bookmarkEnd w:id="1"/>
    </w:p>
    <w:p w14:paraId="1D843260">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3.1.9数据统计与分析</w:t>
      </w:r>
    </w:p>
    <w:p w14:paraId="26B27CB2">
      <w:pPr>
        <w:numPr>
          <w:ilvl w:val="0"/>
          <w:numId w:val="13"/>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报表设计：按照实际需求设计自定义报表；</w:t>
      </w:r>
    </w:p>
    <w:p w14:paraId="6DB46245">
      <w:pPr>
        <w:numPr>
          <w:ilvl w:val="0"/>
          <w:numId w:val="13"/>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按照大类分为：诊断医生工作量、记录医生工作量、申请医生工作量、病人检查记录、检查项目分类、费用分类、设备工作量、报告评审统计、质控报告信息统计、检查部位、预约检查率、医生加班工作量、危急值等统计数据，形成统计报表。</w:t>
      </w:r>
    </w:p>
    <w:p w14:paraId="4513D60D">
      <w:pPr>
        <w:numPr>
          <w:ilvl w:val="0"/>
          <w:numId w:val="13"/>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可设计报表、打印报表、导出数据保存为Excel文件、打印统计图，导出统计图；</w:t>
      </w:r>
    </w:p>
    <w:p w14:paraId="066E0435">
      <w:pPr>
        <w:numPr>
          <w:ilvl w:val="0"/>
          <w:numId w:val="13"/>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统计结果列表显示、饼形图显示、柱状图显示等多种方式。</w:t>
      </w:r>
    </w:p>
    <w:p w14:paraId="49051310">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3.1.10其它服务承诺</w:t>
      </w:r>
    </w:p>
    <w:p w14:paraId="4BB9C627">
      <w:pPr>
        <w:numPr>
          <w:ilvl w:val="0"/>
          <w:numId w:val="1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供应商应当保证给采购人本项目的软件产品及技术服务是供应商本项目最成熟、稳定的服务。</w:t>
      </w:r>
    </w:p>
    <w:p w14:paraId="2F8C2516">
      <w:pPr>
        <w:numPr>
          <w:ilvl w:val="0"/>
          <w:numId w:val="14"/>
        </w:numPr>
        <w:autoSpaceDE w:val="0"/>
        <w:autoSpaceDN w:val="0"/>
        <w:spacing w:line="360" w:lineRule="auto"/>
        <w:ind w:left="0" w:leftChars="0" w:firstLine="567" w:firstLineChars="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培训要求：至少提供对2名受训人员进行维护和保养等技术培训的服务，供应商提供详细的培训计划、培训内容及列明培训时间、地点。</w:t>
      </w:r>
    </w:p>
    <w:p w14:paraId="4A3D9672">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3.2 系统维护</w:t>
      </w:r>
    </w:p>
    <w:p w14:paraId="75B6AD0C">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医学影像信息系统主要用于超声科检查设备数据管理。其维护服务要求提供基础日常维护、报表开发、系统优化等服务，定期回访、提供运维记录至医院以保障运维效果。</w:t>
      </w:r>
    </w:p>
    <w:p w14:paraId="3E373B5A">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3.2.1技术支持方式</w:t>
      </w:r>
    </w:p>
    <w:p w14:paraId="170F32F3">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（1）热线支持</w:t>
      </w:r>
    </w:p>
    <w:p w14:paraId="17BB1B1E">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提供7×24小时的热线电话支持，责任工程师的移动电话24小时保持畅通。如果采购人使用的系统出现技术故障，无论是软件、硬件或是网络，都可以通过热线电话的到支持与帮助。</w:t>
      </w:r>
    </w:p>
    <w:p w14:paraId="6CB90C3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电话技术支持，协作采购人工程师的日常维护，电话指导不能解决的问题，1</w:t>
      </w:r>
      <w:r>
        <w:rPr>
          <w:rFonts w:hint="eastAsia"/>
          <w:highlight w:val="none"/>
          <w:lang w:val="en-US" w:eastAsia="zh-CN"/>
        </w:rPr>
        <w:t>个</w:t>
      </w:r>
      <w:r>
        <w:rPr>
          <w:rFonts w:hint="eastAsia" w:ascii="仿宋" w:hAnsi="仿宋" w:eastAsia="仿宋" w:cs="仿宋"/>
          <w:b w:val="0"/>
          <w:bCs w:val="0"/>
          <w:color w:val="auto"/>
          <w:sz w:val="24"/>
          <w:highlight w:val="none"/>
          <w:u w:val="none" w:color="auto"/>
          <w:lang w:val="en-US" w:eastAsia="zh-CN"/>
        </w:rPr>
        <w:t>工作日内抵达现场解决。</w:t>
      </w:r>
    </w:p>
    <w:p w14:paraId="65B0FE30">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（2）现场服务</w:t>
      </w:r>
    </w:p>
    <w:p w14:paraId="7D542293">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维护期之内，对采购人提供现场服务且不另外收取费用：了解系统的运行状况，</w:t>
      </w:r>
      <w:r>
        <w:rPr>
          <w:rFonts w:hint="eastAsia" w:ascii="仿宋" w:hAnsi="仿宋" w:eastAsia="仿宋" w:cs="仿宋"/>
          <w:b w:val="0"/>
          <w:bCs w:val="0"/>
          <w:color w:val="0000FF"/>
          <w:sz w:val="24"/>
          <w:highlight w:val="none"/>
          <w:u w:val="none" w:color="auto"/>
          <w:lang w:val="en-US" w:eastAsia="zh-CN"/>
        </w:rPr>
        <w:t>对</w:t>
      </w:r>
      <w:r>
        <w:rPr>
          <w:rFonts w:hint="eastAsia" w:ascii="仿宋" w:hAnsi="仿宋" w:eastAsia="仿宋" w:cs="仿宋"/>
          <w:b w:val="0"/>
          <w:bCs w:val="0"/>
          <w:color w:val="auto"/>
          <w:sz w:val="24"/>
          <w:highlight w:val="none"/>
          <w:u w:val="none" w:color="auto"/>
          <w:lang w:val="en-US" w:eastAsia="zh-CN"/>
        </w:rPr>
        <w:t>系统定期维护保养，使系统处于最佳运行状态。技术工程师</w:t>
      </w:r>
      <w:r>
        <w:rPr>
          <w:rFonts w:hint="eastAsia" w:ascii="仿宋" w:hAnsi="仿宋" w:eastAsia="仿宋" w:cs="仿宋"/>
          <w:b w:val="0"/>
          <w:bCs w:val="0"/>
          <w:strike w:val="0"/>
          <w:dstrike w:val="0"/>
          <w:color w:val="0000FF"/>
          <w:sz w:val="24"/>
          <w:highlight w:val="none"/>
          <w:u w:val="none" w:color="auto"/>
          <w:lang w:val="en-US" w:eastAsia="zh-CN"/>
        </w:rPr>
        <w:t>需</w:t>
      </w:r>
      <w:r>
        <w:rPr>
          <w:rFonts w:hint="eastAsia" w:ascii="仿宋" w:hAnsi="仿宋" w:eastAsia="仿宋" w:cs="仿宋"/>
          <w:b w:val="0"/>
          <w:bCs w:val="0"/>
          <w:color w:val="auto"/>
          <w:sz w:val="24"/>
          <w:highlight w:val="none"/>
          <w:u w:val="none" w:color="auto"/>
          <w:lang w:val="en-US" w:eastAsia="zh-CN"/>
        </w:rPr>
        <w:t>帮助采购人在现场进行系统维护，包括：</w:t>
      </w:r>
    </w:p>
    <w:p w14:paraId="478EFD69">
      <w:pPr>
        <w:numPr>
          <w:ilvl w:val="0"/>
          <w:numId w:val="0"/>
        </w:numPr>
        <w:autoSpaceDE w:val="0"/>
        <w:autoSpaceDN w:val="0"/>
        <w:spacing w:line="360" w:lineRule="auto"/>
        <w:ind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kern w:val="2"/>
          <w:sz w:val="24"/>
          <w:szCs w:val="24"/>
          <w:highlight w:val="none"/>
          <w:lang w:val="en-US" w:eastAsia="zh-CN" w:bidi="ar-SA"/>
        </w:rPr>
        <w:t>A.</w:t>
      </w:r>
      <w:r>
        <w:rPr>
          <w:rFonts w:hint="eastAsia" w:ascii="仿宋" w:hAnsi="仿宋" w:eastAsia="仿宋" w:cs="仿宋"/>
          <w:b w:val="0"/>
          <w:bCs w:val="0"/>
          <w:color w:val="auto"/>
          <w:sz w:val="24"/>
          <w:highlight w:val="none"/>
          <w:u w:val="none" w:color="auto"/>
          <w:lang w:val="en-US" w:eastAsia="zh-CN"/>
        </w:rPr>
        <w:t>系统状况检测</w:t>
      </w:r>
      <w:r>
        <w:rPr>
          <w:rFonts w:hint="eastAsia" w:ascii="仿宋" w:hAnsi="仿宋" w:eastAsia="仿宋" w:cs="仿宋"/>
          <w:b w:val="0"/>
          <w:bCs w:val="0"/>
          <w:color w:val="0000FF"/>
          <w:sz w:val="24"/>
          <w:highlight w:val="none"/>
          <w:u w:val="none" w:color="auto"/>
          <w:lang w:val="en-US" w:eastAsia="zh-CN"/>
        </w:rPr>
        <w:t>：</w:t>
      </w:r>
      <w:r>
        <w:rPr>
          <w:rFonts w:hint="eastAsia" w:ascii="仿宋" w:hAnsi="仿宋" w:eastAsia="仿宋" w:cs="仿宋"/>
          <w:b w:val="0"/>
          <w:bCs w:val="0"/>
          <w:color w:val="auto"/>
          <w:sz w:val="24"/>
          <w:highlight w:val="none"/>
          <w:u w:val="none" w:color="auto"/>
          <w:lang w:val="en-US" w:eastAsia="zh-CN"/>
        </w:rPr>
        <w:t>根据采购人的运行记录和系统的运行日志，对软件、硬件的状况进行检查，及时发现并解决潜在的问题。</w:t>
      </w:r>
    </w:p>
    <w:p w14:paraId="573AF150">
      <w:pPr>
        <w:numPr>
          <w:ilvl w:val="0"/>
          <w:numId w:val="0"/>
        </w:numPr>
        <w:autoSpaceDE w:val="0"/>
        <w:autoSpaceDN w:val="0"/>
        <w:spacing w:line="360" w:lineRule="auto"/>
        <w:ind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kern w:val="2"/>
          <w:sz w:val="24"/>
          <w:szCs w:val="24"/>
          <w:highlight w:val="none"/>
          <w:lang w:val="en-US" w:eastAsia="zh-CN" w:bidi="ar-SA"/>
        </w:rPr>
        <w:t>B.</w:t>
      </w:r>
      <w:r>
        <w:rPr>
          <w:rFonts w:hint="eastAsia" w:ascii="仿宋" w:hAnsi="仿宋" w:eastAsia="仿宋" w:cs="仿宋"/>
          <w:b w:val="0"/>
          <w:bCs w:val="0"/>
          <w:color w:val="auto"/>
          <w:sz w:val="24"/>
          <w:highlight w:val="none"/>
          <w:u w:val="none" w:color="auto"/>
          <w:lang w:val="en-US" w:eastAsia="zh-CN"/>
        </w:rPr>
        <w:t>系统升级或修补</w:t>
      </w:r>
      <w:r>
        <w:rPr>
          <w:rFonts w:hint="eastAsia" w:ascii="仿宋" w:hAnsi="仿宋" w:eastAsia="仿宋" w:cs="仿宋"/>
          <w:b w:val="0"/>
          <w:bCs w:val="0"/>
          <w:color w:val="0000FF"/>
          <w:sz w:val="24"/>
          <w:highlight w:val="none"/>
          <w:u w:val="none" w:color="auto"/>
          <w:lang w:val="en-US" w:eastAsia="zh-CN"/>
        </w:rPr>
        <w:t>：</w:t>
      </w:r>
      <w:r>
        <w:rPr>
          <w:rFonts w:hint="eastAsia" w:ascii="仿宋" w:hAnsi="仿宋" w:eastAsia="仿宋" w:cs="仿宋"/>
          <w:b w:val="0"/>
          <w:bCs w:val="0"/>
          <w:color w:val="auto"/>
          <w:sz w:val="24"/>
          <w:highlight w:val="none"/>
          <w:u w:val="none" w:color="auto"/>
          <w:lang w:val="en-US" w:eastAsia="zh-CN"/>
        </w:rPr>
        <w:t>根据行业发展和产品厂商提供的支持，定期对系统性能测试及调整，解答采购人</w:t>
      </w:r>
      <w:r>
        <w:rPr>
          <w:rFonts w:hint="eastAsia" w:ascii="仿宋" w:hAnsi="仿宋" w:eastAsia="仿宋" w:cs="仿宋"/>
          <w:b w:val="0"/>
          <w:bCs w:val="0"/>
          <w:color w:val="0000FF"/>
          <w:sz w:val="24"/>
          <w:highlight w:val="none"/>
          <w:u w:val="none" w:color="auto"/>
          <w:lang w:val="en-US" w:eastAsia="zh-CN"/>
        </w:rPr>
        <w:t>有关</w:t>
      </w:r>
      <w:r>
        <w:rPr>
          <w:rFonts w:hint="eastAsia" w:ascii="仿宋" w:hAnsi="仿宋" w:eastAsia="仿宋" w:cs="仿宋"/>
          <w:b w:val="0"/>
          <w:bCs w:val="0"/>
          <w:color w:val="auto"/>
          <w:sz w:val="24"/>
          <w:highlight w:val="none"/>
          <w:u w:val="none" w:color="auto"/>
          <w:lang w:val="en-US" w:eastAsia="zh-CN"/>
        </w:rPr>
        <w:t>系统维护的问题，了解采购人对服务的满意程度和新的需求。</w:t>
      </w:r>
    </w:p>
    <w:p w14:paraId="5C11026C">
      <w:pPr>
        <w:numPr>
          <w:ilvl w:val="0"/>
          <w:numId w:val="0"/>
        </w:numPr>
        <w:autoSpaceDE w:val="0"/>
        <w:autoSpaceDN w:val="0"/>
        <w:spacing w:line="360" w:lineRule="auto"/>
        <w:ind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kern w:val="2"/>
          <w:sz w:val="24"/>
          <w:szCs w:val="24"/>
          <w:highlight w:val="none"/>
          <w:lang w:val="en-US" w:eastAsia="zh-CN" w:bidi="ar-SA"/>
        </w:rPr>
        <w:t>C.</w:t>
      </w:r>
      <w:r>
        <w:rPr>
          <w:rFonts w:hint="eastAsia" w:ascii="仿宋" w:hAnsi="仿宋" w:eastAsia="仿宋" w:cs="仿宋"/>
          <w:b w:val="0"/>
          <w:bCs w:val="0"/>
          <w:color w:val="auto"/>
          <w:sz w:val="24"/>
          <w:highlight w:val="none"/>
          <w:u w:val="none" w:color="auto"/>
          <w:lang w:val="en-US" w:eastAsia="zh-CN"/>
        </w:rPr>
        <w:t>紧急上门服务</w:t>
      </w:r>
      <w:r>
        <w:rPr>
          <w:rFonts w:hint="eastAsia" w:ascii="仿宋" w:hAnsi="仿宋" w:eastAsia="仿宋" w:cs="仿宋"/>
          <w:b w:val="0"/>
          <w:bCs w:val="0"/>
          <w:color w:val="0000FF"/>
          <w:sz w:val="24"/>
          <w:highlight w:val="none"/>
          <w:u w:val="none" w:color="auto"/>
          <w:lang w:val="en-US" w:eastAsia="zh-CN"/>
        </w:rPr>
        <w:t>：</w:t>
      </w:r>
      <w:r>
        <w:rPr>
          <w:rFonts w:hint="eastAsia" w:ascii="仿宋" w:hAnsi="仿宋" w:eastAsia="仿宋" w:cs="仿宋"/>
          <w:b w:val="0"/>
          <w:bCs w:val="0"/>
          <w:color w:val="auto"/>
          <w:sz w:val="24"/>
          <w:highlight w:val="none"/>
          <w:u w:val="none" w:color="auto"/>
          <w:lang w:val="en-US" w:eastAsia="zh-CN"/>
        </w:rPr>
        <w:t>系统故障或系统灾难导致系统正常工作受到影响，5小时内赶到现场服务。</w:t>
      </w:r>
    </w:p>
    <w:p w14:paraId="1022AD05">
      <w:pPr>
        <w:numPr>
          <w:ilvl w:val="0"/>
          <w:numId w:val="0"/>
        </w:numPr>
        <w:autoSpaceDE w:val="0"/>
        <w:autoSpaceDN w:val="0"/>
        <w:spacing w:line="360" w:lineRule="auto"/>
        <w:ind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kern w:val="2"/>
          <w:sz w:val="24"/>
          <w:szCs w:val="24"/>
          <w:highlight w:val="none"/>
          <w:lang w:val="en-US" w:eastAsia="zh-CN" w:bidi="ar-SA"/>
        </w:rPr>
        <w:t>D.</w:t>
      </w:r>
      <w:r>
        <w:rPr>
          <w:rFonts w:hint="eastAsia" w:ascii="仿宋" w:hAnsi="仿宋" w:eastAsia="仿宋" w:cs="仿宋"/>
          <w:b w:val="0"/>
          <w:bCs w:val="0"/>
          <w:color w:val="auto"/>
          <w:sz w:val="24"/>
          <w:highlight w:val="none"/>
          <w:u w:val="none" w:color="auto"/>
          <w:lang w:val="en-US" w:eastAsia="zh-CN"/>
        </w:rPr>
        <w:t>服务期后成交供应商须提供终生维护，服务方式和服务费由双方协商约定。</w:t>
      </w:r>
    </w:p>
    <w:p w14:paraId="1011C01B">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3.2.2技术支持内容</w:t>
      </w:r>
    </w:p>
    <w:p w14:paraId="27D51B4F">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（1）设备维修与更换</w:t>
      </w:r>
    </w:p>
    <w:p w14:paraId="62F826D2">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维保期内，当采购人使用的设备发生故障时，成交供应商负责对设备进行维修和部件更换，且不另外收取费用；维保期外，继续为采购人提供维修服务，更换的部件酌情收取成本费，费用由双方协商约定。</w:t>
      </w:r>
    </w:p>
    <w:p w14:paraId="7FCA0143">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（2）系统功能完善</w:t>
      </w:r>
    </w:p>
    <w:p w14:paraId="7EECA2FB">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A.软件的日常维护。</w:t>
      </w:r>
    </w:p>
    <w:p w14:paraId="2C1F7E60">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B.程序修改</w:t>
      </w:r>
      <w:r>
        <w:rPr>
          <w:rFonts w:hint="eastAsia" w:ascii="仿宋" w:hAnsi="仿宋" w:eastAsia="仿宋" w:cs="仿宋"/>
          <w:b w:val="0"/>
          <w:bCs w:val="0"/>
          <w:color w:val="0000FF"/>
          <w:sz w:val="24"/>
          <w:highlight w:val="none"/>
          <w:u w:val="none" w:color="auto"/>
          <w:lang w:val="en-US" w:eastAsia="zh-CN"/>
        </w:rPr>
        <w:t>：</w:t>
      </w:r>
      <w:r>
        <w:rPr>
          <w:rFonts w:hint="eastAsia" w:ascii="仿宋" w:hAnsi="仿宋" w:eastAsia="仿宋" w:cs="仿宋"/>
          <w:b w:val="0"/>
          <w:bCs w:val="0"/>
          <w:color w:val="auto"/>
          <w:sz w:val="24"/>
          <w:highlight w:val="none"/>
          <w:u w:val="none" w:color="auto"/>
          <w:lang w:val="en-US" w:eastAsia="zh-CN"/>
        </w:rPr>
        <w:t>根据采购人需求提供任何修改，且不另外收取费用，要求程序错误类2小时内完成，统计报表类24小时内完成，其它修改（如功能的增加或调整、接口开发等）一周内完成，特殊要求不能按时完成时，必须征得采购人同意并在指定时间内完成。</w:t>
      </w:r>
    </w:p>
    <w:p w14:paraId="1D3DCD2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C.系统故障处理。</w:t>
      </w:r>
    </w:p>
    <w:p w14:paraId="57D0E328">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D.系统性能优化。</w:t>
      </w:r>
    </w:p>
    <w:p w14:paraId="5BC5254F">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（3）数据库维护</w:t>
      </w:r>
    </w:p>
    <w:p w14:paraId="56DB2434">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A.数据库系统故障处理</w:t>
      </w:r>
      <w:r>
        <w:rPr>
          <w:rFonts w:hint="eastAsia" w:ascii="仿宋" w:hAnsi="仿宋" w:eastAsia="仿宋" w:cs="仿宋"/>
          <w:b w:val="0"/>
          <w:bCs w:val="0"/>
          <w:color w:val="0000FF"/>
          <w:sz w:val="24"/>
          <w:highlight w:val="none"/>
          <w:u w:val="none" w:color="auto"/>
          <w:lang w:val="en-US" w:eastAsia="zh-CN"/>
        </w:rPr>
        <w:t>。</w:t>
      </w:r>
    </w:p>
    <w:p w14:paraId="357600B4">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B.数据库性能优化。</w:t>
      </w:r>
    </w:p>
    <w:p w14:paraId="5D6A236A">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C.数据库备份与恢复。</w:t>
      </w:r>
    </w:p>
    <w:p w14:paraId="3BD1FCAA">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D.数据库整理。</w:t>
      </w:r>
    </w:p>
    <w:p w14:paraId="1DC75F24">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FF0000"/>
          <w:sz w:val="24"/>
          <w:highlight w:val="none"/>
          <w:u w:val="none" w:color="auto"/>
          <w:lang w:val="en-US" w:eastAsia="zh-CN"/>
        </w:rPr>
        <w:t>（4）</w:t>
      </w:r>
      <w:r>
        <w:rPr>
          <w:rFonts w:hint="eastAsia" w:ascii="仿宋" w:hAnsi="仿宋" w:eastAsia="仿宋" w:cs="仿宋"/>
          <w:b w:val="0"/>
          <w:bCs w:val="0"/>
          <w:color w:val="auto"/>
          <w:sz w:val="24"/>
          <w:highlight w:val="none"/>
          <w:u w:val="none" w:color="auto"/>
          <w:lang w:val="en-US" w:eastAsia="zh-CN"/>
        </w:rPr>
        <w:t>所提供的软件功能如有增强、扩展及其它变化时，</w:t>
      </w:r>
      <w:r>
        <w:rPr>
          <w:rFonts w:hint="eastAsia" w:ascii="仿宋" w:hAnsi="仿宋" w:eastAsia="仿宋" w:cs="仿宋"/>
          <w:b w:val="0"/>
          <w:bCs w:val="0"/>
          <w:strike w:val="0"/>
          <w:dstrike w:val="0"/>
          <w:color w:val="FF0000"/>
          <w:sz w:val="24"/>
          <w:highlight w:val="none"/>
          <w:u w:val="none" w:color="auto"/>
          <w:lang w:val="en-US" w:eastAsia="zh-CN"/>
        </w:rPr>
        <w:t>供应商需提供</w:t>
      </w:r>
      <w:r>
        <w:rPr>
          <w:rFonts w:hint="eastAsia" w:ascii="仿宋" w:hAnsi="仿宋" w:eastAsia="仿宋" w:cs="仿宋"/>
          <w:b w:val="0"/>
          <w:bCs w:val="0"/>
          <w:color w:val="auto"/>
          <w:sz w:val="24"/>
          <w:highlight w:val="none"/>
          <w:u w:val="none" w:color="auto"/>
          <w:lang w:val="en-US" w:eastAsia="zh-CN"/>
        </w:rPr>
        <w:t>最新的介绍资料和修补软件，包括对软件新的改进、增加的新功能或者为适应最新标准所形成的最新版本，软件的介质可以根据采购人的需要，提供磁盘、磁带或CD-ROM。</w:t>
      </w:r>
    </w:p>
    <w:p w14:paraId="30E286EB">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系统升级完成后，进行详细测试，确保系统升级后仍然可以正常运转。对于升级过程中遇到的问题应当及时通过各种途径加以解决。做好详细的系统升级报告，作为文档提交给采购人保存。对采购人进行相应的培训，确保采购人可以正常使用升级后的系统。</w:t>
      </w:r>
    </w:p>
    <w:p w14:paraId="0F0FF17D">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bookmarkStart w:id="2" w:name="_Toc37422440"/>
      <w:bookmarkStart w:id="3" w:name="_Toc533366591"/>
      <w:r>
        <w:rPr>
          <w:rFonts w:hint="eastAsia" w:ascii="仿宋" w:hAnsi="仿宋" w:eastAsia="仿宋" w:cs="仿宋"/>
          <w:b w:val="0"/>
          <w:bCs w:val="0"/>
          <w:color w:val="auto"/>
          <w:sz w:val="24"/>
          <w:highlight w:val="none"/>
          <w:u w:val="none" w:color="auto"/>
          <w:lang w:val="en-US" w:eastAsia="zh-CN"/>
        </w:rPr>
        <w:t>3.2.3应急维修时间安排</w:t>
      </w:r>
      <w:bookmarkEnd w:id="2"/>
      <w:bookmarkEnd w:id="3"/>
    </w:p>
    <w:p w14:paraId="5118802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（1）服务响应时间：一小时内响应。</w:t>
      </w:r>
    </w:p>
    <w:p w14:paraId="41825DC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到达现场时间：确认故障后和采购人商定，需以最快时间到达现场，进行紧急故障处理，到场后2小时解决问题。如出现2小时无法解决的问题，需提供相应备件产品供采购人使用，尽最大努力降低采购人的损失。</w:t>
      </w:r>
    </w:p>
    <w:p w14:paraId="56519C8E">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bookmarkStart w:id="4" w:name="_Toc37422441"/>
      <w:bookmarkStart w:id="5" w:name="_Toc533366592"/>
      <w:r>
        <w:rPr>
          <w:rFonts w:hint="eastAsia" w:ascii="仿宋" w:hAnsi="仿宋" w:eastAsia="仿宋" w:cs="仿宋"/>
          <w:b w:val="0"/>
          <w:bCs w:val="0"/>
          <w:color w:val="auto"/>
          <w:sz w:val="24"/>
          <w:highlight w:val="none"/>
          <w:u w:val="none" w:color="auto"/>
          <w:lang w:val="en-US" w:eastAsia="zh-CN"/>
        </w:rPr>
        <w:t>3.2.4主要零配件</w:t>
      </w:r>
      <w:bookmarkEnd w:id="4"/>
      <w:bookmarkEnd w:id="5"/>
      <w:r>
        <w:rPr>
          <w:rFonts w:hint="eastAsia" w:ascii="仿宋" w:hAnsi="仿宋" w:eastAsia="仿宋" w:cs="仿宋"/>
          <w:b w:val="0"/>
          <w:bCs w:val="0"/>
          <w:color w:val="auto"/>
          <w:sz w:val="24"/>
          <w:highlight w:val="none"/>
          <w:u w:val="none" w:color="auto"/>
          <w:lang w:val="en-US" w:eastAsia="zh-CN"/>
        </w:rPr>
        <w:t>、易耗品</w:t>
      </w:r>
    </w:p>
    <w:p w14:paraId="2BFE3543">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（1）主要零配件：</w:t>
      </w:r>
    </w:p>
    <w:p w14:paraId="7FD61E89">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A.在维保期内，成交供应商需对系统运行出现的故障进行处理和对故障部件进行更换，且不另外收取费用。</w:t>
      </w:r>
    </w:p>
    <w:p w14:paraId="5C2C072D">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B.维保期结束后，仍提供长期的维护服务；软件具体收费按合同执行，硬件按采购即时的成本执行。</w:t>
      </w:r>
    </w:p>
    <w:p w14:paraId="6FDE420F">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（2）易耗品</w:t>
      </w:r>
    </w:p>
    <w:p w14:paraId="53B92CF6">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A.在维保期内，对易耗品（如加密狗）出现故障的部件进行更换，并将损坏的部件收回，且不另外收取费用。</w:t>
      </w:r>
    </w:p>
    <w:p w14:paraId="397FA4FD">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B.维保期结束后，仍提供长期的维护服务，硬件按采购即时的成本执行。</w:t>
      </w:r>
    </w:p>
    <w:p w14:paraId="592148E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bookmarkStart w:id="6" w:name="_Toc533366593"/>
      <w:bookmarkStart w:id="7" w:name="_Toc37422442"/>
      <w:r>
        <w:rPr>
          <w:rFonts w:hint="eastAsia" w:ascii="仿宋" w:hAnsi="仿宋" w:eastAsia="仿宋" w:cs="仿宋"/>
          <w:b w:val="0"/>
          <w:bCs w:val="0"/>
          <w:color w:val="auto"/>
          <w:sz w:val="24"/>
          <w:highlight w:val="none"/>
          <w:u w:val="none" w:color="auto"/>
          <w:lang w:val="en-US" w:eastAsia="zh-CN"/>
        </w:rPr>
        <w:t>3.2.5其它服务承诺</w:t>
      </w:r>
      <w:bookmarkEnd w:id="6"/>
      <w:bookmarkEnd w:id="7"/>
    </w:p>
    <w:p w14:paraId="08B6C68D">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（1）当服务器硬件系统出问题，一时无法恢复时，成交供应商需启用应急处理措施，为采购人提供临时服务器解决方案，保证医院系统不影响正常的工作；</w:t>
      </w:r>
    </w:p>
    <w:p w14:paraId="6C13D488">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（2）维护期内提供400电话支持，且不另外收取费用；</w:t>
      </w:r>
    </w:p>
    <w:p w14:paraId="143A98B6">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（3）系统软件在合同期内保证95%的开机率（停机时间少于5%），每周计5天，每天计8小时，法定假期除外。</w:t>
      </w:r>
    </w:p>
    <w:p w14:paraId="045CBEC9">
      <w:pPr>
        <w:pStyle w:val="12"/>
        <w:numPr>
          <w:ilvl w:val="0"/>
          <w:numId w:val="0"/>
        </w:numPr>
        <w:adjustRightInd w:val="0"/>
        <w:snapToGrid w:val="0"/>
        <w:spacing w:line="500" w:lineRule="exact"/>
        <w:ind w:firstLine="482" w:firstLineChars="200"/>
        <w:rPr>
          <w:rFonts w:hint="eastAsia" w:ascii="仿宋" w:hAnsi="仿宋" w:eastAsia="仿宋" w:cs="仿宋"/>
          <w:b/>
          <w:bCs/>
          <w:color w:val="auto"/>
          <w:kern w:val="2"/>
          <w:sz w:val="24"/>
          <w:szCs w:val="24"/>
          <w:highlight w:val="none"/>
          <w:u w:val="none" w:color="auto"/>
          <w:lang w:val="zh-CN" w:eastAsia="zh-CN" w:bidi="ar-SA"/>
        </w:rPr>
      </w:pPr>
      <w:r>
        <w:rPr>
          <w:rFonts w:hint="eastAsia" w:ascii="仿宋" w:hAnsi="仿宋" w:eastAsia="仿宋" w:cs="仿宋"/>
          <w:b/>
          <w:bCs/>
          <w:color w:val="auto"/>
          <w:kern w:val="2"/>
          <w:sz w:val="24"/>
          <w:szCs w:val="24"/>
          <w:highlight w:val="none"/>
          <w:u w:val="none" w:color="auto"/>
          <w:lang w:val="zh-CN" w:eastAsia="zh-CN" w:bidi="ar-SA"/>
        </w:rPr>
        <w:t>五、采购项目商务要求</w:t>
      </w:r>
    </w:p>
    <w:p w14:paraId="2ECEB324">
      <w:pPr>
        <w:pStyle w:val="12"/>
        <w:numPr>
          <w:ilvl w:val="0"/>
          <w:numId w:val="0"/>
        </w:numPr>
        <w:adjustRightInd w:val="0"/>
        <w:snapToGrid w:val="0"/>
        <w:spacing w:line="500" w:lineRule="exact"/>
        <w:ind w:firstLineChars="200"/>
        <w:rPr>
          <w:rFonts w:hint="eastAsia" w:ascii="仿宋" w:hAnsi="仿宋" w:eastAsia="仿宋" w:cs="仿宋"/>
          <w:color w:val="auto"/>
          <w:sz w:val="24"/>
          <w:szCs w:val="24"/>
          <w:highlight w:val="none"/>
          <w:u w:val="none" w:color="auto"/>
          <w:lang w:val="zh-CN"/>
        </w:rPr>
      </w:pPr>
      <w:r>
        <w:rPr>
          <w:rFonts w:hint="eastAsia" w:ascii="仿宋" w:hAnsi="仿宋" w:eastAsia="仿宋" w:cs="仿宋"/>
          <w:color w:val="auto"/>
          <w:sz w:val="24"/>
          <w:szCs w:val="24"/>
          <w:highlight w:val="none"/>
          <w:u w:val="none" w:color="auto"/>
          <w:lang w:val="zh-CN" w:eastAsia="zh-CN"/>
        </w:rPr>
        <w:t>1.</w:t>
      </w:r>
      <w:r>
        <w:rPr>
          <w:rFonts w:hint="eastAsia" w:ascii="仿宋" w:hAnsi="仿宋" w:eastAsia="仿宋" w:cs="仿宋"/>
          <w:color w:val="auto"/>
          <w:sz w:val="24"/>
          <w:szCs w:val="24"/>
          <w:highlight w:val="none"/>
          <w:u w:val="none" w:color="auto"/>
          <w:lang w:val="zh-CN"/>
        </w:rPr>
        <w:t>建设周期</w:t>
      </w:r>
    </w:p>
    <w:p w14:paraId="24DF5122">
      <w:pPr>
        <w:pStyle w:val="12"/>
        <w:numPr>
          <w:ilvl w:val="0"/>
          <w:numId w:val="0"/>
        </w:numPr>
        <w:adjustRightInd w:val="0"/>
        <w:snapToGrid w:val="0"/>
        <w:spacing w:line="500" w:lineRule="exact"/>
        <w:ind w:firstLineChars="200"/>
        <w:rPr>
          <w:rFonts w:hint="eastAsia" w:ascii="仿宋" w:hAnsi="仿宋" w:eastAsia="仿宋" w:cs="仿宋"/>
          <w:color w:val="auto"/>
          <w:sz w:val="24"/>
          <w:szCs w:val="24"/>
          <w:highlight w:val="none"/>
          <w:u w:val="none" w:color="auto"/>
          <w:lang w:val="zh-CN"/>
        </w:rPr>
      </w:pPr>
      <w:r>
        <w:rPr>
          <w:rFonts w:hint="eastAsia" w:ascii="仿宋" w:hAnsi="仿宋" w:eastAsia="仿宋" w:cs="仿宋"/>
          <w:color w:val="auto"/>
          <w:sz w:val="24"/>
          <w:szCs w:val="24"/>
          <w:highlight w:val="none"/>
          <w:u w:val="none" w:color="auto"/>
          <w:lang w:val="zh-CN" w:eastAsia="zh-CN"/>
        </w:rPr>
        <w:t>（1）</w:t>
      </w:r>
      <w:r>
        <w:rPr>
          <w:rFonts w:hint="eastAsia" w:ascii="仿宋" w:hAnsi="仿宋" w:eastAsia="仿宋" w:cs="仿宋"/>
          <w:color w:val="auto"/>
          <w:sz w:val="24"/>
          <w:szCs w:val="24"/>
          <w:highlight w:val="none"/>
          <w:u w:val="none" w:color="auto"/>
          <w:lang w:val="zh-CN"/>
        </w:rPr>
        <w:t>新增工作站</w:t>
      </w:r>
      <w:r>
        <w:rPr>
          <w:rFonts w:hint="eastAsia" w:ascii="仿宋" w:hAnsi="仿宋" w:eastAsia="仿宋" w:cs="仿宋"/>
          <w:color w:val="auto"/>
          <w:sz w:val="24"/>
          <w:szCs w:val="24"/>
          <w:highlight w:val="none"/>
          <w:u w:val="none" w:color="auto"/>
          <w:lang w:val="zh-CN" w:eastAsia="zh-CN"/>
        </w:rPr>
        <w:t>：设备到位后7个工作日内完成实施；</w:t>
      </w:r>
    </w:p>
    <w:p w14:paraId="45D7833C">
      <w:pPr>
        <w:pStyle w:val="12"/>
        <w:numPr>
          <w:ilvl w:val="0"/>
          <w:numId w:val="0"/>
        </w:numPr>
        <w:adjustRightInd w:val="0"/>
        <w:snapToGrid w:val="0"/>
        <w:spacing w:line="500" w:lineRule="exact"/>
        <w:ind w:firstLine="480" w:firstLineChars="200"/>
        <w:rPr>
          <w:rFonts w:hint="eastAsia" w:ascii="仿宋" w:hAnsi="仿宋" w:eastAsia="仿宋" w:cs="仿宋"/>
          <w:b/>
          <w:bCs/>
          <w:color w:val="auto"/>
          <w:kern w:val="2"/>
          <w:sz w:val="24"/>
          <w:szCs w:val="24"/>
          <w:highlight w:val="none"/>
          <w:u w:val="none" w:color="auto"/>
          <w:lang w:val="zh-CN" w:eastAsia="zh-CN" w:bidi="ar-SA"/>
        </w:rPr>
      </w:pPr>
      <w:r>
        <w:rPr>
          <w:rFonts w:hint="eastAsia" w:ascii="仿宋" w:hAnsi="仿宋" w:eastAsia="仿宋" w:cs="仿宋"/>
          <w:color w:val="auto"/>
          <w:sz w:val="24"/>
          <w:szCs w:val="24"/>
          <w:highlight w:val="none"/>
          <w:u w:val="none" w:color="auto"/>
          <w:lang w:val="zh-CN" w:eastAsia="zh-CN"/>
        </w:rPr>
        <w:t>（2）</w:t>
      </w:r>
      <w:r>
        <w:rPr>
          <w:rFonts w:hint="eastAsia" w:ascii="仿宋" w:hAnsi="仿宋" w:eastAsia="仿宋" w:cs="仿宋"/>
          <w:color w:val="auto"/>
          <w:sz w:val="24"/>
          <w:szCs w:val="24"/>
          <w:highlight w:val="none"/>
          <w:u w:val="none" w:color="auto"/>
          <w:lang w:val="zh-CN"/>
        </w:rPr>
        <w:t>系统维护</w:t>
      </w:r>
      <w:r>
        <w:rPr>
          <w:rFonts w:hint="eastAsia" w:ascii="仿宋" w:hAnsi="仿宋" w:eastAsia="仿宋" w:cs="仿宋"/>
          <w:color w:val="auto"/>
          <w:sz w:val="24"/>
          <w:szCs w:val="24"/>
          <w:highlight w:val="none"/>
          <w:u w:val="none" w:color="auto"/>
          <w:lang w:val="zh-CN" w:eastAsia="zh-CN"/>
        </w:rPr>
        <w:t>：1年服务期。</w:t>
      </w:r>
    </w:p>
    <w:p w14:paraId="49724994">
      <w:pPr>
        <w:pStyle w:val="12"/>
        <w:numPr>
          <w:ilvl w:val="0"/>
          <w:numId w:val="0"/>
        </w:numPr>
        <w:adjustRightInd w:val="0"/>
        <w:snapToGrid w:val="0"/>
        <w:spacing w:line="500" w:lineRule="exact"/>
        <w:ind w:firstLine="480" w:firstLineChars="200"/>
        <w:rPr>
          <w:highlight w:val="none"/>
        </w:rPr>
      </w:pPr>
      <w:r>
        <w:rPr>
          <w:rFonts w:hint="eastAsia" w:ascii="仿宋" w:hAnsi="仿宋" w:eastAsia="仿宋" w:cs="仿宋"/>
          <w:b w:val="0"/>
          <w:bCs w:val="0"/>
          <w:color w:val="auto"/>
          <w:kern w:val="2"/>
          <w:sz w:val="24"/>
          <w:szCs w:val="24"/>
          <w:highlight w:val="none"/>
          <w:u w:val="none" w:color="auto"/>
          <w:lang w:val="en-US" w:eastAsia="zh-CN" w:bidi="ar-SA"/>
        </w:rPr>
        <w:t>2</w:t>
      </w:r>
      <w:r>
        <w:rPr>
          <w:rFonts w:hint="eastAsia" w:ascii="仿宋" w:hAnsi="仿宋" w:eastAsia="仿宋" w:cs="仿宋"/>
          <w:b w:val="0"/>
          <w:bCs w:val="0"/>
          <w:color w:val="auto"/>
          <w:kern w:val="2"/>
          <w:sz w:val="24"/>
          <w:szCs w:val="24"/>
          <w:highlight w:val="none"/>
          <w:u w:val="none" w:color="auto"/>
          <w:lang w:val="zh-CN" w:eastAsia="zh-CN" w:bidi="ar-SA"/>
        </w:rPr>
        <w:t>.报价</w:t>
      </w:r>
      <w:r>
        <w:rPr>
          <w:rFonts w:hint="eastAsia" w:ascii="仿宋" w:hAnsi="仿宋" w:eastAsia="仿宋" w:cs="仿宋"/>
          <w:b w:val="0"/>
          <w:bCs w:val="0"/>
          <w:color w:val="auto"/>
          <w:kern w:val="2"/>
          <w:sz w:val="24"/>
          <w:szCs w:val="24"/>
          <w:highlight w:val="none"/>
          <w:u w:val="none" w:color="auto"/>
          <w:lang w:val="en-US" w:eastAsia="zh-CN" w:bidi="ar-SA"/>
        </w:rPr>
        <w:t>要求</w:t>
      </w:r>
      <w:r>
        <w:rPr>
          <w:rFonts w:hint="eastAsia" w:ascii="仿宋" w:hAnsi="仿宋" w:eastAsia="仿宋" w:cs="仿宋"/>
          <w:b w:val="0"/>
          <w:bCs w:val="0"/>
          <w:color w:val="auto"/>
          <w:kern w:val="2"/>
          <w:sz w:val="24"/>
          <w:szCs w:val="24"/>
          <w:highlight w:val="none"/>
          <w:u w:val="none" w:color="auto"/>
          <w:lang w:val="zh-CN" w:eastAsia="zh-CN" w:bidi="ar-SA"/>
        </w:rPr>
        <w:t>：</w:t>
      </w:r>
    </w:p>
    <w:p w14:paraId="25A79B8A">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（1）报价方式为分项报价，各分项报价不得高于各分项最高预算单价，合计总报价是固定唯一价且无超出采购预算或最高限价。</w:t>
      </w:r>
    </w:p>
    <w:p w14:paraId="06BA788A">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报价必须包括服务过程产生的但不限于人工、工具使用、主要零配件及易耗品更换、培训、各项税费及合同实施过程中的应预见和不可预见费用等完成合同规定责任和义务、达到合同目的的一切费用及企业利润。</w:t>
      </w:r>
    </w:p>
    <w:p w14:paraId="5644B53E">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（3）供应商必须自行考虑本项目在实施期间的一切可能产生的费用。在合同执行过程中，采购人将不再另行支付与本项目相关的任何费用（非本项目要求的其他内容除外）。</w:t>
      </w:r>
    </w:p>
    <w:p w14:paraId="51EF2F82">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3.付款方式</w:t>
      </w:r>
    </w:p>
    <w:p w14:paraId="1ED7B9D5">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（1）新增工作站：项目验收合格后，20个工作日内以成交供应商开具的发票支付本合同中医学影像信息系统新增工作站费用总额的100%。</w:t>
      </w:r>
    </w:p>
    <w:p w14:paraId="75800007">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系统维护：合同签订后20个工作日内，以成交供应商开具的发票支付维护费用总额的50%；服务期结束后20个工作日内，根据两次考核的平均分数给付剩余款项。具体如下：90分及以上，不扣除服务费用；低于90分但高于等于60分，扣除当期服务费用20％；低于60分，扣除当期服务费用50%。</w:t>
      </w:r>
    </w:p>
    <w:p w14:paraId="187A37DD">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（3）支付方式采用银行转账方式。</w:t>
      </w:r>
    </w:p>
    <w:p w14:paraId="77C2E36A">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（4）成交供应商必须向采购人出具合法有效完整的完税发票及凭证进行支付结算。</w:t>
      </w:r>
    </w:p>
    <w:p w14:paraId="23803179">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4.项目验收要求</w:t>
      </w:r>
    </w:p>
    <w:p w14:paraId="21790A1E">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（1）验收标准：验收的主要依据包括本项目的比选文件、响应文件、合同等。</w:t>
      </w:r>
    </w:p>
    <w:p w14:paraId="269EBF4D">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总体验收：供应商须为验收提供必需的一切条件及相关费用，服务期届满后，当项目所有工作内容完成以后，由供应商提交验收申请，采购人组织验收小组，负责对项目进行全面验收。供应商必须提供本项目的相关文档和报告，并积极配合采购人进行完工验收工作，如果验收发现与详细业务需求不符或达不到规定的要求，采购人有权提出索赔。</w:t>
      </w:r>
    </w:p>
    <w:p w14:paraId="4731A697">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（3）在采购人的监督下，服务过程中的各项工作和文档，须达到采购文件中技术要求的标准。</w:t>
      </w:r>
    </w:p>
    <w:p w14:paraId="388F194C">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5.考核要求</w:t>
      </w:r>
    </w:p>
    <w:p w14:paraId="742989B7">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每半年进行一次服务考核评估，根据考核分数扣罚当期服务费用，考核不合格可要求更换技术人员或终止合作。</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274"/>
        <w:gridCol w:w="2622"/>
        <w:gridCol w:w="2444"/>
        <w:gridCol w:w="1159"/>
        <w:gridCol w:w="1315"/>
      </w:tblGrid>
      <w:tr w14:paraId="6E37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DDF1173">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序号</w:t>
            </w:r>
          </w:p>
        </w:tc>
        <w:tc>
          <w:tcPr>
            <w:tcW w:w="0" w:type="auto"/>
            <w:noWrap w:val="0"/>
            <w:vAlign w:val="center"/>
          </w:tcPr>
          <w:p w14:paraId="6A9588BA">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rPr>
              <w:t>指标（分值）</w:t>
            </w:r>
          </w:p>
        </w:tc>
        <w:tc>
          <w:tcPr>
            <w:tcW w:w="0" w:type="auto"/>
            <w:noWrap w:val="0"/>
            <w:vAlign w:val="center"/>
          </w:tcPr>
          <w:p w14:paraId="5A37CF94">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rPr>
              <w:t>具体考评内容</w:t>
            </w:r>
          </w:p>
          <w:p w14:paraId="20251EAD">
            <w:pPr>
              <w:snapToGrid w:val="0"/>
              <w:spacing w:beforeLines="0" w:afterLines="0" w:line="240" w:lineRule="auto"/>
              <w:jc w:val="center"/>
              <w:rPr>
                <w:rFonts w:hint="default" w:ascii="仿宋" w:hAnsi="仿宋" w:eastAsia="仿宋" w:cs="仿宋"/>
                <w:color w:val="auto"/>
                <w:sz w:val="21"/>
                <w:szCs w:val="21"/>
                <w:highlight w:val="none"/>
                <w:lang w:val="en-US" w:eastAsia="zh-CN"/>
              </w:rPr>
            </w:pPr>
          </w:p>
        </w:tc>
        <w:tc>
          <w:tcPr>
            <w:tcW w:w="0" w:type="auto"/>
            <w:noWrap w:val="0"/>
            <w:vAlign w:val="center"/>
          </w:tcPr>
          <w:p w14:paraId="5975D3BF">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扣分规则</w:t>
            </w:r>
          </w:p>
        </w:tc>
        <w:tc>
          <w:tcPr>
            <w:tcW w:w="0" w:type="auto"/>
            <w:noWrap w:val="0"/>
            <w:vAlign w:val="center"/>
          </w:tcPr>
          <w:p w14:paraId="31A7C123">
            <w:pPr>
              <w:snapToGrid w:val="0"/>
              <w:spacing w:beforeLines="0" w:afterLines="0"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科室评分（40%）</w:t>
            </w:r>
          </w:p>
        </w:tc>
        <w:tc>
          <w:tcPr>
            <w:tcW w:w="0" w:type="auto"/>
            <w:noWrap w:val="0"/>
            <w:vAlign w:val="center"/>
          </w:tcPr>
          <w:p w14:paraId="24AB14F9">
            <w:pPr>
              <w:snapToGrid w:val="0"/>
              <w:spacing w:beforeLines="0" w:afterLines="0"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信息部评分（60%））</w:t>
            </w:r>
          </w:p>
        </w:tc>
      </w:tr>
      <w:tr w14:paraId="7F55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1958811">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1</w:t>
            </w:r>
          </w:p>
        </w:tc>
        <w:tc>
          <w:tcPr>
            <w:tcW w:w="0" w:type="auto"/>
            <w:noWrap w:val="0"/>
            <w:vAlign w:val="center"/>
          </w:tcPr>
          <w:p w14:paraId="55D48751">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rPr>
              <w:t>员工形象（</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0" w:type="auto"/>
            <w:noWrap w:val="0"/>
            <w:vAlign w:val="center"/>
          </w:tcPr>
          <w:p w14:paraId="2E4CCF2C">
            <w:pPr>
              <w:numPr>
                <w:ilvl w:val="0"/>
                <w:numId w:val="0"/>
              </w:numPr>
              <w:tabs>
                <w:tab w:val="left" w:pos="312"/>
              </w:tabs>
              <w:snapToGrid w:val="0"/>
              <w:spacing w:beforeLines="0" w:afterLines="0" w:line="240" w:lineRule="auto"/>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着装整洁、文明用语，行为端正，</w:t>
            </w:r>
            <w:r>
              <w:rPr>
                <w:rFonts w:hint="eastAsia" w:ascii="仿宋" w:hAnsi="仿宋" w:eastAsia="仿宋" w:cs="仿宋"/>
                <w:color w:val="auto"/>
                <w:sz w:val="18"/>
                <w:szCs w:val="18"/>
                <w:highlight w:val="none"/>
                <w:lang w:val="en-US" w:eastAsia="zh-CN"/>
              </w:rPr>
              <w:t>驻场人员</w:t>
            </w:r>
            <w:r>
              <w:rPr>
                <w:rFonts w:hint="eastAsia" w:ascii="仿宋" w:hAnsi="仿宋" w:eastAsia="仿宋" w:cs="仿宋"/>
                <w:color w:val="auto"/>
                <w:sz w:val="18"/>
                <w:szCs w:val="18"/>
                <w:highlight w:val="none"/>
              </w:rPr>
              <w:t>佩戴工牌上岗</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不在院内抽烟</w:t>
            </w:r>
            <w:r>
              <w:rPr>
                <w:rFonts w:hint="eastAsia" w:ascii="仿宋" w:hAnsi="仿宋" w:eastAsia="仿宋" w:cs="仿宋"/>
                <w:color w:val="auto"/>
                <w:sz w:val="18"/>
                <w:szCs w:val="18"/>
                <w:highlight w:val="none"/>
              </w:rPr>
              <w:t>。</w:t>
            </w:r>
          </w:p>
          <w:p w14:paraId="222EA6F7">
            <w:pPr>
              <w:snapToGrid w:val="0"/>
              <w:spacing w:beforeLines="0" w:afterLines="0" w:line="240" w:lineRule="auto"/>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服务的工程师均经过公司的专业培训认证</w:t>
            </w:r>
            <w:r>
              <w:rPr>
                <w:rFonts w:hint="eastAsia" w:ascii="仿宋" w:hAnsi="仿宋" w:eastAsia="仿宋" w:cs="仿宋"/>
                <w:color w:val="auto"/>
                <w:sz w:val="18"/>
                <w:szCs w:val="18"/>
                <w:highlight w:val="none"/>
                <w:lang w:val="en-US" w:eastAsia="zh-CN"/>
              </w:rPr>
              <w:t>及资质认证</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符合合同要求</w:t>
            </w:r>
            <w:r>
              <w:rPr>
                <w:rFonts w:hint="eastAsia" w:ascii="仿宋" w:hAnsi="仿宋" w:eastAsia="仿宋" w:cs="仿宋"/>
                <w:color w:val="auto"/>
                <w:sz w:val="18"/>
                <w:szCs w:val="18"/>
                <w:highlight w:val="none"/>
              </w:rPr>
              <w:t>。</w:t>
            </w:r>
          </w:p>
        </w:tc>
        <w:tc>
          <w:tcPr>
            <w:tcW w:w="0" w:type="auto"/>
            <w:noWrap w:val="0"/>
            <w:vAlign w:val="center"/>
          </w:tcPr>
          <w:p w14:paraId="18E1711E">
            <w:pPr>
              <w:snapToGrid w:val="0"/>
              <w:spacing w:beforeLines="0" w:afterLines="0" w:line="240" w:lineRule="auto"/>
              <w:ind w:firstLine="0" w:firstLineChars="0"/>
              <w:jc w:val="left"/>
              <w:rPr>
                <w:rFonts w:hint="eastAsia" w:ascii="仿宋" w:hAnsi="仿宋" w:eastAsia="仿宋" w:cs="Times New Roman"/>
                <w:color w:val="auto"/>
                <w:sz w:val="18"/>
                <w:szCs w:val="18"/>
                <w:highlight w:val="none"/>
                <w:vertAlign w:val="baseline"/>
                <w:lang w:val="en-US" w:eastAsia="zh-CN"/>
              </w:rPr>
            </w:pPr>
            <w:r>
              <w:rPr>
                <w:rFonts w:hint="eastAsia" w:ascii="仿宋" w:hAnsi="仿宋" w:eastAsia="仿宋" w:cs="仿宋"/>
                <w:color w:val="auto"/>
                <w:sz w:val="18"/>
                <w:szCs w:val="18"/>
                <w:highlight w:val="none"/>
              </w:rPr>
              <w:t>每发现1</w:t>
            </w:r>
            <w:r>
              <w:rPr>
                <w:rFonts w:hint="eastAsia" w:ascii="仿宋" w:hAnsi="仿宋" w:eastAsia="仿宋" w:cs="仿宋"/>
                <w:color w:val="auto"/>
                <w:sz w:val="18"/>
                <w:szCs w:val="18"/>
                <w:highlight w:val="none"/>
                <w:lang w:val="en-US" w:eastAsia="zh-CN"/>
              </w:rPr>
              <w:t>例不符合</w:t>
            </w:r>
            <w:r>
              <w:rPr>
                <w:rFonts w:hint="eastAsia" w:ascii="仿宋" w:hAnsi="仿宋" w:eastAsia="仿宋" w:cs="仿宋"/>
                <w:color w:val="auto"/>
                <w:sz w:val="18"/>
                <w:szCs w:val="18"/>
                <w:highlight w:val="none"/>
              </w:rPr>
              <w:t>扣</w:t>
            </w: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分</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扣完为止</w:t>
            </w:r>
            <w:r>
              <w:rPr>
                <w:rFonts w:hint="eastAsia" w:ascii="仿宋" w:hAnsi="仿宋" w:eastAsia="仿宋" w:cs="仿宋"/>
                <w:color w:val="auto"/>
                <w:sz w:val="18"/>
                <w:szCs w:val="18"/>
                <w:highlight w:val="none"/>
              </w:rPr>
              <w:t>。</w:t>
            </w:r>
          </w:p>
        </w:tc>
        <w:tc>
          <w:tcPr>
            <w:tcW w:w="0" w:type="auto"/>
            <w:noWrap w:val="0"/>
            <w:vAlign w:val="center"/>
          </w:tcPr>
          <w:p w14:paraId="309F9A74">
            <w:pPr>
              <w:snapToGrid w:val="0"/>
              <w:spacing w:beforeLines="0" w:afterLines="0" w:line="240" w:lineRule="auto"/>
              <w:jc w:val="left"/>
              <w:rPr>
                <w:rFonts w:hint="eastAsia" w:ascii="仿宋" w:hAnsi="仿宋" w:eastAsia="仿宋" w:cs="仿宋"/>
                <w:color w:val="auto"/>
                <w:sz w:val="21"/>
                <w:szCs w:val="21"/>
                <w:highlight w:val="none"/>
              </w:rPr>
            </w:pPr>
          </w:p>
        </w:tc>
        <w:tc>
          <w:tcPr>
            <w:tcW w:w="0" w:type="auto"/>
            <w:noWrap w:val="0"/>
            <w:vAlign w:val="center"/>
          </w:tcPr>
          <w:p w14:paraId="73E56AD3">
            <w:pPr>
              <w:snapToGrid w:val="0"/>
              <w:spacing w:beforeLines="0" w:afterLines="0" w:line="240" w:lineRule="auto"/>
              <w:jc w:val="left"/>
              <w:rPr>
                <w:rFonts w:hint="eastAsia" w:ascii="仿宋" w:hAnsi="仿宋" w:eastAsia="仿宋" w:cs="仿宋"/>
                <w:color w:val="auto"/>
                <w:sz w:val="21"/>
                <w:szCs w:val="21"/>
                <w:highlight w:val="none"/>
              </w:rPr>
            </w:pPr>
          </w:p>
        </w:tc>
      </w:tr>
      <w:tr w14:paraId="458D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90DC7E0">
            <w:pPr>
              <w:snapToGrid w:val="0"/>
              <w:spacing w:beforeLines="0" w:afterLines="0" w:line="240" w:lineRule="auto"/>
              <w:ind w:firstLine="0" w:firstLineChars="0"/>
              <w:jc w:val="both"/>
              <w:rPr>
                <w:rFonts w:hint="eastAsia" w:ascii="仿宋" w:hAnsi="仿宋" w:eastAsia="仿宋" w:cs="Times New Roman"/>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lang w:val="en-US" w:eastAsia="zh-CN"/>
              </w:rPr>
              <w:t>2</w:t>
            </w:r>
          </w:p>
        </w:tc>
        <w:tc>
          <w:tcPr>
            <w:tcW w:w="0" w:type="auto"/>
            <w:noWrap w:val="0"/>
            <w:vAlign w:val="center"/>
          </w:tcPr>
          <w:p w14:paraId="3E9CB2BA">
            <w:pPr>
              <w:snapToGrid w:val="0"/>
              <w:spacing w:beforeLines="0" w:afterLines="0" w:line="240" w:lineRule="auto"/>
              <w:ind w:firstLine="0" w:firstLineChars="0"/>
              <w:jc w:val="both"/>
              <w:rPr>
                <w:rFonts w:hint="eastAsia" w:ascii="仿宋" w:hAnsi="仿宋" w:eastAsia="仿宋" w:cs="Times New Roman"/>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lang w:val="en-US" w:eastAsia="zh-CN"/>
              </w:rPr>
              <w:t>服务态度</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0分）</w:t>
            </w:r>
          </w:p>
        </w:tc>
        <w:tc>
          <w:tcPr>
            <w:tcW w:w="0" w:type="auto"/>
            <w:noWrap w:val="0"/>
            <w:vAlign w:val="center"/>
          </w:tcPr>
          <w:p w14:paraId="39A582F6">
            <w:pPr>
              <w:snapToGrid w:val="0"/>
              <w:spacing w:beforeLines="0" w:afterLines="0" w:line="240" w:lineRule="auto"/>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用心聆听，不推卸责任，不推诿工作。</w:t>
            </w:r>
          </w:p>
        </w:tc>
        <w:tc>
          <w:tcPr>
            <w:tcW w:w="0" w:type="auto"/>
            <w:noWrap w:val="0"/>
            <w:vAlign w:val="center"/>
          </w:tcPr>
          <w:p w14:paraId="5685B6FB">
            <w:pPr>
              <w:snapToGrid w:val="0"/>
              <w:spacing w:beforeLines="0" w:afterLines="0" w:line="240" w:lineRule="auto"/>
              <w:ind w:firstLine="0" w:firstLineChars="0"/>
              <w:jc w:val="left"/>
              <w:rPr>
                <w:rFonts w:hint="eastAsia" w:ascii="仿宋" w:hAnsi="仿宋" w:eastAsia="仿宋" w:cs="Times New Roman"/>
                <w:color w:val="auto"/>
                <w:kern w:val="2"/>
                <w:sz w:val="18"/>
                <w:szCs w:val="18"/>
                <w:highlight w:val="none"/>
                <w:vertAlign w:val="baseline"/>
                <w:lang w:val="en-US" w:eastAsia="zh-CN" w:bidi="ar-SA"/>
              </w:rPr>
            </w:pPr>
            <w:r>
              <w:rPr>
                <w:rFonts w:hint="eastAsia" w:ascii="仿宋" w:hAnsi="仿宋" w:eastAsia="仿宋" w:cs="仿宋"/>
                <w:color w:val="auto"/>
                <w:sz w:val="18"/>
                <w:szCs w:val="18"/>
                <w:highlight w:val="none"/>
              </w:rPr>
              <w:t>每发现1例不符合扣5分，扣完为止。</w:t>
            </w:r>
          </w:p>
        </w:tc>
        <w:tc>
          <w:tcPr>
            <w:tcW w:w="0" w:type="auto"/>
            <w:noWrap w:val="0"/>
            <w:vAlign w:val="center"/>
          </w:tcPr>
          <w:p w14:paraId="1E926635">
            <w:pPr>
              <w:snapToGrid w:val="0"/>
              <w:spacing w:beforeLines="0" w:afterLines="0" w:line="240" w:lineRule="auto"/>
              <w:jc w:val="left"/>
              <w:rPr>
                <w:rFonts w:hint="eastAsia" w:ascii="仿宋" w:hAnsi="仿宋" w:eastAsia="仿宋" w:cs="仿宋"/>
                <w:color w:val="auto"/>
                <w:sz w:val="21"/>
                <w:szCs w:val="21"/>
                <w:highlight w:val="none"/>
              </w:rPr>
            </w:pPr>
          </w:p>
        </w:tc>
        <w:tc>
          <w:tcPr>
            <w:tcW w:w="0" w:type="auto"/>
            <w:noWrap w:val="0"/>
            <w:vAlign w:val="center"/>
          </w:tcPr>
          <w:p w14:paraId="5CD62B7D">
            <w:pPr>
              <w:snapToGrid w:val="0"/>
              <w:spacing w:beforeLines="0" w:afterLines="0" w:line="240" w:lineRule="auto"/>
              <w:jc w:val="left"/>
              <w:rPr>
                <w:rFonts w:hint="eastAsia" w:ascii="仿宋" w:hAnsi="仿宋" w:eastAsia="仿宋" w:cs="仿宋"/>
                <w:color w:val="auto"/>
                <w:sz w:val="21"/>
                <w:szCs w:val="21"/>
                <w:highlight w:val="none"/>
              </w:rPr>
            </w:pPr>
          </w:p>
        </w:tc>
      </w:tr>
      <w:tr w14:paraId="01FB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D0D61FC">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3</w:t>
            </w:r>
          </w:p>
        </w:tc>
        <w:tc>
          <w:tcPr>
            <w:tcW w:w="0" w:type="auto"/>
            <w:noWrap w:val="0"/>
            <w:vAlign w:val="center"/>
          </w:tcPr>
          <w:p w14:paraId="6F1134F2">
            <w:pPr>
              <w:snapToGrid w:val="0"/>
              <w:spacing w:beforeLines="0" w:afterLines="0" w:line="240" w:lineRule="auto"/>
              <w:jc w:val="center"/>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工作纪律</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p>
        </w:tc>
        <w:tc>
          <w:tcPr>
            <w:tcW w:w="0" w:type="auto"/>
            <w:noWrap w:val="0"/>
            <w:vAlign w:val="center"/>
          </w:tcPr>
          <w:p w14:paraId="78088A71">
            <w:pPr>
              <w:numPr>
                <w:ilvl w:val="0"/>
                <w:numId w:val="0"/>
              </w:numPr>
              <w:snapToGrid w:val="0"/>
              <w:spacing w:beforeLines="0" w:afterLines="0"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如遇可能影响业务正常运行的特殊情况，</w:t>
            </w:r>
            <w:r>
              <w:rPr>
                <w:rFonts w:hint="eastAsia" w:ascii="仿宋" w:hAnsi="仿宋" w:eastAsia="仿宋" w:cs="仿宋"/>
                <w:color w:val="auto"/>
                <w:sz w:val="18"/>
                <w:szCs w:val="18"/>
                <w:highlight w:val="none"/>
              </w:rPr>
              <w:t>应当</w:t>
            </w:r>
            <w:r>
              <w:rPr>
                <w:rFonts w:hint="eastAsia" w:ascii="仿宋" w:hAnsi="仿宋" w:eastAsia="仿宋" w:cs="仿宋"/>
                <w:color w:val="auto"/>
                <w:sz w:val="18"/>
                <w:szCs w:val="18"/>
                <w:highlight w:val="none"/>
                <w:lang w:val="en-US" w:eastAsia="zh-CN"/>
              </w:rPr>
              <w:t>及时</w:t>
            </w:r>
            <w:r>
              <w:rPr>
                <w:rFonts w:hint="eastAsia" w:ascii="仿宋" w:hAnsi="仿宋" w:eastAsia="仿宋" w:cs="仿宋"/>
                <w:color w:val="auto"/>
                <w:sz w:val="18"/>
                <w:szCs w:val="18"/>
                <w:highlight w:val="none"/>
              </w:rPr>
              <w:t>与</w:t>
            </w:r>
            <w:r>
              <w:rPr>
                <w:rFonts w:hint="eastAsia" w:ascii="仿宋" w:hAnsi="仿宋" w:eastAsia="仿宋" w:cs="仿宋"/>
                <w:color w:val="auto"/>
                <w:sz w:val="18"/>
                <w:szCs w:val="18"/>
                <w:highlight w:val="none"/>
                <w:lang w:val="en-US" w:eastAsia="zh-CN"/>
              </w:rPr>
              <w:t>信息部</w:t>
            </w:r>
            <w:r>
              <w:rPr>
                <w:rFonts w:hint="eastAsia" w:ascii="仿宋" w:hAnsi="仿宋" w:eastAsia="仿宋" w:cs="仿宋"/>
                <w:color w:val="auto"/>
                <w:sz w:val="18"/>
                <w:szCs w:val="18"/>
                <w:highlight w:val="none"/>
              </w:rPr>
              <w:t>人员</w:t>
            </w:r>
            <w:r>
              <w:rPr>
                <w:rFonts w:hint="eastAsia" w:ascii="仿宋" w:hAnsi="仿宋" w:eastAsia="仿宋" w:cs="仿宋"/>
                <w:color w:val="auto"/>
                <w:sz w:val="18"/>
                <w:szCs w:val="18"/>
                <w:highlight w:val="none"/>
                <w:lang w:val="en-US" w:eastAsia="zh-CN"/>
              </w:rPr>
              <w:t>联系</w:t>
            </w:r>
            <w:r>
              <w:rPr>
                <w:rFonts w:hint="eastAsia" w:ascii="仿宋" w:hAnsi="仿宋" w:eastAsia="仿宋" w:cs="仿宋"/>
                <w:color w:val="auto"/>
                <w:sz w:val="18"/>
                <w:szCs w:val="18"/>
                <w:highlight w:val="none"/>
              </w:rPr>
              <w:t>。</w:t>
            </w:r>
          </w:p>
          <w:p w14:paraId="6F5237F9">
            <w:pPr>
              <w:numPr>
                <w:ilvl w:val="0"/>
                <w:numId w:val="0"/>
              </w:numPr>
              <w:snapToGrid w:val="0"/>
              <w:spacing w:beforeLines="0" w:afterLines="0"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2.进入临床业务科室前需告知信息部人员。</w:t>
            </w:r>
          </w:p>
          <w:p w14:paraId="3716592A">
            <w:pPr>
              <w:snapToGrid w:val="0"/>
              <w:spacing w:beforeLines="0" w:afterLines="0" w:line="240" w:lineRule="auto"/>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kern w:val="0"/>
                <w:sz w:val="18"/>
                <w:szCs w:val="18"/>
                <w:highlight w:val="none"/>
              </w:rPr>
              <w:t>不得违反实时政策要求、院内管理规定等。</w:t>
            </w:r>
          </w:p>
        </w:tc>
        <w:tc>
          <w:tcPr>
            <w:tcW w:w="0" w:type="auto"/>
            <w:noWrap w:val="0"/>
            <w:vAlign w:val="center"/>
          </w:tcPr>
          <w:p w14:paraId="427DA395">
            <w:pPr>
              <w:snapToGrid w:val="0"/>
              <w:spacing w:beforeLines="0" w:afterLines="0" w:line="240" w:lineRule="auto"/>
              <w:ind w:firstLine="0" w:firstLineChars="0"/>
              <w:jc w:val="left"/>
              <w:rPr>
                <w:rFonts w:hint="eastAsia" w:ascii="仿宋" w:hAnsi="仿宋" w:eastAsia="仿宋" w:cs="Times New Roman"/>
                <w:color w:val="auto"/>
                <w:sz w:val="18"/>
                <w:szCs w:val="18"/>
                <w:highlight w:val="none"/>
                <w:vertAlign w:val="baseline"/>
                <w:lang w:val="en-US" w:eastAsia="zh-CN"/>
              </w:rPr>
            </w:pPr>
            <w:r>
              <w:rPr>
                <w:rFonts w:hint="eastAsia" w:ascii="仿宋" w:hAnsi="仿宋" w:eastAsia="仿宋" w:cs="仿宋"/>
                <w:color w:val="auto"/>
                <w:sz w:val="18"/>
                <w:szCs w:val="18"/>
                <w:highlight w:val="none"/>
              </w:rPr>
              <w:t>每发现1例不符合扣5分，扣完为止。</w:t>
            </w:r>
          </w:p>
        </w:tc>
        <w:tc>
          <w:tcPr>
            <w:tcW w:w="0" w:type="auto"/>
            <w:noWrap w:val="0"/>
            <w:vAlign w:val="center"/>
          </w:tcPr>
          <w:p w14:paraId="2D2AA835">
            <w:pPr>
              <w:snapToGrid w:val="0"/>
              <w:spacing w:beforeLines="0" w:afterLines="0" w:line="240" w:lineRule="auto"/>
              <w:jc w:val="left"/>
              <w:rPr>
                <w:rFonts w:hint="eastAsia" w:ascii="仿宋" w:hAnsi="仿宋" w:eastAsia="仿宋" w:cs="仿宋"/>
                <w:color w:val="auto"/>
                <w:sz w:val="21"/>
                <w:szCs w:val="21"/>
                <w:highlight w:val="none"/>
              </w:rPr>
            </w:pPr>
          </w:p>
        </w:tc>
        <w:tc>
          <w:tcPr>
            <w:tcW w:w="0" w:type="auto"/>
            <w:noWrap w:val="0"/>
            <w:vAlign w:val="center"/>
          </w:tcPr>
          <w:p w14:paraId="1C87097B">
            <w:pPr>
              <w:snapToGrid w:val="0"/>
              <w:spacing w:beforeLines="0" w:afterLines="0" w:line="240" w:lineRule="auto"/>
              <w:jc w:val="left"/>
              <w:rPr>
                <w:rFonts w:hint="eastAsia" w:ascii="仿宋" w:hAnsi="仿宋" w:eastAsia="仿宋" w:cs="仿宋"/>
                <w:color w:val="auto"/>
                <w:sz w:val="21"/>
                <w:szCs w:val="21"/>
                <w:highlight w:val="none"/>
              </w:rPr>
            </w:pPr>
          </w:p>
        </w:tc>
      </w:tr>
      <w:tr w14:paraId="6046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B704095">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4</w:t>
            </w:r>
          </w:p>
        </w:tc>
        <w:tc>
          <w:tcPr>
            <w:tcW w:w="0" w:type="auto"/>
            <w:noWrap w:val="0"/>
            <w:vAlign w:val="center"/>
          </w:tcPr>
          <w:p w14:paraId="155AC64C">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服务响应</w:t>
            </w:r>
            <w:r>
              <w:rPr>
                <w:rFonts w:hint="eastAsia" w:ascii="仿宋" w:hAnsi="仿宋" w:eastAsia="仿宋" w:cs="仿宋"/>
                <w:color w:val="auto"/>
                <w:sz w:val="21"/>
                <w:szCs w:val="21"/>
                <w:highlight w:val="none"/>
              </w:rPr>
              <w:t>及处理（</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tc>
        <w:tc>
          <w:tcPr>
            <w:tcW w:w="0" w:type="auto"/>
            <w:noWrap w:val="0"/>
            <w:vAlign w:val="center"/>
          </w:tcPr>
          <w:p w14:paraId="494FED17">
            <w:pPr>
              <w:pStyle w:val="4"/>
              <w:numPr>
                <w:ilvl w:val="0"/>
                <w:numId w:val="0"/>
              </w:numPr>
              <w:snapToGrid w:val="0"/>
              <w:spacing w:beforeLines="0" w:afterLines="0" w:line="240" w:lineRule="auto"/>
              <w:ind w:firstLine="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r>
              <w:rPr>
                <w:rFonts w:hint="eastAsia" w:ascii="仿宋" w:hAnsi="仿宋" w:eastAsia="仿宋" w:cs="仿宋"/>
                <w:color w:val="auto"/>
                <w:sz w:val="18"/>
                <w:szCs w:val="18"/>
                <w:highlight w:val="none"/>
                <w:lang w:val="en-US" w:eastAsia="zh-CN"/>
              </w:rPr>
              <w:t>维护</w:t>
            </w:r>
            <w:r>
              <w:rPr>
                <w:rFonts w:hint="eastAsia" w:ascii="仿宋" w:hAnsi="仿宋" w:eastAsia="仿宋" w:cs="仿宋"/>
                <w:color w:val="auto"/>
                <w:sz w:val="18"/>
                <w:szCs w:val="18"/>
                <w:highlight w:val="none"/>
              </w:rPr>
              <w:t>电话24小时保持畅通。</w:t>
            </w:r>
          </w:p>
          <w:p w14:paraId="7A70347A">
            <w:pPr>
              <w:pStyle w:val="4"/>
              <w:numPr>
                <w:ilvl w:val="0"/>
                <w:numId w:val="0"/>
              </w:numPr>
              <w:snapToGrid w:val="0"/>
              <w:spacing w:beforeLines="0" w:afterLines="0" w:line="240" w:lineRule="auto"/>
              <w:ind w:firstLine="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2.</w:t>
            </w:r>
            <w:r>
              <w:rPr>
                <w:rFonts w:hint="eastAsia" w:ascii="仿宋" w:hAnsi="仿宋" w:eastAsia="仿宋" w:cs="仿宋"/>
                <w:color w:val="auto"/>
                <w:sz w:val="18"/>
                <w:szCs w:val="18"/>
                <w:highlight w:val="none"/>
                <w:lang w:val="en-US" w:eastAsia="zh-CN"/>
              </w:rPr>
              <w:t>准确完成医院提出的合理功能开发需求。</w:t>
            </w:r>
          </w:p>
          <w:p w14:paraId="42446EBB">
            <w:pPr>
              <w:snapToGrid w:val="0"/>
              <w:spacing w:beforeLines="0" w:afterLines="0" w:line="240" w:lineRule="auto"/>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r>
              <w:rPr>
                <w:rFonts w:hint="eastAsia" w:ascii="仿宋" w:hAnsi="仿宋" w:eastAsia="仿宋" w:cs="仿宋"/>
                <w:color w:val="auto"/>
                <w:sz w:val="18"/>
                <w:szCs w:val="18"/>
                <w:highlight w:val="none"/>
                <w:lang w:val="en-US" w:eastAsia="zh-CN"/>
              </w:rPr>
              <w:t>按合同约定时限</w:t>
            </w:r>
            <w:r>
              <w:rPr>
                <w:rFonts w:hint="eastAsia" w:ascii="仿宋" w:hAnsi="仿宋" w:eastAsia="仿宋" w:cs="仿宋"/>
                <w:color w:val="auto"/>
                <w:sz w:val="18"/>
                <w:szCs w:val="18"/>
                <w:highlight w:val="none"/>
              </w:rPr>
              <w:t>及时派出技术人员进行</w:t>
            </w:r>
            <w:r>
              <w:rPr>
                <w:rFonts w:hint="eastAsia" w:ascii="仿宋" w:hAnsi="仿宋" w:eastAsia="仿宋" w:cs="仿宋"/>
                <w:color w:val="auto"/>
                <w:sz w:val="18"/>
                <w:szCs w:val="18"/>
                <w:highlight w:val="none"/>
                <w:lang w:val="en-US" w:eastAsia="zh-CN"/>
              </w:rPr>
              <w:t>故障处理</w:t>
            </w:r>
            <w:r>
              <w:rPr>
                <w:rFonts w:hint="eastAsia" w:ascii="仿宋" w:hAnsi="仿宋" w:eastAsia="仿宋" w:cs="仿宋"/>
                <w:color w:val="auto"/>
                <w:sz w:val="18"/>
                <w:szCs w:val="18"/>
                <w:highlight w:val="none"/>
              </w:rPr>
              <w:t>。</w:t>
            </w:r>
          </w:p>
        </w:tc>
        <w:tc>
          <w:tcPr>
            <w:tcW w:w="0" w:type="auto"/>
            <w:noWrap w:val="0"/>
            <w:vAlign w:val="center"/>
          </w:tcPr>
          <w:p w14:paraId="2333CFCD">
            <w:pPr>
              <w:snapToGrid w:val="0"/>
              <w:spacing w:beforeLines="0" w:afterLines="0" w:line="240" w:lineRule="auto"/>
              <w:ind w:firstLine="0" w:firstLineChars="0"/>
              <w:jc w:val="left"/>
              <w:rPr>
                <w:rFonts w:hint="eastAsia" w:ascii="仿宋" w:hAnsi="仿宋" w:eastAsia="仿宋" w:cs="Times New Roman"/>
                <w:color w:val="auto"/>
                <w:sz w:val="18"/>
                <w:szCs w:val="18"/>
                <w:highlight w:val="none"/>
                <w:vertAlign w:val="baseline"/>
                <w:lang w:val="en-US" w:eastAsia="zh-CN"/>
              </w:rPr>
            </w:pPr>
            <w:r>
              <w:rPr>
                <w:rFonts w:hint="eastAsia" w:ascii="仿宋" w:hAnsi="仿宋" w:eastAsia="仿宋" w:cs="仿宋"/>
                <w:color w:val="auto"/>
                <w:sz w:val="18"/>
                <w:szCs w:val="18"/>
                <w:highlight w:val="none"/>
              </w:rPr>
              <w:t>对当次</w:t>
            </w:r>
            <w:r>
              <w:rPr>
                <w:rFonts w:hint="eastAsia" w:ascii="仿宋" w:hAnsi="仿宋" w:eastAsia="仿宋" w:cs="仿宋"/>
                <w:color w:val="auto"/>
                <w:sz w:val="18"/>
                <w:szCs w:val="18"/>
                <w:highlight w:val="none"/>
                <w:lang w:val="en-US" w:eastAsia="zh-CN"/>
              </w:rPr>
              <w:t>服务相应及处理</w:t>
            </w:r>
            <w:r>
              <w:rPr>
                <w:rFonts w:hint="eastAsia" w:ascii="仿宋" w:hAnsi="仿宋" w:eastAsia="仿宋" w:cs="仿宋"/>
                <w:color w:val="auto"/>
                <w:sz w:val="18"/>
                <w:szCs w:val="18"/>
                <w:highlight w:val="none"/>
              </w:rPr>
              <w:t>不满意并提出书面投诉，经由双方调查核实后，每次投诉扣</w:t>
            </w:r>
            <w:r>
              <w:rPr>
                <w:rFonts w:hint="eastAsia" w:ascii="仿宋" w:hAnsi="仿宋" w:eastAsia="仿宋" w:cs="仿宋"/>
                <w:color w:val="auto"/>
                <w:sz w:val="18"/>
                <w:szCs w:val="18"/>
                <w:highlight w:val="none"/>
                <w:lang w:eastAsia="zh-CN"/>
              </w:rPr>
              <w:t>5</w:t>
            </w:r>
            <w:r>
              <w:rPr>
                <w:rFonts w:hint="eastAsia" w:ascii="仿宋" w:hAnsi="仿宋" w:eastAsia="仿宋" w:cs="仿宋"/>
                <w:color w:val="auto"/>
                <w:sz w:val="18"/>
                <w:szCs w:val="18"/>
                <w:highlight w:val="none"/>
              </w:rPr>
              <w:t>分，扣完为止。</w:t>
            </w:r>
          </w:p>
        </w:tc>
        <w:tc>
          <w:tcPr>
            <w:tcW w:w="0" w:type="auto"/>
            <w:noWrap w:val="0"/>
            <w:vAlign w:val="center"/>
          </w:tcPr>
          <w:p w14:paraId="403B0EDE">
            <w:pPr>
              <w:snapToGrid w:val="0"/>
              <w:spacing w:beforeLines="0" w:afterLines="0" w:line="240" w:lineRule="auto"/>
              <w:jc w:val="left"/>
              <w:rPr>
                <w:rFonts w:hint="eastAsia" w:ascii="仿宋" w:hAnsi="仿宋" w:eastAsia="仿宋" w:cs="仿宋"/>
                <w:color w:val="auto"/>
                <w:sz w:val="21"/>
                <w:szCs w:val="21"/>
                <w:highlight w:val="none"/>
              </w:rPr>
            </w:pPr>
          </w:p>
        </w:tc>
        <w:tc>
          <w:tcPr>
            <w:tcW w:w="0" w:type="auto"/>
            <w:noWrap w:val="0"/>
            <w:vAlign w:val="center"/>
          </w:tcPr>
          <w:p w14:paraId="5A9BDC44">
            <w:pPr>
              <w:snapToGrid w:val="0"/>
              <w:spacing w:beforeLines="0" w:afterLines="0" w:line="240" w:lineRule="auto"/>
              <w:jc w:val="left"/>
              <w:rPr>
                <w:rFonts w:hint="eastAsia" w:ascii="仿宋" w:hAnsi="仿宋" w:eastAsia="仿宋" w:cs="仿宋"/>
                <w:color w:val="auto"/>
                <w:sz w:val="21"/>
                <w:szCs w:val="21"/>
                <w:highlight w:val="none"/>
              </w:rPr>
            </w:pPr>
          </w:p>
        </w:tc>
      </w:tr>
      <w:tr w14:paraId="0C19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75432AD">
            <w:pPr>
              <w:tabs>
                <w:tab w:val="left" w:pos="8085"/>
              </w:tabs>
              <w:spacing w:line="240" w:lineRule="auto"/>
              <w:ind w:left="0" w:leftChars="0"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5</w:t>
            </w:r>
          </w:p>
        </w:tc>
        <w:tc>
          <w:tcPr>
            <w:tcW w:w="0" w:type="auto"/>
            <w:noWrap w:val="0"/>
            <w:vAlign w:val="center"/>
          </w:tcPr>
          <w:p w14:paraId="0A15F2EF">
            <w:pPr>
              <w:tabs>
                <w:tab w:val="left" w:pos="8085"/>
              </w:tabs>
              <w:spacing w:line="240" w:lineRule="auto"/>
              <w:ind w:left="0" w:leftChars="0"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rPr>
              <w:t>跟踪维护支持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20分</w:t>
            </w:r>
            <w:r>
              <w:rPr>
                <w:rFonts w:hint="eastAsia" w:ascii="仿宋" w:hAnsi="仿宋" w:eastAsia="仿宋" w:cs="仿宋"/>
                <w:color w:val="auto"/>
                <w:sz w:val="21"/>
                <w:szCs w:val="21"/>
                <w:highlight w:val="none"/>
                <w:lang w:eastAsia="zh-CN"/>
              </w:rPr>
              <w:t>）</w:t>
            </w:r>
          </w:p>
        </w:tc>
        <w:tc>
          <w:tcPr>
            <w:tcW w:w="0" w:type="auto"/>
            <w:noWrap w:val="0"/>
            <w:vAlign w:val="center"/>
          </w:tcPr>
          <w:p w14:paraId="77592A9F">
            <w:pPr>
              <w:numPr>
                <w:ilvl w:val="0"/>
                <w:numId w:val="0"/>
              </w:numPr>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应及时和医院沟通了解是否运行正常，及时告知可能造成系统软件故障的潜在问题并提供解决方案。</w:t>
            </w:r>
          </w:p>
          <w:p w14:paraId="6EEEE69B">
            <w:pPr>
              <w:tabs>
                <w:tab w:val="left" w:pos="8085"/>
              </w:tabs>
              <w:spacing w:line="240" w:lineRule="auto"/>
              <w:ind w:left="0" w:leftChars="0"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2.定期巡检，与业务科室、信息部沟通系统使用效果。</w:t>
            </w:r>
          </w:p>
        </w:tc>
        <w:tc>
          <w:tcPr>
            <w:tcW w:w="0" w:type="auto"/>
            <w:noWrap w:val="0"/>
            <w:vAlign w:val="center"/>
          </w:tcPr>
          <w:p w14:paraId="517C2B42">
            <w:pPr>
              <w:tabs>
                <w:tab w:val="left" w:pos="8085"/>
              </w:tabs>
              <w:spacing w:line="240" w:lineRule="auto"/>
              <w:ind w:left="0" w:leftChars="0" w:firstLine="0" w:firstLineChars="0"/>
              <w:jc w:val="left"/>
              <w:rPr>
                <w:rFonts w:hint="eastAsia" w:ascii="仿宋" w:hAnsi="仿宋" w:eastAsia="仿宋" w:cs="Times New Roman"/>
                <w:color w:val="auto"/>
                <w:sz w:val="18"/>
                <w:szCs w:val="18"/>
                <w:highlight w:val="none"/>
                <w:vertAlign w:val="baseline"/>
                <w:lang w:val="en-US" w:eastAsia="zh-CN"/>
              </w:rPr>
            </w:pPr>
            <w:r>
              <w:rPr>
                <w:rFonts w:hint="eastAsia" w:ascii="仿宋" w:hAnsi="仿宋" w:eastAsia="仿宋" w:cs="仿宋"/>
                <w:color w:val="auto"/>
                <w:sz w:val="18"/>
                <w:szCs w:val="18"/>
                <w:highlight w:val="none"/>
              </w:rPr>
              <w:t>对跟踪维护支持不满意并提出书面投诉，经由双方调查核实后，每次扣</w:t>
            </w: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分，扣完为止。</w:t>
            </w:r>
          </w:p>
        </w:tc>
        <w:tc>
          <w:tcPr>
            <w:tcW w:w="0" w:type="auto"/>
            <w:noWrap w:val="0"/>
            <w:vAlign w:val="center"/>
          </w:tcPr>
          <w:p w14:paraId="7335C164">
            <w:pPr>
              <w:tabs>
                <w:tab w:val="left" w:pos="8085"/>
              </w:tabs>
              <w:spacing w:line="240" w:lineRule="auto"/>
              <w:ind w:left="0" w:leftChars="0"/>
              <w:jc w:val="left"/>
              <w:rPr>
                <w:rFonts w:hint="eastAsia" w:ascii="仿宋" w:hAnsi="仿宋" w:eastAsia="仿宋" w:cs="仿宋"/>
                <w:color w:val="auto"/>
                <w:sz w:val="21"/>
                <w:szCs w:val="21"/>
                <w:highlight w:val="none"/>
              </w:rPr>
            </w:pPr>
          </w:p>
        </w:tc>
        <w:tc>
          <w:tcPr>
            <w:tcW w:w="0" w:type="auto"/>
            <w:noWrap w:val="0"/>
            <w:vAlign w:val="center"/>
          </w:tcPr>
          <w:p w14:paraId="13989E06">
            <w:pPr>
              <w:tabs>
                <w:tab w:val="left" w:pos="8085"/>
              </w:tabs>
              <w:spacing w:line="240" w:lineRule="auto"/>
              <w:ind w:left="0" w:leftChars="0"/>
              <w:jc w:val="left"/>
              <w:rPr>
                <w:rFonts w:hint="eastAsia" w:ascii="仿宋" w:hAnsi="仿宋" w:eastAsia="仿宋" w:cs="仿宋"/>
                <w:color w:val="auto"/>
                <w:sz w:val="21"/>
                <w:szCs w:val="21"/>
                <w:highlight w:val="none"/>
              </w:rPr>
            </w:pPr>
          </w:p>
        </w:tc>
      </w:tr>
      <w:tr w14:paraId="61E6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FC235BB">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6</w:t>
            </w:r>
          </w:p>
        </w:tc>
        <w:tc>
          <w:tcPr>
            <w:tcW w:w="0" w:type="auto"/>
            <w:noWrap w:val="0"/>
            <w:vAlign w:val="center"/>
          </w:tcPr>
          <w:p w14:paraId="4040694D">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服务质量（30分）</w:t>
            </w:r>
          </w:p>
        </w:tc>
        <w:tc>
          <w:tcPr>
            <w:tcW w:w="0" w:type="auto"/>
            <w:noWrap w:val="0"/>
            <w:vAlign w:val="center"/>
          </w:tcPr>
          <w:p w14:paraId="2E666EF4">
            <w:pPr>
              <w:numPr>
                <w:ilvl w:val="0"/>
                <w:numId w:val="0"/>
              </w:numPr>
              <w:snapToGrid w:val="0"/>
              <w:spacing w:beforeLines="0" w:afterLines="0" w:line="240" w:lineRule="auto"/>
              <w:jc w:val="left"/>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避免引起系统故障、部分功能失常等情况</w:t>
            </w:r>
            <w:r>
              <w:rPr>
                <w:rFonts w:hint="eastAsia" w:ascii="仿宋" w:hAnsi="仿宋" w:eastAsia="仿宋" w:cs="仿宋"/>
                <w:color w:val="auto"/>
                <w:kern w:val="0"/>
                <w:sz w:val="18"/>
                <w:szCs w:val="18"/>
                <w:highlight w:val="none"/>
                <w:lang w:eastAsia="zh-CN"/>
              </w:rPr>
              <w:t>。</w:t>
            </w:r>
          </w:p>
          <w:p w14:paraId="11F37E5A">
            <w:pPr>
              <w:numPr>
                <w:ilvl w:val="0"/>
                <w:numId w:val="0"/>
              </w:numPr>
              <w:snapToGrid w:val="0"/>
              <w:spacing w:beforeLines="0" w:afterLines="0"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提供的服务有效，即故障处理后不会反复出现，功能实现后不因乙方原因反复修改等。</w:t>
            </w:r>
          </w:p>
          <w:p w14:paraId="476856A9">
            <w:pPr>
              <w:snapToGrid w:val="0"/>
              <w:spacing w:beforeLines="0" w:afterLines="0" w:line="240" w:lineRule="auto"/>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3.</w:t>
            </w:r>
            <w:r>
              <w:rPr>
                <w:rFonts w:hint="eastAsia" w:ascii="仿宋" w:hAnsi="仿宋" w:eastAsia="仿宋" w:cs="仿宋"/>
                <w:color w:val="auto"/>
                <w:kern w:val="0"/>
                <w:sz w:val="18"/>
                <w:szCs w:val="18"/>
                <w:highlight w:val="none"/>
              </w:rPr>
              <w:t>在服务过程中准确记录时间、事件经过、处理方法及对接人员，按规范要求进行归档，以便事后进行查验。</w:t>
            </w:r>
          </w:p>
        </w:tc>
        <w:tc>
          <w:tcPr>
            <w:tcW w:w="0" w:type="auto"/>
            <w:noWrap w:val="0"/>
            <w:vAlign w:val="center"/>
          </w:tcPr>
          <w:p w14:paraId="4EDFF969">
            <w:pPr>
              <w:snapToGrid w:val="0"/>
              <w:spacing w:beforeLines="0" w:afterLines="0" w:line="240" w:lineRule="auto"/>
              <w:ind w:firstLine="0" w:firstLineChars="0"/>
              <w:jc w:val="left"/>
              <w:rPr>
                <w:rFonts w:hint="eastAsia" w:ascii="仿宋" w:hAnsi="仿宋" w:eastAsia="仿宋" w:cs="Times New Roman"/>
                <w:color w:val="auto"/>
                <w:sz w:val="18"/>
                <w:szCs w:val="18"/>
                <w:highlight w:val="none"/>
                <w:vertAlign w:val="baseline"/>
                <w:lang w:val="en-US" w:eastAsia="zh-CN"/>
              </w:rPr>
            </w:pPr>
            <w:r>
              <w:rPr>
                <w:rFonts w:hint="eastAsia" w:ascii="仿宋" w:hAnsi="仿宋" w:eastAsia="仿宋" w:cs="仿宋"/>
                <w:color w:val="auto"/>
                <w:sz w:val="18"/>
                <w:szCs w:val="18"/>
                <w:highlight w:val="none"/>
              </w:rPr>
              <w:t>对</w:t>
            </w:r>
            <w:r>
              <w:rPr>
                <w:rFonts w:hint="eastAsia" w:ascii="仿宋" w:hAnsi="仿宋" w:eastAsia="仿宋" w:cs="仿宋"/>
                <w:color w:val="auto"/>
                <w:sz w:val="18"/>
                <w:szCs w:val="18"/>
                <w:highlight w:val="none"/>
                <w:lang w:val="en-US" w:eastAsia="zh-CN"/>
              </w:rPr>
              <w:t>当次服务质量</w:t>
            </w:r>
            <w:r>
              <w:rPr>
                <w:rFonts w:hint="eastAsia" w:ascii="仿宋" w:hAnsi="仿宋" w:eastAsia="仿宋" w:cs="仿宋"/>
                <w:color w:val="auto"/>
                <w:sz w:val="18"/>
                <w:szCs w:val="18"/>
                <w:highlight w:val="none"/>
              </w:rPr>
              <w:t>不满意并提出书面投诉，经由双方调查核实后，每次扣</w:t>
            </w: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分，扣完为止。</w:t>
            </w:r>
          </w:p>
        </w:tc>
        <w:tc>
          <w:tcPr>
            <w:tcW w:w="0" w:type="auto"/>
            <w:noWrap w:val="0"/>
            <w:vAlign w:val="center"/>
          </w:tcPr>
          <w:p w14:paraId="65E91152">
            <w:pPr>
              <w:snapToGrid w:val="0"/>
              <w:spacing w:beforeLines="0" w:afterLines="0" w:line="240" w:lineRule="auto"/>
              <w:jc w:val="left"/>
              <w:rPr>
                <w:rFonts w:hint="eastAsia" w:ascii="仿宋" w:hAnsi="仿宋" w:eastAsia="仿宋" w:cs="仿宋"/>
                <w:color w:val="auto"/>
                <w:sz w:val="21"/>
                <w:szCs w:val="21"/>
                <w:highlight w:val="none"/>
              </w:rPr>
            </w:pPr>
          </w:p>
        </w:tc>
        <w:tc>
          <w:tcPr>
            <w:tcW w:w="0" w:type="auto"/>
            <w:noWrap w:val="0"/>
            <w:vAlign w:val="center"/>
          </w:tcPr>
          <w:p w14:paraId="4656D89A">
            <w:pPr>
              <w:snapToGrid w:val="0"/>
              <w:spacing w:beforeLines="0" w:afterLines="0" w:line="240" w:lineRule="auto"/>
              <w:jc w:val="left"/>
              <w:rPr>
                <w:rFonts w:hint="eastAsia" w:ascii="仿宋" w:hAnsi="仿宋" w:eastAsia="仿宋" w:cs="仿宋"/>
                <w:color w:val="auto"/>
                <w:sz w:val="21"/>
                <w:szCs w:val="21"/>
                <w:highlight w:val="none"/>
              </w:rPr>
            </w:pPr>
          </w:p>
        </w:tc>
      </w:tr>
      <w:tr w14:paraId="4BC1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noWrap w:val="0"/>
            <w:vAlign w:val="center"/>
          </w:tcPr>
          <w:p w14:paraId="1E220837">
            <w:pPr>
              <w:snapToGrid w:val="0"/>
              <w:spacing w:beforeLines="0" w:afterLines="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得分</w:t>
            </w:r>
          </w:p>
        </w:tc>
        <w:tc>
          <w:tcPr>
            <w:tcW w:w="0" w:type="auto"/>
            <w:gridSpan w:val="2"/>
            <w:noWrap w:val="0"/>
            <w:vAlign w:val="center"/>
          </w:tcPr>
          <w:p w14:paraId="23891B45">
            <w:pPr>
              <w:snapToGrid w:val="0"/>
              <w:spacing w:beforeLines="0" w:afterLines="0" w:line="240" w:lineRule="auto"/>
              <w:jc w:val="center"/>
              <w:rPr>
                <w:rFonts w:hint="eastAsia" w:ascii="仿宋" w:hAnsi="仿宋" w:eastAsia="仿宋" w:cs="仿宋"/>
                <w:color w:val="auto"/>
                <w:sz w:val="21"/>
                <w:szCs w:val="21"/>
                <w:highlight w:val="none"/>
              </w:rPr>
            </w:pPr>
          </w:p>
        </w:tc>
      </w:tr>
      <w:tr w14:paraId="48EC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noWrap w:val="0"/>
            <w:vAlign w:val="center"/>
          </w:tcPr>
          <w:p w14:paraId="1934AE42">
            <w:pPr>
              <w:numPr>
                <w:ilvl w:val="0"/>
                <w:numId w:val="15"/>
              </w:numPr>
              <w:snapToGrid w:val="0"/>
              <w:spacing w:beforeLines="0" w:afterLines="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扣分事项需附加材料</w:t>
            </w:r>
          </w:p>
          <w:p w14:paraId="55AB560E">
            <w:pPr>
              <w:numPr>
                <w:ilvl w:val="0"/>
                <w:numId w:val="15"/>
              </w:numPr>
              <w:snapToGrid w:val="0"/>
              <w:spacing w:beforeLines="0" w:afterLines="0" w:line="240" w:lineRule="auto"/>
              <w:jc w:val="left"/>
              <w:rPr>
                <w:rFonts w:hint="default" w:ascii="仿宋" w:hAnsi="仿宋" w:eastAsia="仿宋" w:cs="仿宋"/>
                <w:color w:val="auto"/>
                <w:sz w:val="21"/>
                <w:szCs w:val="21"/>
                <w:highlight w:val="none"/>
                <w:lang w:val="en-US" w:eastAsia="zh-CN"/>
              </w:rPr>
            </w:pPr>
            <w:r>
              <w:rPr>
                <w:rFonts w:hint="eastAsia" w:ascii="仿宋" w:hAnsi="仿宋" w:eastAsia="仿宋"/>
                <w:sz w:val="21"/>
                <w:szCs w:val="21"/>
                <w:highlight w:val="none"/>
                <w:lang w:val="en-US" w:eastAsia="zh-CN"/>
              </w:rPr>
              <w:t>根据合计分数扣罚当期服务费用：90分及以上，不扣除服务费用；低于90分但高于等于60分，</w:t>
            </w:r>
            <w:r>
              <w:rPr>
                <w:rFonts w:hint="eastAsia" w:ascii="仿宋" w:hAnsi="仿宋" w:eastAsia="仿宋" w:cs="宋体"/>
                <w:kern w:val="0"/>
                <w:sz w:val="21"/>
                <w:szCs w:val="21"/>
                <w:highlight w:val="none"/>
              </w:rPr>
              <w:t>扣除</w:t>
            </w:r>
            <w:r>
              <w:rPr>
                <w:rFonts w:hint="eastAsia" w:ascii="仿宋" w:hAnsi="仿宋" w:eastAsia="仿宋" w:cs="宋体"/>
                <w:kern w:val="0"/>
                <w:sz w:val="21"/>
                <w:szCs w:val="21"/>
                <w:highlight w:val="none"/>
                <w:lang w:val="en-US" w:eastAsia="zh-CN"/>
              </w:rPr>
              <w:t>当期</w:t>
            </w:r>
            <w:r>
              <w:rPr>
                <w:rFonts w:hint="eastAsia" w:ascii="仿宋" w:hAnsi="仿宋" w:eastAsia="仿宋" w:cs="仿宋"/>
                <w:bCs/>
                <w:sz w:val="21"/>
                <w:szCs w:val="21"/>
                <w:highlight w:val="none"/>
              </w:rPr>
              <w:t>服务费用</w:t>
            </w:r>
            <w:r>
              <w:rPr>
                <w:rFonts w:hint="eastAsia" w:ascii="仿宋" w:hAnsi="仿宋" w:eastAsia="仿宋" w:cs="宋体"/>
                <w:kern w:val="0"/>
                <w:sz w:val="21"/>
                <w:szCs w:val="21"/>
                <w:highlight w:val="none"/>
                <w:lang w:val="en-US" w:eastAsia="zh-CN"/>
              </w:rPr>
              <w:t>2</w:t>
            </w:r>
            <w:r>
              <w:rPr>
                <w:rFonts w:hint="eastAsia" w:ascii="仿宋" w:hAnsi="仿宋" w:eastAsia="仿宋" w:cs="宋体"/>
                <w:kern w:val="0"/>
                <w:sz w:val="21"/>
                <w:szCs w:val="21"/>
                <w:highlight w:val="none"/>
              </w:rPr>
              <w:t>0％</w:t>
            </w:r>
            <w:r>
              <w:rPr>
                <w:rFonts w:hint="eastAsia" w:ascii="仿宋" w:hAnsi="仿宋" w:eastAsia="仿宋" w:cs="宋体"/>
                <w:kern w:val="0"/>
                <w:sz w:val="21"/>
                <w:szCs w:val="21"/>
                <w:highlight w:val="none"/>
                <w:lang w:eastAsia="zh-CN"/>
              </w:rPr>
              <w:t>；</w:t>
            </w:r>
            <w:r>
              <w:rPr>
                <w:rFonts w:hint="eastAsia" w:ascii="仿宋" w:hAnsi="仿宋" w:eastAsia="仿宋" w:cs="宋体"/>
                <w:kern w:val="0"/>
                <w:sz w:val="21"/>
                <w:szCs w:val="21"/>
                <w:highlight w:val="none"/>
                <w:lang w:val="en-US" w:eastAsia="zh-CN"/>
              </w:rPr>
              <w:t>低于60分，</w:t>
            </w:r>
            <w:r>
              <w:rPr>
                <w:rFonts w:hint="eastAsia" w:ascii="仿宋" w:hAnsi="仿宋" w:eastAsia="仿宋" w:cs="宋体"/>
                <w:kern w:val="0"/>
                <w:sz w:val="21"/>
                <w:szCs w:val="21"/>
                <w:highlight w:val="none"/>
              </w:rPr>
              <w:t>扣除</w:t>
            </w:r>
            <w:r>
              <w:rPr>
                <w:rFonts w:hint="eastAsia" w:ascii="仿宋" w:hAnsi="仿宋" w:eastAsia="仿宋" w:cs="宋体"/>
                <w:kern w:val="0"/>
                <w:sz w:val="21"/>
                <w:szCs w:val="21"/>
                <w:highlight w:val="none"/>
                <w:lang w:val="en-US" w:eastAsia="zh-CN"/>
              </w:rPr>
              <w:t>当期</w:t>
            </w:r>
            <w:r>
              <w:rPr>
                <w:rFonts w:hint="eastAsia" w:ascii="仿宋" w:hAnsi="仿宋" w:eastAsia="仿宋" w:cs="仿宋"/>
                <w:bCs/>
                <w:sz w:val="21"/>
                <w:szCs w:val="21"/>
                <w:highlight w:val="none"/>
              </w:rPr>
              <w:t>服务费用</w:t>
            </w:r>
            <w:r>
              <w:rPr>
                <w:rFonts w:hint="eastAsia" w:ascii="仿宋" w:hAnsi="仿宋" w:eastAsia="仿宋" w:cs="宋体"/>
                <w:kern w:val="0"/>
                <w:sz w:val="21"/>
                <w:szCs w:val="21"/>
                <w:highlight w:val="none"/>
                <w:lang w:val="en-US" w:eastAsia="zh-CN"/>
              </w:rPr>
              <w:t>50</w:t>
            </w:r>
            <w:r>
              <w:rPr>
                <w:rFonts w:hint="eastAsia" w:ascii="仿宋" w:hAnsi="仿宋" w:eastAsia="仿宋" w:cs="宋体"/>
                <w:kern w:val="0"/>
                <w:sz w:val="21"/>
                <w:szCs w:val="21"/>
                <w:highlight w:val="none"/>
              </w:rPr>
              <w:t>%</w:t>
            </w:r>
          </w:p>
        </w:tc>
      </w:tr>
    </w:tbl>
    <w:p w14:paraId="66CCF611">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6.保密条款</w:t>
      </w:r>
    </w:p>
    <w:p w14:paraId="42277182">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供应商必须严格保守对因本合同项下的服务从采购人所获取的信息秘密，在未取得采购人书面同意的情况下，不得以任何形式向第三方披露。在依法必须披露的情况下，供应商应当立即通知采购人，除非按照法律规定或生效命令不得为之。</w:t>
      </w:r>
    </w:p>
    <w:p w14:paraId="3E779136">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（2）保密义务不因合同履行完毕或解除而终止，除非保密信息已经对外披露或者公众所知。</w:t>
      </w:r>
    </w:p>
    <w:p w14:paraId="370124C8">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7.其他要求：</w:t>
      </w:r>
    </w:p>
    <w:p w14:paraId="601CD43A">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（1）要求供应商提供科学性、合理性、实施可行性、可靠性等的项目方案，包括但不限于实战培训方案、实施改善项目方案、认证指导方案、项目实施保障、预期成果；</w:t>
      </w:r>
    </w:p>
    <w:p w14:paraId="7F381E8F">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（2）要求供应商提供制定的项目进度计划方案包含时间进度安排及保障措施；</w:t>
      </w:r>
    </w:p>
    <w:p w14:paraId="2FFF29AC">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（3）要求供应商提供质量保障方案，包括但不限于质量保障体系、质量保障措施、质量提升合理化建议等；</w:t>
      </w:r>
    </w:p>
    <w:p w14:paraId="24122473">
      <w:pPr>
        <w:pStyle w:val="12"/>
        <w:numPr>
          <w:ilvl w:val="0"/>
          <w:numId w:val="0"/>
        </w:numPr>
        <w:adjustRightInd w:val="0"/>
        <w:snapToGrid w:val="0"/>
        <w:spacing w:line="500" w:lineRule="exact"/>
        <w:ind w:firstLine="480" w:firstLineChars="200"/>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b w:val="0"/>
          <w:bCs w:val="0"/>
          <w:color w:val="auto"/>
          <w:kern w:val="2"/>
          <w:sz w:val="24"/>
          <w:szCs w:val="24"/>
          <w:highlight w:val="none"/>
          <w:u w:val="none" w:color="auto"/>
          <w:lang w:val="en-US" w:eastAsia="zh-CN" w:bidi="ar-SA"/>
        </w:rPr>
        <w:t>（4）要求供应商提供</w:t>
      </w:r>
      <w:r>
        <w:rPr>
          <w:rFonts w:hint="eastAsia" w:ascii="仿宋" w:hAnsi="仿宋" w:eastAsia="仿宋" w:cs="仿宋"/>
          <w:color w:val="auto"/>
          <w:kern w:val="0"/>
          <w:sz w:val="24"/>
          <w:szCs w:val="24"/>
          <w:highlight w:val="none"/>
          <w:shd w:val="clear" w:color="auto" w:fill="auto"/>
          <w:lang w:val="en-US" w:eastAsia="zh-CN" w:bidi="ar"/>
        </w:rPr>
        <w:t>安全保证措施；</w:t>
      </w:r>
    </w:p>
    <w:p w14:paraId="59382B2E">
      <w:pPr>
        <w:pStyle w:val="12"/>
        <w:numPr>
          <w:ilvl w:val="0"/>
          <w:numId w:val="0"/>
        </w:numPr>
        <w:adjustRightInd w:val="0"/>
        <w:snapToGrid w:val="0"/>
        <w:spacing w:line="500" w:lineRule="exact"/>
        <w:ind w:firstLine="480" w:firstLineChars="200"/>
        <w:rPr>
          <w:rFonts w:hint="default"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b w:val="0"/>
          <w:bCs w:val="0"/>
          <w:color w:val="auto"/>
          <w:kern w:val="2"/>
          <w:sz w:val="24"/>
          <w:szCs w:val="24"/>
          <w:highlight w:val="none"/>
          <w:u w:val="none" w:color="auto"/>
          <w:lang w:val="en-US" w:eastAsia="zh-CN" w:bidi="ar-SA"/>
        </w:rPr>
        <w:t>（5）要求供应商提供</w:t>
      </w:r>
      <w:r>
        <w:rPr>
          <w:rFonts w:hint="eastAsia" w:ascii="仿宋" w:hAnsi="仿宋" w:eastAsia="仿宋" w:cs="仿宋"/>
          <w:color w:val="auto"/>
          <w:kern w:val="0"/>
          <w:sz w:val="24"/>
          <w:szCs w:val="24"/>
          <w:highlight w:val="none"/>
          <w:shd w:val="clear" w:color="auto" w:fill="auto"/>
          <w:lang w:val="en-US" w:eastAsia="zh-CN" w:bidi="ar"/>
        </w:rPr>
        <w:t>应急措施，包括但不限于应急小组架构、应急响应流程、资源保障等；</w:t>
      </w:r>
    </w:p>
    <w:p w14:paraId="515FF1E1">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（6）要求供应商提供</w:t>
      </w:r>
      <w:r>
        <w:rPr>
          <w:rFonts w:hint="eastAsia" w:ascii="仿宋" w:hAnsi="仿宋" w:eastAsia="仿宋" w:cs="仿宋"/>
          <w:color w:val="auto"/>
          <w:kern w:val="0"/>
          <w:sz w:val="24"/>
          <w:szCs w:val="24"/>
          <w:highlight w:val="none"/>
          <w:lang w:bidi="ar"/>
        </w:rPr>
        <w:t>202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年1月1日至今（以合同签订时间为准）</w:t>
      </w:r>
      <w:r>
        <w:rPr>
          <w:rFonts w:hint="eastAsia" w:ascii="仿宋" w:hAnsi="仿宋" w:eastAsia="仿宋" w:cs="仿宋"/>
          <w:b w:val="0"/>
          <w:bCs w:val="0"/>
          <w:color w:val="auto"/>
          <w:kern w:val="2"/>
          <w:sz w:val="24"/>
          <w:szCs w:val="24"/>
          <w:highlight w:val="none"/>
          <w:u w:val="none" w:color="auto"/>
          <w:lang w:val="en-US" w:eastAsia="zh-CN" w:bidi="ar-SA"/>
        </w:rPr>
        <w:t>的同类项目业绩数量情况；</w:t>
      </w:r>
    </w:p>
    <w:p w14:paraId="74CADD65">
      <w:pPr>
        <w:pStyle w:val="12"/>
        <w:numPr>
          <w:ilvl w:val="0"/>
          <w:numId w:val="0"/>
        </w:numPr>
        <w:adjustRightInd w:val="0"/>
        <w:snapToGrid w:val="0"/>
        <w:spacing w:line="500" w:lineRule="exact"/>
        <w:ind w:firstLine="480" w:firstLineChars="200"/>
        <w:jc w:val="both"/>
        <w:rPr>
          <w:rFonts w:hint="eastAsia" w:ascii="仿宋" w:hAnsi="仿宋" w:eastAsia="仿宋" w:cs="仿宋"/>
          <w:b/>
          <w:color w:val="auto"/>
          <w:sz w:val="28"/>
          <w:szCs w:val="28"/>
          <w:highlight w:val="none"/>
        </w:rPr>
      </w:pPr>
      <w:r>
        <w:rPr>
          <w:rFonts w:hint="eastAsia" w:ascii="仿宋" w:hAnsi="仿宋" w:eastAsia="仿宋" w:cs="仿宋"/>
          <w:b w:val="0"/>
          <w:bCs w:val="0"/>
          <w:color w:val="auto"/>
          <w:kern w:val="2"/>
          <w:sz w:val="24"/>
          <w:szCs w:val="24"/>
          <w:highlight w:val="none"/>
          <w:u w:val="none" w:color="auto"/>
          <w:lang w:val="en-US" w:eastAsia="zh-CN" w:bidi="ar-SA"/>
        </w:rPr>
        <w:t>（7）要求供应商服务时间响应承诺。</w:t>
      </w:r>
      <w:r>
        <w:rPr>
          <w:rFonts w:hint="eastAsia" w:ascii="仿宋" w:hAnsi="仿宋" w:eastAsia="仿宋" w:cs="仿宋"/>
          <w:b w:val="0"/>
          <w:bCs w:val="0"/>
          <w:color w:val="auto"/>
          <w:kern w:val="2"/>
          <w:sz w:val="24"/>
          <w:szCs w:val="24"/>
          <w:highlight w:val="none"/>
          <w:u w:val="none" w:color="auto"/>
          <w:lang w:val="en-US" w:eastAsia="zh-CN" w:bidi="ar-SA"/>
        </w:rPr>
        <w:br w:type="page"/>
      </w:r>
      <w:r>
        <w:rPr>
          <w:rFonts w:hint="eastAsia" w:ascii="仿宋" w:hAnsi="仿宋" w:eastAsia="仿宋" w:cs="仿宋"/>
          <w:b w:val="0"/>
          <w:bCs w:val="0"/>
          <w:color w:val="auto"/>
          <w:kern w:val="2"/>
          <w:sz w:val="24"/>
          <w:szCs w:val="24"/>
          <w:highlight w:val="none"/>
          <w:u w:val="none" w:color="auto"/>
          <w:lang w:val="en-US" w:eastAsia="zh-CN" w:bidi="ar-SA"/>
        </w:rPr>
        <w:t xml:space="preserve">                       </w:t>
      </w:r>
      <w:r>
        <w:rPr>
          <w:rFonts w:hint="eastAsia" w:ascii="仿宋" w:hAnsi="仿宋" w:eastAsia="仿宋" w:cs="仿宋"/>
          <w:b/>
          <w:color w:val="auto"/>
          <w:sz w:val="28"/>
          <w:szCs w:val="28"/>
          <w:highlight w:val="none"/>
        </w:rPr>
        <w:t>第三部分  响应供应商须知</w:t>
      </w:r>
    </w:p>
    <w:p w14:paraId="0FE26757">
      <w:pPr>
        <w:pStyle w:val="12"/>
        <w:adjustRightInd w:val="0"/>
        <w:snapToGrid w:val="0"/>
        <w:spacing w:line="380" w:lineRule="exact"/>
        <w:rPr>
          <w:rFonts w:hint="eastAsia" w:ascii="仿宋" w:hAnsi="仿宋" w:eastAsia="仿宋" w:cs="仿宋"/>
          <w:color w:val="auto"/>
          <w:sz w:val="28"/>
          <w:szCs w:val="28"/>
          <w:highlight w:val="none"/>
        </w:rPr>
      </w:pPr>
    </w:p>
    <w:p w14:paraId="5B48A33C">
      <w:pPr>
        <w:pStyle w:val="1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14:paraId="13D0F3B7">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14:paraId="00D19286">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14:paraId="2BC10998">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14:paraId="20CCE12A">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1BF92A64">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14:paraId="4568A11C">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14:paraId="21B12340">
      <w:pPr>
        <w:pStyle w:val="12"/>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3AC4EF8F">
      <w:pPr>
        <w:pStyle w:val="12"/>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524979F6">
      <w:pPr>
        <w:pStyle w:val="12"/>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14:paraId="732AB79B">
      <w:pPr>
        <w:pStyle w:val="12"/>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14:paraId="49438B1D">
      <w:pPr>
        <w:pStyle w:val="12"/>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14:paraId="10429AD7">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14:paraId="37DE4B08">
      <w:pPr>
        <w:pStyle w:val="12"/>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val="en-US"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7EB13CE3">
      <w:pPr>
        <w:pStyle w:val="12"/>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68F3EACD">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14:paraId="6D54794E">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14:paraId="361F10E9">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14:paraId="461DC86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1990973B">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3CBD79C4">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538EBCB3">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1454604D">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1C61E293">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362A7D1D">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15D4D5E9">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5E25D724">
      <w:pPr>
        <w:pStyle w:val="12"/>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14:paraId="60CD0062">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14:paraId="24F115CB">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14:paraId="1FCC98D5">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14:paraId="592CC00D">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14:paraId="1EA05FC6">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56BDBC9B">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14:paraId="578A9E78">
      <w:pPr>
        <w:pStyle w:val="12"/>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14:paraId="6C8CFC15">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14:paraId="504DC538">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14:paraId="573EF723">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14:paraId="3FF4E7DF">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14:paraId="0BFDD72E">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14:paraId="265868B6">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14:paraId="328E1A49">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14:paraId="37149D03">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55A73FCE">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14:paraId="68829119">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14:paraId="00E845DE">
      <w:pPr>
        <w:pStyle w:val="12"/>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48147446">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7F1F47C5">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14:paraId="5C41CD07">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7C47D258">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7B1DC762">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4FC7DD80">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744C8455">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21D486DB">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16003823">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1268FFD2">
      <w:pPr>
        <w:pStyle w:val="12"/>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0BBF2D97">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520AA2B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4A8B5AC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6DB8327A">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3A944F80">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13DAE445">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4867ECD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30CC96DB">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00FB791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4D068EF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5BD901E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34723C8A">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0F7B22B9">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1179FAFD">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1B5ECAA3">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0F154A58">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625DEA1B">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3538583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06F49926">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534F9B79">
      <w:pPr>
        <w:pStyle w:val="12"/>
        <w:numPr>
          <w:ilvl w:val="0"/>
          <w:numId w:val="16"/>
        </w:numPr>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4067F9BF">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14:paraId="4941457D">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4DBBF323">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46C0C775">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5D8193D">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01898560">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71F59AC0">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8" w:name="_Toc14923_WPSOffice_Level1"/>
      <w:r>
        <w:rPr>
          <w:rFonts w:hint="eastAsia" w:ascii="仿宋" w:hAnsi="仿宋" w:eastAsia="仿宋" w:cs="仿宋"/>
          <w:b w:val="0"/>
          <w:bCs/>
          <w:color w:val="auto"/>
          <w:sz w:val="24"/>
          <w:szCs w:val="24"/>
          <w:highlight w:val="none"/>
        </w:rPr>
        <w:t>同小型、微型</w:t>
      </w:r>
      <w:bookmarkEnd w:id="8"/>
      <w:r>
        <w:rPr>
          <w:rFonts w:hint="eastAsia" w:ascii="仿宋" w:hAnsi="仿宋" w:eastAsia="仿宋" w:cs="仿宋"/>
          <w:b w:val="0"/>
          <w:bCs/>
          <w:color w:val="auto"/>
          <w:sz w:val="24"/>
          <w:szCs w:val="24"/>
          <w:highlight w:val="none"/>
        </w:rPr>
        <w:t>企业，享受评审中价格扣除。</w:t>
      </w:r>
    </w:p>
    <w:p w14:paraId="6F273B16">
      <w:pPr>
        <w:pStyle w:val="12"/>
        <w:numPr>
          <w:ilvl w:val="0"/>
          <w:numId w:val="17"/>
        </w:num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6A829E22">
      <w:pPr>
        <w:pStyle w:val="12"/>
        <w:numPr>
          <w:ilvl w:val="0"/>
          <w:numId w:val="0"/>
        </w:num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14:paraId="1D3105BA">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14:paraId="2C2FC0AA">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14:paraId="47CB6A73">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3、比选文件的澄清或修改</w:t>
      </w:r>
    </w:p>
    <w:p w14:paraId="58E10331">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497A83A7">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14:paraId="0407DC26">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14:paraId="60A9E247">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14:paraId="378B8076">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14:paraId="5B3E1C5C">
      <w:pPr>
        <w:pStyle w:val="12"/>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14:paraId="35AFECCF">
      <w:pPr>
        <w:pStyle w:val="12"/>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14:paraId="1EF45683">
      <w:pPr>
        <w:pStyle w:val="12"/>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14:paraId="34BFE728">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14:paraId="4FD0AD1A">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78C9E752">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14:paraId="32E8904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14:paraId="01FC694A">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14:paraId="5330ED78">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22A3DE07">
      <w:pPr>
        <w:pStyle w:val="12"/>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5B7F3CBE">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14:paraId="754E9346">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14:paraId="188046E7">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14:paraId="6B352E01">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2DB95C74">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14:paraId="4BE37B02">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14:paraId="1C85C01B">
      <w:pPr>
        <w:pStyle w:val="12"/>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14:paraId="43FB796C">
      <w:pPr>
        <w:pStyle w:val="12"/>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14:paraId="7208E546">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14:paraId="3D25ACAB">
      <w:pPr>
        <w:pStyle w:val="12"/>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14:paraId="572B23AB">
      <w:pPr>
        <w:pStyle w:val="12"/>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份，响应文件的副本可采用正本的复印件。每本响应文件须清楚地标明“正本”、“副本”，否则响应无效。若副本与正本不符，以正本为准。响应文件密封在同一个文件袋内，响应的截止时点为</w:t>
      </w:r>
      <w:r>
        <w:rPr>
          <w:rFonts w:hint="eastAsia" w:ascii="仿宋" w:hAnsi="仿宋" w:eastAsia="仿宋" w:cs="仿宋"/>
          <w:bCs/>
          <w:color w:val="auto"/>
          <w:sz w:val="24"/>
          <w:szCs w:val="24"/>
          <w:highlight w:val="none"/>
        </w:rPr>
        <w:t>2024年10月12日15时（北京时间），</w:t>
      </w:r>
      <w:r>
        <w:rPr>
          <w:rFonts w:hint="eastAsia" w:ascii="仿宋" w:hAnsi="仿宋" w:eastAsia="仿宋" w:cs="仿宋"/>
          <w:bCs/>
          <w:color w:val="auto"/>
          <w:sz w:val="24"/>
          <w:szCs w:val="24"/>
          <w:highlight w:val="none"/>
        </w:rPr>
        <w:t>超过截止时点后的响应视为响应无效。</w:t>
      </w:r>
    </w:p>
    <w:p w14:paraId="619BDEF5">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9、响应文件由法定代表人或经其正式授权的代表签字。授权代表须出具书面授权证明，法人证明及法人授权证明均应在响应文件中提供（格式见附件）。</w:t>
      </w:r>
    </w:p>
    <w:p w14:paraId="3DD95478">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14:paraId="7ABCC24C">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14:paraId="32C37431">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14:paraId="2689EE80">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w:t>
      </w:r>
      <w:bookmarkStart w:id="9" w:name="_GoBack"/>
      <w:bookmarkEnd w:id="9"/>
      <w:r>
        <w:rPr>
          <w:rFonts w:hint="eastAsia" w:ascii="仿宋" w:hAnsi="仿宋" w:eastAsia="仿宋" w:cs="仿宋"/>
          <w:color w:val="auto"/>
          <w:sz w:val="24"/>
          <w:szCs w:val="24"/>
          <w:highlight w:val="none"/>
        </w:rPr>
        <w:t>处加盖公章。未按要求密封和标记的，我院对误投或提前启封概不负责。</w:t>
      </w:r>
    </w:p>
    <w:p w14:paraId="082A586A">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14:paraId="18BB77BC">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21B7292B">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14:paraId="49339A78">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14:paraId="1946ACED">
      <w:pPr>
        <w:pStyle w:val="12"/>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14:paraId="6ADCB07A">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14:paraId="45B86BBE">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3B527EC3">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34FE773B">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14:paraId="7AEB6A57">
      <w:pPr>
        <w:pStyle w:val="12"/>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14:paraId="62618B2F">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1、评审小组按医院规定从专家库中随机抽取三名专家组成。评审小组将本着公平、公正、科学、择优的原则，严格按照医院的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14:paraId="2D8B455E">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4CE051ED">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14:paraId="7B53667B">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14:paraId="233E5CD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14:paraId="658B6655">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3、评审小组按照评审标准在评审报告中确定排名第一的响应供应商为成交供应商，并在评审报告上签字，对自己的评审意见承担法律责任。</w:t>
      </w:r>
    </w:p>
    <w:p w14:paraId="1AE741C8">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14:paraId="700E8E29">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5、凡发现成交供应商有下列行为之一的，将移交涉监管部门依法处理。</w:t>
      </w:r>
    </w:p>
    <w:p w14:paraId="6E7CF363">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14:paraId="258308FA">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39409592">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14:paraId="5D1001C6">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14:paraId="05631DC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14:paraId="3295824C">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14:paraId="22DD9F74">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14:paraId="520B7C43">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14:paraId="47975820">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14:paraId="0E12E89A">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14:paraId="4EA0B20C">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14:paraId="0CC1F763">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p>
    <w:p w14:paraId="46A2B337">
      <w:pPr>
        <w:pStyle w:val="12"/>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14:paraId="5B0D0693">
      <w:pPr>
        <w:pStyle w:val="12"/>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674760B9">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5F573FE6">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14:paraId="7B6FC13F">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4ABB9BD3">
      <w:pPr>
        <w:pStyle w:val="12"/>
        <w:adjustRightInd w:val="0"/>
        <w:snapToGrid w:val="0"/>
        <w:spacing w:line="360" w:lineRule="auto"/>
        <w:ind w:right="32" w:firstLine="463"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14:paraId="7BF88F7D">
      <w:pPr>
        <w:pStyle w:val="12"/>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14:paraId="4689F3DB">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14:paraId="1FB3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14:paraId="7DE2D7EB">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noWrap w:val="0"/>
            <w:vAlign w:val="top"/>
          </w:tcPr>
          <w:p w14:paraId="4EFF65D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2C38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643BE1D6">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noWrap w:val="0"/>
            <w:vAlign w:val="top"/>
          </w:tcPr>
          <w:p w14:paraId="5CC1962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2A3F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noWrap w:val="0"/>
            <w:vAlign w:val="center"/>
          </w:tcPr>
          <w:p w14:paraId="042ECA03">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noWrap w:val="0"/>
            <w:vAlign w:val="top"/>
          </w:tcPr>
          <w:p w14:paraId="500A3E6B">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6B58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2EDF77BD">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noWrap w:val="0"/>
            <w:vAlign w:val="top"/>
          </w:tcPr>
          <w:p w14:paraId="7B2F200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5729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6BC10745">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noWrap w:val="0"/>
            <w:vAlign w:val="top"/>
          </w:tcPr>
          <w:p w14:paraId="064EBBE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73A0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4F072604">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noWrap w:val="0"/>
            <w:vAlign w:val="top"/>
          </w:tcPr>
          <w:p w14:paraId="4EAE8850">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1F30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35E01866">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noWrap w:val="0"/>
            <w:vAlign w:val="top"/>
          </w:tcPr>
          <w:p w14:paraId="1642B2FB">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14:paraId="1B7F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77DC80AA">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noWrap w:val="0"/>
            <w:vAlign w:val="top"/>
          </w:tcPr>
          <w:p w14:paraId="6F5E10D0">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14:paraId="0F7C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03D68D6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noWrap w:val="0"/>
            <w:vAlign w:val="top"/>
          </w:tcPr>
          <w:p w14:paraId="594FC0D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55A6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7B21995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noWrap w:val="0"/>
            <w:vAlign w:val="top"/>
          </w:tcPr>
          <w:p w14:paraId="4C433F5E">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6EF21726">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p>
    <w:p w14:paraId="4023CA96">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14:paraId="67F8D16B">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1084B7DC">
      <w:pPr>
        <w:pStyle w:val="12"/>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14:paraId="5B2DB4A5">
      <w:pPr>
        <w:pStyle w:val="12"/>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14:paraId="4EA95AF5">
      <w:pPr>
        <w:pStyle w:val="12"/>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tbl>
      <w:tblPr>
        <w:tblStyle w:val="1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6CAC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57802F9B">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3B032473">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0AA8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14:paraId="738E6565">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3B2C3950">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5760" w:type="dxa"/>
            <w:noWrap w:val="0"/>
            <w:vAlign w:val="center"/>
          </w:tcPr>
          <w:p w14:paraId="78FF1628">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r>
      <w:tr w14:paraId="42ED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14:paraId="1D10A932">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1D17740">
            <w:pPr>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5760" w:type="dxa"/>
            <w:noWrap w:val="0"/>
            <w:vAlign w:val="center"/>
          </w:tcPr>
          <w:p w14:paraId="35D59DF7">
            <w:pPr>
              <w:ind w:left="40" w:leftChars="19"/>
              <w:jc w:val="left"/>
              <w:rPr>
                <w:rFonts w:hint="eastAsia"/>
                <w:color w:val="auto"/>
                <w:highlight w:val="none"/>
              </w:rPr>
            </w:pPr>
            <w:r>
              <w:rPr>
                <w:rFonts w:hint="eastAsia" w:ascii="仿宋" w:hAnsi="仿宋" w:eastAsia="仿宋" w:cs="仿宋"/>
                <w:color w:val="auto"/>
                <w:szCs w:val="21"/>
                <w:highlight w:val="none"/>
              </w:rPr>
              <w:t>按对应格式文件签署、盖章</w:t>
            </w:r>
          </w:p>
        </w:tc>
      </w:tr>
      <w:tr w14:paraId="19BC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14:paraId="40FEF47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7BD7377">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129BCD27">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top"/>
          </w:tcPr>
          <w:p w14:paraId="3D5EA8C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65BF825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6952F169">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r>
              <w:rPr>
                <w:rFonts w:hint="eastAsia" w:ascii="仿宋" w:hAnsi="仿宋" w:eastAsia="仿宋" w:cs="仿宋"/>
                <w:color w:val="auto"/>
                <w:szCs w:val="21"/>
                <w:highlight w:val="none"/>
                <w:lang w:eastAsia="zh-CN"/>
              </w:rPr>
              <w:t>。</w:t>
            </w:r>
          </w:p>
          <w:p w14:paraId="1B4C660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截止时间前一年内任意一个月的依法缴纳税收证明材料（如依法免税，则须提供相应文件证明其依法免税）；</w:t>
            </w:r>
          </w:p>
          <w:p w14:paraId="45F46DA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截止时间前一年内任意一个月的依法缴纳社会保险凭据（如依法不需要缴纳社保，则须提供相应文件证明其依法不需要缴纳）；</w:t>
            </w:r>
          </w:p>
          <w:p w14:paraId="2C53E3C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54F9010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6C70659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3631D48E">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14:paraId="73B5318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14:paraId="5E0A3BE1">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14:paraId="338597F1">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本项目专门面向中小企业采购(供应商出具声明函</w:t>
            </w:r>
            <w:r>
              <w:rPr>
                <w:rFonts w:hint="eastAsia" w:ascii="仿宋" w:hAnsi="仿宋" w:eastAsia="仿宋" w:cs="仿宋"/>
                <w:color w:val="auto"/>
                <w:szCs w:val="21"/>
                <w:highlight w:val="none"/>
                <w:lang w:val="en-US" w:eastAsia="zh-CN"/>
              </w:rPr>
              <w:t>,格式自拟)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val="en-US" w:eastAsia="zh-CN"/>
              </w:rPr>
              <w:t>软件和信息技术服务业。</w:t>
            </w:r>
          </w:p>
          <w:p w14:paraId="312681C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已在</w:t>
            </w:r>
            <w:r>
              <w:rPr>
                <w:rFonts w:hint="eastAsia" w:ascii="仿宋" w:hAnsi="仿宋" w:eastAsia="仿宋" w:cs="仿宋"/>
                <w:color w:val="auto"/>
                <w:szCs w:val="21"/>
                <w:highlight w:val="none"/>
                <w:lang w:eastAsia="zh-CN"/>
              </w:rPr>
              <w:t>招采办</w:t>
            </w:r>
            <w:r>
              <w:rPr>
                <w:rFonts w:hint="eastAsia" w:ascii="仿宋" w:hAnsi="仿宋" w:eastAsia="仿宋" w:cs="仿宋"/>
                <w:color w:val="auto"/>
                <w:szCs w:val="21"/>
                <w:highlight w:val="none"/>
              </w:rPr>
              <w:t>报名。</w:t>
            </w:r>
          </w:p>
        </w:tc>
      </w:tr>
      <w:tr w14:paraId="52A5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1AEBEB83">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45DDE86">
            <w:pPr>
              <w:spacing w:line="380" w:lineRule="exact"/>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5760" w:type="dxa"/>
            <w:noWrap w:val="0"/>
            <w:vAlign w:val="top"/>
          </w:tcPr>
          <w:p w14:paraId="6F22E873">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14:paraId="5CCA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3EC313AA">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12846B02">
            <w:pPr>
              <w:tabs>
                <w:tab w:val="left" w:pos="2880"/>
              </w:tabs>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商务要求评审</w:t>
            </w:r>
          </w:p>
        </w:tc>
        <w:tc>
          <w:tcPr>
            <w:tcW w:w="5760" w:type="dxa"/>
            <w:tcBorders>
              <w:bottom w:val="single" w:color="auto" w:sz="4" w:space="0"/>
            </w:tcBorders>
            <w:noWrap w:val="0"/>
            <w:vAlign w:val="center"/>
          </w:tcPr>
          <w:p w14:paraId="2B17C8B0">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rPr>
              <w:t>实质性（“★”项）商务条款是否全部完全响应</w:t>
            </w:r>
          </w:p>
        </w:tc>
      </w:tr>
      <w:tr w14:paraId="6BCD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0910E83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4AB4825A">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要求评审</w:t>
            </w:r>
          </w:p>
        </w:tc>
        <w:tc>
          <w:tcPr>
            <w:tcW w:w="5760" w:type="dxa"/>
            <w:noWrap w:val="0"/>
            <w:vAlign w:val="center"/>
          </w:tcPr>
          <w:p w14:paraId="0F007FD4">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实质性（“★”项）</w:t>
            </w: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要求条款是否全部完全响应</w:t>
            </w:r>
          </w:p>
        </w:tc>
      </w:tr>
      <w:tr w14:paraId="6964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DC1FFC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CB18A0B">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274821F2">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w:t>
            </w:r>
          </w:p>
        </w:tc>
      </w:tr>
      <w:tr w14:paraId="7F6E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14:paraId="0D1EF007">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053060A1">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r w14:paraId="40E2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39CB2E2B">
            <w:pPr>
              <w:spacing w:line="380" w:lineRule="exact"/>
              <w:ind w:left="40" w:leftChars="19"/>
              <w:jc w:val="center"/>
              <w:rPr>
                <w:rFonts w:hint="eastAsia" w:ascii="仿宋" w:hAnsi="仿宋" w:eastAsia="仿宋" w:cs="仿宋"/>
                <w:color w:val="auto"/>
                <w:szCs w:val="21"/>
                <w:highlight w:val="none"/>
              </w:rPr>
            </w:pPr>
          </w:p>
        </w:tc>
        <w:tc>
          <w:tcPr>
            <w:tcW w:w="7792" w:type="dxa"/>
            <w:gridSpan w:val="2"/>
            <w:noWrap w:val="0"/>
            <w:vAlign w:val="center"/>
          </w:tcPr>
          <w:p w14:paraId="707E0425">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无比选文件规定的其它无效响应情况</w:t>
            </w:r>
          </w:p>
        </w:tc>
      </w:tr>
    </w:tbl>
    <w:p w14:paraId="4D28DC0E">
      <w:pPr>
        <w:pStyle w:val="12"/>
        <w:adjustRightInd w:val="0"/>
        <w:snapToGrid w:val="0"/>
        <w:spacing w:line="360" w:lineRule="auto"/>
        <w:ind w:right="32"/>
        <w:rPr>
          <w:rFonts w:hint="eastAsia" w:ascii="仿宋" w:hAnsi="仿宋" w:eastAsia="仿宋" w:cs="仿宋"/>
          <w:bCs/>
          <w:color w:val="auto"/>
          <w:sz w:val="24"/>
          <w:szCs w:val="24"/>
          <w:highlight w:val="none"/>
        </w:rPr>
      </w:pPr>
    </w:p>
    <w:p w14:paraId="54F1AB49">
      <w:pPr>
        <w:pStyle w:val="12"/>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14:paraId="7503D369">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46874EDA">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7"/>
        <w:tblW w:w="9733" w:type="dxa"/>
        <w:jc w:val="center"/>
        <w:tblLayout w:type="fixed"/>
        <w:tblCellMar>
          <w:top w:w="15" w:type="dxa"/>
          <w:left w:w="15" w:type="dxa"/>
          <w:bottom w:w="15" w:type="dxa"/>
          <w:right w:w="15" w:type="dxa"/>
        </w:tblCellMar>
      </w:tblPr>
      <w:tblGrid>
        <w:gridCol w:w="2330"/>
        <w:gridCol w:w="1211"/>
        <w:gridCol w:w="6192"/>
      </w:tblGrid>
      <w:tr w14:paraId="77F13F9F">
        <w:tblPrEx>
          <w:tblCellMar>
            <w:top w:w="15" w:type="dxa"/>
            <w:left w:w="15" w:type="dxa"/>
            <w:bottom w:w="15" w:type="dxa"/>
            <w:right w:w="15" w:type="dxa"/>
          </w:tblCellMar>
        </w:tblPrEx>
        <w:trPr>
          <w:trHeight w:val="104" w:hRule="atLeast"/>
          <w:tblHeader/>
          <w:jc w:val="center"/>
        </w:trPr>
        <w:tc>
          <w:tcPr>
            <w:tcW w:w="2330" w:type="dxa"/>
            <w:tcBorders>
              <w:top w:val="single" w:color="000000" w:sz="4" w:space="0"/>
              <w:left w:val="single" w:color="000000" w:sz="4" w:space="0"/>
              <w:bottom w:val="single" w:color="000000" w:sz="4" w:space="0"/>
              <w:right w:val="single" w:color="000000" w:sz="4" w:space="0"/>
            </w:tcBorders>
            <w:noWrap w:val="0"/>
            <w:vAlign w:val="center"/>
          </w:tcPr>
          <w:p w14:paraId="36A5297E">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评分项目</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2472A55">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分值(分)</w:t>
            </w:r>
          </w:p>
        </w:tc>
        <w:tc>
          <w:tcPr>
            <w:tcW w:w="6192" w:type="dxa"/>
            <w:tcBorders>
              <w:top w:val="single" w:color="000000" w:sz="4" w:space="0"/>
              <w:left w:val="single" w:color="000000" w:sz="4" w:space="0"/>
              <w:bottom w:val="single" w:color="000000" w:sz="4" w:space="0"/>
              <w:right w:val="single" w:color="000000" w:sz="4" w:space="0"/>
            </w:tcBorders>
            <w:noWrap w:val="0"/>
            <w:vAlign w:val="center"/>
          </w:tcPr>
          <w:p w14:paraId="2D79A4C3">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评分细则</w:t>
            </w:r>
          </w:p>
        </w:tc>
      </w:tr>
      <w:tr w14:paraId="67B6F1B5">
        <w:tblPrEx>
          <w:tblCellMar>
            <w:top w:w="15" w:type="dxa"/>
            <w:left w:w="15" w:type="dxa"/>
            <w:bottom w:w="15" w:type="dxa"/>
            <w:right w:w="15" w:type="dxa"/>
          </w:tblCellMar>
        </w:tblPrEx>
        <w:trPr>
          <w:trHeight w:val="1417" w:hRule="atLeast"/>
          <w:jc w:val="center"/>
        </w:trPr>
        <w:tc>
          <w:tcPr>
            <w:tcW w:w="2330" w:type="dxa"/>
            <w:tcBorders>
              <w:top w:val="single" w:color="000000" w:sz="4" w:space="0"/>
              <w:left w:val="single" w:color="000000" w:sz="4" w:space="0"/>
              <w:bottom w:val="single" w:color="000000" w:sz="4" w:space="0"/>
              <w:right w:val="single" w:color="000000" w:sz="4" w:space="0"/>
            </w:tcBorders>
            <w:noWrap w:val="0"/>
            <w:vAlign w:val="center"/>
          </w:tcPr>
          <w:p w14:paraId="1EB3C014">
            <w:pPr>
              <w:pStyle w:val="20"/>
              <w:autoSpaceDE w:val="0"/>
              <w:autoSpaceDN w:val="0"/>
              <w:adjustRightInd w:val="0"/>
              <w:snapToGrid w:val="0"/>
              <w:spacing w:line="240" w:lineRule="auto"/>
              <w:ind w:right="32"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bidi="ar"/>
              </w:rPr>
              <w:t>价格</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0685E32B">
            <w:pPr>
              <w:pStyle w:val="20"/>
              <w:autoSpaceDE w:val="0"/>
              <w:autoSpaceDN w:val="0"/>
              <w:adjustRightInd w:val="0"/>
              <w:snapToGrid w:val="0"/>
              <w:spacing w:line="240" w:lineRule="auto"/>
              <w:ind w:right="32"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
              </w:rPr>
              <w:t>30</w:t>
            </w:r>
          </w:p>
        </w:tc>
        <w:tc>
          <w:tcPr>
            <w:tcW w:w="6192" w:type="dxa"/>
            <w:tcBorders>
              <w:top w:val="single" w:color="000000" w:sz="4" w:space="0"/>
              <w:left w:val="single" w:color="000000" w:sz="4" w:space="0"/>
              <w:bottom w:val="single" w:color="000000" w:sz="4" w:space="0"/>
              <w:right w:val="single" w:color="000000" w:sz="4" w:space="0"/>
            </w:tcBorders>
            <w:noWrap w:val="0"/>
            <w:vAlign w:val="center"/>
          </w:tcPr>
          <w:p w14:paraId="6D93399F">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对</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lang w:val="en-GB"/>
              </w:rPr>
              <w:t>文件做出实质性响应的所有合格</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en-GB"/>
              </w:rPr>
              <w:t>价格评估得分采用低价优先法计算，即通过初审且</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价格最低的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报价为评标基准价，其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报价得分为满分；其他</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报价得分按如下公式计算：</w:t>
            </w:r>
          </w:p>
          <w:p w14:paraId="23C3A217">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报价得分=（评标基准价/</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报价）×价格权值；</w:t>
            </w:r>
          </w:p>
          <w:p w14:paraId="0B725EC8">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备注：</w:t>
            </w:r>
          </w:p>
          <w:p w14:paraId="0DE58DEB">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1、因落实政府采购政策进行价格调整的，以调整后的价格计算评标基准价和</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报价，详见《价格扣除》；</w:t>
            </w:r>
          </w:p>
          <w:p w14:paraId="03DE1BA3">
            <w:pPr>
              <w:pStyle w:val="20"/>
              <w:autoSpaceDE w:val="0"/>
              <w:autoSpaceDN w:val="0"/>
              <w:adjustRightInd w:val="0"/>
              <w:snapToGrid w:val="0"/>
              <w:spacing w:line="240" w:lineRule="auto"/>
              <w:ind w:right="32"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报价得分四舍五入后，小数点后保留两位有效数。</w:t>
            </w:r>
          </w:p>
        </w:tc>
      </w:tr>
    </w:tbl>
    <w:p w14:paraId="263518AA">
      <w:pPr>
        <w:rPr>
          <w:highlight w:val="none"/>
        </w:rPr>
      </w:pPr>
    </w:p>
    <w:tbl>
      <w:tblPr>
        <w:tblStyle w:val="17"/>
        <w:tblW w:w="9733" w:type="dxa"/>
        <w:jc w:val="center"/>
        <w:tblLayout w:type="fixed"/>
        <w:tblCellMar>
          <w:top w:w="15" w:type="dxa"/>
          <w:left w:w="15" w:type="dxa"/>
          <w:bottom w:w="15" w:type="dxa"/>
          <w:right w:w="15" w:type="dxa"/>
        </w:tblCellMar>
      </w:tblPr>
      <w:tblGrid>
        <w:gridCol w:w="843"/>
        <w:gridCol w:w="1487"/>
        <w:gridCol w:w="1226"/>
        <w:gridCol w:w="6177"/>
      </w:tblGrid>
      <w:tr w14:paraId="0F84C05F">
        <w:trPr>
          <w:trHeight w:val="467"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14:paraId="096C736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技术</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566B1488">
            <w:pPr>
              <w:widowControl/>
              <w:spacing w:line="360" w:lineRule="auto"/>
              <w:jc w:val="center"/>
              <w:textAlignment w:val="center"/>
              <w:rPr>
                <w:rFonts w:hint="eastAsia" w:ascii="仿宋" w:hAnsi="仿宋" w:eastAsia="仿宋" w:cs="仿宋"/>
                <w:b w:val="0"/>
                <w:bCs w:val="0"/>
                <w:color w:val="auto"/>
                <w:kern w:val="0"/>
                <w:sz w:val="24"/>
                <w:szCs w:val="24"/>
                <w:highlight w:val="none"/>
                <w:shd w:val="clear" w:color="auto" w:fill="auto"/>
                <w:lang w:bidi="ar"/>
              </w:rPr>
            </w:pPr>
            <w:r>
              <w:rPr>
                <w:rFonts w:hint="eastAsia" w:ascii="仿宋" w:hAnsi="仿宋" w:eastAsia="仿宋" w:cs="仿宋"/>
                <w:b w:val="0"/>
                <w:bCs w:val="0"/>
                <w:color w:val="auto"/>
                <w:kern w:val="0"/>
                <w:sz w:val="24"/>
                <w:szCs w:val="24"/>
                <w:highlight w:val="none"/>
                <w:shd w:val="clear" w:color="auto" w:fill="auto"/>
                <w:lang w:val="en-US" w:eastAsia="zh-CN" w:bidi="ar"/>
              </w:rPr>
              <w:t>对“</w:t>
            </w:r>
            <w:r>
              <w:rPr>
                <w:rFonts w:hint="eastAsia" w:ascii="仿宋" w:hAnsi="仿宋" w:eastAsia="仿宋" w:cs="仿宋"/>
                <w:b w:val="0"/>
                <w:bCs w:val="0"/>
                <w:color w:val="auto"/>
                <w:sz w:val="24"/>
                <w:highlight w:val="none"/>
                <w:u w:val="none" w:color="auto"/>
                <w:lang w:val="en-US" w:eastAsia="zh-CN"/>
              </w:rPr>
              <w:t>服务要求</w:t>
            </w:r>
            <w:r>
              <w:rPr>
                <w:rFonts w:hint="eastAsia" w:ascii="仿宋" w:hAnsi="仿宋" w:eastAsia="仿宋" w:cs="仿宋"/>
                <w:b w:val="0"/>
                <w:bCs w:val="0"/>
                <w:color w:val="auto"/>
                <w:kern w:val="0"/>
                <w:sz w:val="24"/>
                <w:szCs w:val="24"/>
                <w:highlight w:val="none"/>
                <w:shd w:val="clear" w:color="auto" w:fill="auto"/>
                <w:lang w:val="en-US" w:eastAsia="zh-CN" w:bidi="ar"/>
              </w:rPr>
              <w:t>”的响应程度（▲号条款）</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20D40F0">
            <w:pPr>
              <w:pStyle w:val="21"/>
              <w:spacing w:after="0" w:line="360" w:lineRule="auto"/>
              <w:jc w:val="center"/>
              <w:rPr>
                <w:rFonts w:hint="default" w:ascii="仿宋" w:hAnsi="仿宋" w:eastAsia="仿宋" w:cs="仿宋"/>
                <w:b w:val="0"/>
                <w:bCs w:val="0"/>
                <w:spacing w:val="10"/>
                <w:kern w:val="0"/>
                <w:sz w:val="24"/>
                <w:szCs w:val="24"/>
                <w:highlight w:val="none"/>
                <w:lang w:val="en-US" w:eastAsia="zh-CN" w:bidi="ar-SA"/>
              </w:rPr>
            </w:pPr>
            <w:r>
              <w:rPr>
                <w:rFonts w:hint="eastAsia" w:ascii="仿宋" w:hAnsi="仿宋" w:eastAsia="仿宋" w:cs="仿宋"/>
                <w:b w:val="0"/>
                <w:bCs w:val="0"/>
                <w:spacing w:val="10"/>
                <w:kern w:val="0"/>
                <w:sz w:val="24"/>
                <w:szCs w:val="24"/>
                <w:highlight w:val="none"/>
                <w:lang w:val="en-US" w:eastAsia="zh-CN" w:bidi="ar-SA"/>
              </w:rPr>
              <w:t>18</w:t>
            </w:r>
          </w:p>
        </w:tc>
        <w:tc>
          <w:tcPr>
            <w:tcW w:w="6177" w:type="dxa"/>
            <w:tcBorders>
              <w:top w:val="single" w:color="auto" w:sz="4" w:space="0"/>
              <w:left w:val="single" w:color="auto" w:sz="4" w:space="0"/>
              <w:bottom w:val="single" w:color="auto" w:sz="4" w:space="0"/>
              <w:right w:val="single" w:color="auto" w:sz="4" w:space="0"/>
            </w:tcBorders>
            <w:noWrap w:val="0"/>
            <w:vAlign w:val="center"/>
          </w:tcPr>
          <w:p w14:paraId="025E5E64">
            <w:pPr>
              <w:widowControl/>
              <w:tabs>
                <w:tab w:val="left" w:pos="274"/>
                <w:tab w:val="center" w:pos="570"/>
              </w:tabs>
              <w:spacing w:line="360" w:lineRule="auto"/>
              <w:jc w:val="center"/>
              <w:textAlignment w:val="center"/>
              <w:rPr>
                <w:rFonts w:hint="eastAsia" w:ascii="仿宋" w:hAnsi="仿宋" w:eastAsia="仿宋" w:cs="仿宋"/>
                <w:b w:val="0"/>
                <w:bCs w:val="0"/>
                <w:color w:val="auto"/>
                <w:kern w:val="0"/>
                <w:sz w:val="24"/>
                <w:szCs w:val="24"/>
                <w:highlight w:val="none"/>
                <w:shd w:val="clear" w:color="auto" w:fill="auto"/>
                <w:lang w:val="en-US" w:eastAsia="zh-CN" w:bidi="ar"/>
              </w:rPr>
            </w:pPr>
            <w:r>
              <w:rPr>
                <w:rFonts w:hint="eastAsia" w:ascii="仿宋" w:hAnsi="仿宋" w:eastAsia="仿宋" w:cs="仿宋"/>
                <w:b w:val="0"/>
                <w:bCs w:val="0"/>
                <w:color w:val="auto"/>
                <w:kern w:val="0"/>
                <w:sz w:val="24"/>
                <w:szCs w:val="24"/>
                <w:highlight w:val="none"/>
                <w:shd w:val="clear" w:color="auto" w:fill="auto"/>
                <w:lang w:val="en-US" w:eastAsia="zh-CN" w:bidi="ar"/>
              </w:rPr>
              <w:t>所投产品参数全部满足“</w:t>
            </w:r>
            <w:r>
              <w:rPr>
                <w:rFonts w:hint="eastAsia" w:ascii="仿宋" w:hAnsi="仿宋" w:eastAsia="仿宋" w:cs="仿宋"/>
                <w:b w:val="0"/>
                <w:bCs w:val="0"/>
                <w:color w:val="auto"/>
                <w:sz w:val="24"/>
                <w:highlight w:val="none"/>
                <w:u w:val="none" w:color="auto"/>
                <w:lang w:val="en-US" w:eastAsia="zh-CN"/>
              </w:rPr>
              <w:t>服务要求</w:t>
            </w:r>
            <w:r>
              <w:rPr>
                <w:rFonts w:hint="eastAsia" w:ascii="仿宋" w:hAnsi="仿宋" w:eastAsia="仿宋" w:cs="仿宋"/>
                <w:b w:val="0"/>
                <w:bCs w:val="0"/>
                <w:color w:val="auto"/>
                <w:kern w:val="0"/>
                <w:sz w:val="24"/>
                <w:szCs w:val="24"/>
                <w:highlight w:val="none"/>
                <w:shd w:val="clear" w:color="auto" w:fill="auto"/>
                <w:lang w:val="en-US" w:eastAsia="zh-CN" w:bidi="ar"/>
              </w:rPr>
              <w:t>”中带▲的重要参数，得18分； ①有一项不满足带▲的重要参数的得16分； ②有二项不满足带▲的重要参数的得14分； ③有三项不满足带▲的重要参数的得12分； 以此类推，当带▲号条款负偏离达到9项（含）以上时，视为严重偏离此评分项不得分。</w:t>
            </w:r>
          </w:p>
          <w:p w14:paraId="13A646E8">
            <w:pPr>
              <w:pStyle w:val="2"/>
              <w:numPr>
                <w:ilvl w:val="0"/>
                <w:numId w:val="0"/>
              </w:numPr>
              <w:ind w:leftChars="0"/>
              <w:jc w:val="center"/>
              <w:rPr>
                <w:rFonts w:hint="eastAsia"/>
                <w:b w:val="0"/>
                <w:bCs w:val="0"/>
                <w:highlight w:val="none"/>
                <w:lang w:val="en-US" w:eastAsia="zh-CN"/>
              </w:rPr>
            </w:pPr>
            <w:r>
              <w:rPr>
                <w:rFonts w:hint="eastAsia" w:ascii="仿宋" w:hAnsi="仿宋" w:eastAsia="仿宋" w:cs="仿宋"/>
                <w:b w:val="0"/>
                <w:bCs w:val="0"/>
                <w:color w:val="auto"/>
                <w:kern w:val="0"/>
                <w:sz w:val="24"/>
                <w:szCs w:val="24"/>
                <w:highlight w:val="none"/>
                <w:shd w:val="clear" w:color="auto" w:fill="auto"/>
                <w:lang w:val="en-US" w:eastAsia="zh-CN" w:bidi="ar"/>
              </w:rPr>
              <w:t>响应文件未要求提供证明材料的技术参数，以投标文件格式技术和服务要求响应表为准。。</w:t>
            </w:r>
          </w:p>
        </w:tc>
      </w:tr>
      <w:tr w14:paraId="79A0A526">
        <w:tblPrEx>
          <w:tblCellMar>
            <w:top w:w="15" w:type="dxa"/>
            <w:left w:w="15" w:type="dxa"/>
            <w:bottom w:w="15" w:type="dxa"/>
            <w:right w:w="15" w:type="dxa"/>
          </w:tblCellMar>
        </w:tblPrEx>
        <w:trPr>
          <w:trHeight w:val="467"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17B3262B">
            <w:pPr>
              <w:widowControl/>
              <w:spacing w:line="360" w:lineRule="auto"/>
              <w:jc w:val="center"/>
              <w:textAlignment w:val="center"/>
              <w:rPr>
                <w:rFonts w:hint="eastAsia" w:ascii="仿宋" w:hAnsi="仿宋" w:eastAsia="仿宋" w:cs="仿宋"/>
                <w:color w:val="auto"/>
                <w:sz w:val="24"/>
                <w:szCs w:val="24"/>
                <w:highlight w:val="none"/>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47742676">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对本项目的熟悉程度</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F79D3BC">
            <w:pPr>
              <w:widowControl/>
              <w:tabs>
                <w:tab w:val="left" w:pos="274"/>
                <w:tab w:val="center" w:pos="570"/>
              </w:tabs>
              <w:spacing w:line="360" w:lineRule="auto"/>
              <w:jc w:val="center"/>
              <w:textAlignment w:val="center"/>
              <w:rPr>
                <w:rFonts w:hint="default"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10</w:t>
            </w:r>
          </w:p>
        </w:tc>
        <w:tc>
          <w:tcPr>
            <w:tcW w:w="6177" w:type="dxa"/>
            <w:tcBorders>
              <w:top w:val="single" w:color="auto" w:sz="4" w:space="0"/>
              <w:left w:val="single" w:color="auto" w:sz="4" w:space="0"/>
              <w:bottom w:val="single" w:color="auto" w:sz="4" w:space="0"/>
              <w:right w:val="single" w:color="auto" w:sz="4" w:space="0"/>
            </w:tcBorders>
            <w:noWrap w:val="0"/>
            <w:vAlign w:val="center"/>
          </w:tcPr>
          <w:p w14:paraId="4072129F">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根据响应供应商对本项目的熟悉程度（包括但不限于对本项目维护系统的熟悉程度、技术要点的了解和工作思路等）进行评分：</w:t>
            </w:r>
          </w:p>
          <w:p w14:paraId="5656E364">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对本项目维护系统的熟悉程度高、技术要点的了解程度高、工作思路清晰的得10分；</w:t>
            </w:r>
          </w:p>
          <w:p w14:paraId="5EF95D1A">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对本项目维护系统的熟悉程度较高、技术要点的了解程度较高、工作思路较清晰的得7分；</w:t>
            </w:r>
          </w:p>
          <w:p w14:paraId="3E42C775">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对本项目维护系统的熟悉程度一般、技术要点的了解程度一般、工作思路基本清晰的得4分；</w:t>
            </w:r>
          </w:p>
          <w:p w14:paraId="55A0BE39">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无提供不得分。</w:t>
            </w:r>
          </w:p>
        </w:tc>
      </w:tr>
      <w:tr w14:paraId="1F06FFA3">
        <w:tblPrEx>
          <w:tblCellMar>
            <w:top w:w="15" w:type="dxa"/>
            <w:left w:w="15" w:type="dxa"/>
            <w:bottom w:w="15" w:type="dxa"/>
            <w:right w:w="15" w:type="dxa"/>
          </w:tblCellMar>
        </w:tblPrEx>
        <w:trPr>
          <w:trHeight w:val="1417" w:hRule="atLeast"/>
          <w:jc w:val="center"/>
        </w:trPr>
        <w:tc>
          <w:tcPr>
            <w:tcW w:w="843" w:type="dxa"/>
            <w:vMerge w:val="continue"/>
            <w:tcBorders>
              <w:top w:val="single" w:color="auto" w:sz="4" w:space="0"/>
              <w:left w:val="single" w:color="auto" w:sz="4" w:space="0"/>
              <w:right w:val="single" w:color="000000" w:sz="4" w:space="0"/>
            </w:tcBorders>
            <w:noWrap w:val="0"/>
            <w:vAlign w:val="center"/>
          </w:tcPr>
          <w:p w14:paraId="6C3B1E74">
            <w:pPr>
              <w:spacing w:line="360" w:lineRule="auto"/>
              <w:jc w:val="center"/>
              <w:rPr>
                <w:rFonts w:hint="eastAsia" w:ascii="仿宋" w:hAnsi="仿宋" w:eastAsia="仿宋" w:cs="仿宋"/>
                <w:color w:val="auto"/>
                <w:sz w:val="24"/>
                <w:szCs w:val="24"/>
                <w:highlight w:val="none"/>
              </w:rPr>
            </w:pPr>
          </w:p>
        </w:tc>
        <w:tc>
          <w:tcPr>
            <w:tcW w:w="1487" w:type="dxa"/>
            <w:tcBorders>
              <w:top w:val="single" w:color="auto" w:sz="4" w:space="0"/>
              <w:left w:val="single" w:color="000000" w:sz="4" w:space="0"/>
              <w:bottom w:val="single" w:color="000000" w:sz="4" w:space="0"/>
              <w:right w:val="single" w:color="000000" w:sz="4" w:space="0"/>
            </w:tcBorders>
            <w:noWrap w:val="0"/>
            <w:vAlign w:val="center"/>
          </w:tcPr>
          <w:p w14:paraId="51D65950">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项目组织计划</w:t>
            </w:r>
          </w:p>
        </w:tc>
        <w:tc>
          <w:tcPr>
            <w:tcW w:w="1226" w:type="dxa"/>
            <w:tcBorders>
              <w:top w:val="single" w:color="auto" w:sz="4" w:space="0"/>
              <w:left w:val="single" w:color="000000" w:sz="4" w:space="0"/>
              <w:bottom w:val="single" w:color="000000" w:sz="4" w:space="0"/>
              <w:right w:val="single" w:color="000000" w:sz="4" w:space="0"/>
            </w:tcBorders>
            <w:noWrap w:val="0"/>
            <w:vAlign w:val="center"/>
          </w:tcPr>
          <w:p w14:paraId="38771949">
            <w:pPr>
              <w:widowControl/>
              <w:tabs>
                <w:tab w:val="left" w:pos="274"/>
                <w:tab w:val="center" w:pos="570"/>
              </w:tabs>
              <w:spacing w:line="360" w:lineRule="auto"/>
              <w:jc w:val="center"/>
              <w:textAlignment w:val="center"/>
              <w:rPr>
                <w:rFonts w:hint="default"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10</w:t>
            </w:r>
          </w:p>
        </w:tc>
        <w:tc>
          <w:tcPr>
            <w:tcW w:w="6177" w:type="dxa"/>
            <w:tcBorders>
              <w:top w:val="single" w:color="auto" w:sz="4" w:space="0"/>
              <w:left w:val="single" w:color="000000" w:sz="4" w:space="0"/>
              <w:bottom w:val="single" w:color="000000" w:sz="4" w:space="0"/>
              <w:right w:val="single" w:color="000000" w:sz="4" w:space="0"/>
            </w:tcBorders>
            <w:noWrap w:val="0"/>
            <w:vAlign w:val="center"/>
          </w:tcPr>
          <w:p w14:paraId="6D29D780">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zh-CN" w:eastAsia="zh-CN" w:bidi="ar"/>
              </w:rPr>
            </w:pPr>
            <w:r>
              <w:rPr>
                <w:rFonts w:hint="eastAsia" w:ascii="仿宋" w:hAnsi="仿宋" w:eastAsia="仿宋" w:cs="仿宋"/>
                <w:color w:val="auto"/>
                <w:kern w:val="0"/>
                <w:sz w:val="24"/>
                <w:szCs w:val="24"/>
                <w:highlight w:val="none"/>
                <w:shd w:val="clear" w:color="auto" w:fill="auto"/>
                <w:lang w:val="zh-CN" w:eastAsia="zh-CN" w:bidi="ar"/>
              </w:rPr>
              <w:t>根据响应供应商提供的</w:t>
            </w:r>
            <w:r>
              <w:rPr>
                <w:rFonts w:hint="eastAsia" w:ascii="仿宋" w:hAnsi="仿宋" w:eastAsia="仿宋" w:cs="仿宋"/>
                <w:color w:val="auto"/>
                <w:kern w:val="0"/>
                <w:sz w:val="24"/>
                <w:szCs w:val="24"/>
                <w:highlight w:val="none"/>
                <w:shd w:val="clear" w:color="auto" w:fill="auto"/>
                <w:lang w:val="en-US" w:eastAsia="zh-CN" w:bidi="ar"/>
              </w:rPr>
              <w:t>维保</w:t>
            </w:r>
            <w:r>
              <w:rPr>
                <w:rFonts w:hint="eastAsia" w:ascii="仿宋" w:hAnsi="仿宋" w:eastAsia="仿宋" w:cs="仿宋"/>
                <w:color w:val="auto"/>
                <w:kern w:val="0"/>
                <w:sz w:val="24"/>
                <w:szCs w:val="24"/>
                <w:highlight w:val="none"/>
                <w:shd w:val="clear" w:color="auto" w:fill="auto"/>
                <w:lang w:val="zh-CN" w:eastAsia="zh-CN" w:bidi="ar"/>
              </w:rPr>
              <w:t>服务组织计划（包括但不限于技术人员安排、流程规定等因素）进行评分：</w:t>
            </w:r>
          </w:p>
          <w:p w14:paraId="6FE5DD93">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zh-CN" w:eastAsia="zh-CN" w:bidi="ar"/>
              </w:rPr>
            </w:pPr>
            <w:r>
              <w:rPr>
                <w:rFonts w:hint="eastAsia" w:ascii="仿宋" w:hAnsi="仿宋" w:eastAsia="仿宋" w:cs="仿宋"/>
                <w:color w:val="auto"/>
                <w:kern w:val="0"/>
                <w:sz w:val="24"/>
                <w:szCs w:val="24"/>
                <w:highlight w:val="none"/>
                <w:shd w:val="clear" w:color="auto" w:fill="auto"/>
                <w:lang w:val="zh-CN" w:eastAsia="zh-CN" w:bidi="ar"/>
              </w:rPr>
              <w:t>提供优质的服务，制定的</w:t>
            </w:r>
            <w:r>
              <w:rPr>
                <w:rFonts w:hint="eastAsia" w:ascii="仿宋" w:hAnsi="仿宋" w:eastAsia="仿宋" w:cs="仿宋"/>
                <w:color w:val="auto"/>
                <w:kern w:val="0"/>
                <w:sz w:val="24"/>
                <w:szCs w:val="24"/>
                <w:highlight w:val="none"/>
                <w:shd w:val="clear" w:color="auto" w:fill="auto"/>
                <w:lang w:val="en-US" w:eastAsia="zh-CN" w:bidi="ar"/>
              </w:rPr>
              <w:t>维保</w:t>
            </w:r>
            <w:r>
              <w:rPr>
                <w:rFonts w:hint="eastAsia" w:ascii="仿宋" w:hAnsi="仿宋" w:eastAsia="仿宋" w:cs="仿宋"/>
                <w:color w:val="auto"/>
                <w:kern w:val="0"/>
                <w:sz w:val="24"/>
                <w:szCs w:val="24"/>
                <w:highlight w:val="none"/>
                <w:shd w:val="clear" w:color="auto" w:fill="auto"/>
                <w:lang w:val="zh-CN" w:eastAsia="zh-CN" w:bidi="ar"/>
              </w:rPr>
              <w:t>服务组织计划非常合理完整的，得</w:t>
            </w:r>
            <w:r>
              <w:rPr>
                <w:rFonts w:hint="eastAsia" w:ascii="仿宋" w:hAnsi="仿宋" w:eastAsia="仿宋" w:cs="仿宋"/>
                <w:color w:val="auto"/>
                <w:kern w:val="0"/>
                <w:sz w:val="24"/>
                <w:szCs w:val="24"/>
                <w:highlight w:val="none"/>
                <w:shd w:val="clear" w:color="auto" w:fill="auto"/>
                <w:lang w:val="en-US" w:eastAsia="zh-CN" w:bidi="ar"/>
              </w:rPr>
              <w:t>10</w:t>
            </w:r>
            <w:r>
              <w:rPr>
                <w:rFonts w:hint="eastAsia" w:ascii="仿宋" w:hAnsi="仿宋" w:eastAsia="仿宋" w:cs="仿宋"/>
                <w:color w:val="auto"/>
                <w:kern w:val="0"/>
                <w:sz w:val="24"/>
                <w:szCs w:val="24"/>
                <w:highlight w:val="none"/>
                <w:shd w:val="clear" w:color="auto" w:fill="auto"/>
                <w:lang w:val="zh-CN" w:eastAsia="zh-CN" w:bidi="ar"/>
              </w:rPr>
              <w:t>分；</w:t>
            </w:r>
          </w:p>
          <w:p w14:paraId="1EC079FA">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zh-CN" w:eastAsia="zh-CN" w:bidi="ar"/>
              </w:rPr>
            </w:pPr>
            <w:r>
              <w:rPr>
                <w:rFonts w:hint="eastAsia" w:ascii="仿宋" w:hAnsi="仿宋" w:eastAsia="仿宋" w:cs="仿宋"/>
                <w:color w:val="auto"/>
                <w:kern w:val="0"/>
                <w:sz w:val="24"/>
                <w:szCs w:val="24"/>
                <w:highlight w:val="none"/>
                <w:shd w:val="clear" w:color="auto" w:fill="auto"/>
                <w:lang w:val="zh-CN" w:eastAsia="zh-CN" w:bidi="ar"/>
              </w:rPr>
              <w:t>提供良好的服务，制定的</w:t>
            </w:r>
            <w:r>
              <w:rPr>
                <w:rFonts w:hint="eastAsia" w:ascii="仿宋" w:hAnsi="仿宋" w:eastAsia="仿宋" w:cs="仿宋"/>
                <w:color w:val="auto"/>
                <w:kern w:val="0"/>
                <w:sz w:val="24"/>
                <w:szCs w:val="24"/>
                <w:highlight w:val="none"/>
                <w:shd w:val="clear" w:color="auto" w:fill="auto"/>
                <w:lang w:val="en-US" w:eastAsia="zh-CN" w:bidi="ar"/>
              </w:rPr>
              <w:t>维保</w:t>
            </w:r>
            <w:r>
              <w:rPr>
                <w:rFonts w:hint="eastAsia" w:ascii="仿宋" w:hAnsi="仿宋" w:eastAsia="仿宋" w:cs="仿宋"/>
                <w:color w:val="auto"/>
                <w:kern w:val="0"/>
                <w:sz w:val="24"/>
                <w:szCs w:val="24"/>
                <w:highlight w:val="none"/>
                <w:shd w:val="clear" w:color="auto" w:fill="auto"/>
                <w:lang w:val="zh-CN" w:eastAsia="zh-CN" w:bidi="ar"/>
              </w:rPr>
              <w:t>服务组织计划合理完整的，得</w:t>
            </w:r>
            <w:r>
              <w:rPr>
                <w:rFonts w:hint="eastAsia" w:ascii="仿宋" w:hAnsi="仿宋" w:eastAsia="仿宋" w:cs="仿宋"/>
                <w:color w:val="auto"/>
                <w:kern w:val="0"/>
                <w:sz w:val="24"/>
                <w:szCs w:val="24"/>
                <w:highlight w:val="none"/>
                <w:shd w:val="clear" w:color="auto" w:fill="auto"/>
                <w:lang w:val="en-US" w:eastAsia="zh-CN" w:bidi="ar"/>
              </w:rPr>
              <w:t>7</w:t>
            </w:r>
            <w:r>
              <w:rPr>
                <w:rFonts w:hint="eastAsia" w:ascii="仿宋" w:hAnsi="仿宋" w:eastAsia="仿宋" w:cs="仿宋"/>
                <w:color w:val="auto"/>
                <w:kern w:val="0"/>
                <w:sz w:val="24"/>
                <w:szCs w:val="24"/>
                <w:highlight w:val="none"/>
                <w:shd w:val="clear" w:color="auto" w:fill="auto"/>
                <w:lang w:val="zh-CN" w:eastAsia="zh-CN" w:bidi="ar"/>
              </w:rPr>
              <w:t>分；</w:t>
            </w:r>
          </w:p>
          <w:p w14:paraId="64EA275B">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zh-CN" w:eastAsia="zh-CN" w:bidi="ar"/>
              </w:rPr>
            </w:pPr>
            <w:r>
              <w:rPr>
                <w:rFonts w:hint="eastAsia" w:ascii="仿宋" w:hAnsi="仿宋" w:eastAsia="仿宋" w:cs="仿宋"/>
                <w:color w:val="auto"/>
                <w:kern w:val="0"/>
                <w:sz w:val="24"/>
                <w:szCs w:val="24"/>
                <w:highlight w:val="none"/>
                <w:shd w:val="clear" w:color="auto" w:fill="auto"/>
                <w:lang w:val="zh-CN" w:eastAsia="zh-CN" w:bidi="ar"/>
              </w:rPr>
              <w:t>提供的服务一般，制定的</w:t>
            </w:r>
            <w:r>
              <w:rPr>
                <w:rFonts w:hint="eastAsia" w:ascii="仿宋" w:hAnsi="仿宋" w:eastAsia="仿宋" w:cs="仿宋"/>
                <w:color w:val="auto"/>
                <w:kern w:val="0"/>
                <w:sz w:val="24"/>
                <w:szCs w:val="24"/>
                <w:highlight w:val="none"/>
                <w:shd w:val="clear" w:color="auto" w:fill="auto"/>
                <w:lang w:val="en-US" w:eastAsia="zh-CN" w:bidi="ar"/>
              </w:rPr>
              <w:t>维保</w:t>
            </w:r>
            <w:r>
              <w:rPr>
                <w:rFonts w:hint="eastAsia" w:ascii="仿宋" w:hAnsi="仿宋" w:eastAsia="仿宋" w:cs="仿宋"/>
                <w:color w:val="auto"/>
                <w:kern w:val="0"/>
                <w:sz w:val="24"/>
                <w:szCs w:val="24"/>
                <w:highlight w:val="none"/>
                <w:shd w:val="clear" w:color="auto" w:fill="auto"/>
                <w:lang w:val="zh-CN" w:eastAsia="zh-CN" w:bidi="ar"/>
              </w:rPr>
              <w:t>服务组织计划较合理完整的，得</w:t>
            </w:r>
            <w:r>
              <w:rPr>
                <w:rFonts w:hint="eastAsia" w:ascii="仿宋" w:hAnsi="仿宋" w:eastAsia="仿宋" w:cs="仿宋"/>
                <w:color w:val="auto"/>
                <w:kern w:val="0"/>
                <w:sz w:val="24"/>
                <w:szCs w:val="24"/>
                <w:highlight w:val="none"/>
                <w:shd w:val="clear" w:color="auto" w:fill="auto"/>
                <w:lang w:val="en-US" w:eastAsia="zh-CN" w:bidi="ar"/>
              </w:rPr>
              <w:t>4</w:t>
            </w:r>
            <w:r>
              <w:rPr>
                <w:rFonts w:hint="eastAsia" w:ascii="仿宋" w:hAnsi="仿宋" w:eastAsia="仿宋" w:cs="仿宋"/>
                <w:color w:val="auto"/>
                <w:kern w:val="0"/>
                <w:sz w:val="24"/>
                <w:szCs w:val="24"/>
                <w:highlight w:val="none"/>
                <w:shd w:val="clear" w:color="auto" w:fill="auto"/>
                <w:lang w:val="zh-CN" w:eastAsia="zh-CN" w:bidi="ar"/>
              </w:rPr>
              <w:t>分；</w:t>
            </w:r>
          </w:p>
          <w:p w14:paraId="6BCB9041">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zh-CN" w:eastAsia="zh-CN" w:bidi="ar"/>
              </w:rPr>
              <w:t xml:space="preserve">无提供不得分。 </w:t>
            </w:r>
          </w:p>
        </w:tc>
      </w:tr>
      <w:tr w14:paraId="4FA0CBC7">
        <w:tblPrEx>
          <w:tblCellMar>
            <w:top w:w="15" w:type="dxa"/>
            <w:left w:w="15" w:type="dxa"/>
            <w:bottom w:w="15" w:type="dxa"/>
            <w:right w:w="15" w:type="dxa"/>
          </w:tblCellMar>
        </w:tblPrEx>
        <w:trPr>
          <w:trHeight w:val="1417" w:hRule="atLeast"/>
          <w:jc w:val="center"/>
        </w:trPr>
        <w:tc>
          <w:tcPr>
            <w:tcW w:w="843" w:type="dxa"/>
            <w:vMerge w:val="continue"/>
            <w:tcBorders>
              <w:left w:val="single" w:color="auto" w:sz="4" w:space="0"/>
              <w:right w:val="single" w:color="000000" w:sz="4" w:space="0"/>
            </w:tcBorders>
            <w:noWrap w:val="0"/>
            <w:vAlign w:val="center"/>
          </w:tcPr>
          <w:p w14:paraId="207EC9C7">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6BCF9A67">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质量保证措施</w:t>
            </w:r>
            <w:r>
              <w:rPr>
                <w:rFonts w:hint="eastAsia" w:ascii="仿宋" w:hAnsi="仿宋" w:eastAsia="仿宋" w:cs="仿宋"/>
                <w:color w:val="auto"/>
                <w:kern w:val="0"/>
                <w:sz w:val="24"/>
                <w:szCs w:val="24"/>
                <w:highlight w:val="none"/>
                <w:shd w:val="clear" w:color="auto" w:fill="auto"/>
                <w:lang w:val="zh-CN" w:eastAsia="zh-CN" w:bidi="ar"/>
              </w:rPr>
              <w:t>方案</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336234EB">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6</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077D416A">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根据响应供应商提供的质量保证措施方案进行评分：</w:t>
            </w:r>
          </w:p>
          <w:p w14:paraId="7FA89B9B">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质量保证措施方案详细、具体、可行性强，得6分；</w:t>
            </w:r>
          </w:p>
          <w:p w14:paraId="4FC098A9">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质量保证措施方案较详细、较具体、具有可行性，得4分；</w:t>
            </w:r>
          </w:p>
          <w:p w14:paraId="399FCEFF">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质量保证措施方案一般，可行性一般，得2分；</w:t>
            </w:r>
          </w:p>
          <w:p w14:paraId="5645B53A">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无提供不得分。</w:t>
            </w:r>
          </w:p>
        </w:tc>
      </w:tr>
      <w:tr w14:paraId="78B57EFB">
        <w:tblPrEx>
          <w:tblCellMar>
            <w:top w:w="15" w:type="dxa"/>
            <w:left w:w="15" w:type="dxa"/>
            <w:bottom w:w="15" w:type="dxa"/>
            <w:right w:w="15" w:type="dxa"/>
          </w:tblCellMar>
        </w:tblPrEx>
        <w:trPr>
          <w:trHeight w:val="1417" w:hRule="atLeast"/>
          <w:jc w:val="center"/>
        </w:trPr>
        <w:tc>
          <w:tcPr>
            <w:tcW w:w="843" w:type="dxa"/>
            <w:vMerge w:val="continue"/>
            <w:tcBorders>
              <w:left w:val="single" w:color="auto" w:sz="4" w:space="0"/>
              <w:right w:val="single" w:color="000000" w:sz="4" w:space="0"/>
            </w:tcBorders>
            <w:noWrap w:val="0"/>
            <w:vAlign w:val="center"/>
          </w:tcPr>
          <w:p w14:paraId="4BC4CC30">
            <w:pPr>
              <w:spacing w:line="360" w:lineRule="auto"/>
              <w:jc w:val="center"/>
              <w:rPr>
                <w:rFonts w:hint="eastAsia" w:ascii="仿宋" w:hAnsi="仿宋" w:eastAsia="仿宋" w:cs="仿宋"/>
                <w:color w:val="auto"/>
                <w:sz w:val="24"/>
                <w:szCs w:val="24"/>
                <w:highlight w:val="none"/>
                <w:lang w:val="en-US" w:eastAsia="zh-CN"/>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34B71B15">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安全保证措施</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2709C08E">
            <w:pPr>
              <w:widowControl/>
              <w:tabs>
                <w:tab w:val="left" w:pos="274"/>
                <w:tab w:val="center" w:pos="570"/>
              </w:tabs>
              <w:spacing w:line="360" w:lineRule="auto"/>
              <w:jc w:val="center"/>
              <w:textAlignment w:val="center"/>
              <w:rPr>
                <w:rFonts w:hint="default"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8</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659EDEAE">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根据响应供应商提供的安全保障措施方案进行评分：</w:t>
            </w:r>
          </w:p>
          <w:p w14:paraId="43FE806F">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安全保障措施方案科学合理，可操作性强，针对性强，得8分；</w:t>
            </w:r>
          </w:p>
          <w:p w14:paraId="0F45340F">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安全保障措施方案科学较合理，可操作性较强，针对性较强，得5分；</w:t>
            </w:r>
          </w:p>
          <w:p w14:paraId="76972988">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安全保障措施方案科学基本合理，可操作性一般，针对性一般，得2分；</w:t>
            </w:r>
          </w:p>
          <w:p w14:paraId="48092F8D">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无提供不得分。</w:t>
            </w:r>
          </w:p>
        </w:tc>
      </w:tr>
      <w:tr w14:paraId="2ABA889C">
        <w:tblPrEx>
          <w:tblCellMar>
            <w:top w:w="15" w:type="dxa"/>
            <w:left w:w="15" w:type="dxa"/>
            <w:bottom w:w="15" w:type="dxa"/>
            <w:right w:w="15" w:type="dxa"/>
          </w:tblCellMar>
        </w:tblPrEx>
        <w:trPr>
          <w:trHeight w:val="482" w:hRule="atLeast"/>
          <w:jc w:val="center"/>
        </w:trPr>
        <w:tc>
          <w:tcPr>
            <w:tcW w:w="843" w:type="dxa"/>
            <w:vMerge w:val="continue"/>
            <w:tcBorders>
              <w:left w:val="single" w:color="auto" w:sz="4" w:space="0"/>
              <w:right w:val="single" w:color="000000" w:sz="4" w:space="0"/>
            </w:tcBorders>
            <w:noWrap w:val="0"/>
            <w:vAlign w:val="center"/>
          </w:tcPr>
          <w:p w14:paraId="4CC5726B">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5BCC0CC4">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应急措施</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1A8A7F29">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8</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6C352452">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根据响应供应商提供的应急保障措施进行评分：</w:t>
            </w:r>
          </w:p>
          <w:p w14:paraId="78DFFDC6">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应急保障措施科学完整合理，可操作性强，针对性强，得8分；</w:t>
            </w:r>
          </w:p>
          <w:p w14:paraId="7ADFE926">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应急保障措施较科学完整合理，可操作性较强，针对性较强，得5分；</w:t>
            </w:r>
          </w:p>
          <w:p w14:paraId="25C88C17">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应急保障措施一般，可操作性一般，针对性一般，得2分；</w:t>
            </w:r>
          </w:p>
          <w:p w14:paraId="4F8A39D5">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无提供不得分。</w:t>
            </w:r>
          </w:p>
        </w:tc>
      </w:tr>
      <w:tr w14:paraId="6AE2C82A">
        <w:tblPrEx>
          <w:tblCellMar>
            <w:top w:w="15" w:type="dxa"/>
            <w:left w:w="15" w:type="dxa"/>
            <w:bottom w:w="15" w:type="dxa"/>
            <w:right w:w="15" w:type="dxa"/>
          </w:tblCellMar>
        </w:tblPrEx>
        <w:trPr>
          <w:trHeight w:val="482" w:hRule="atLeast"/>
          <w:jc w:val="center"/>
        </w:trPr>
        <w:tc>
          <w:tcPr>
            <w:tcW w:w="843" w:type="dxa"/>
            <w:vMerge w:val="continue"/>
            <w:tcBorders>
              <w:left w:val="single" w:color="auto" w:sz="4" w:space="0"/>
              <w:right w:val="single" w:color="000000" w:sz="4" w:space="0"/>
            </w:tcBorders>
            <w:noWrap w:val="0"/>
            <w:vAlign w:val="center"/>
          </w:tcPr>
          <w:p w14:paraId="43DD36E3">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016FFD69">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同类业绩情况</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13450FE0">
            <w:pPr>
              <w:widowControl/>
              <w:spacing w:line="36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10</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730F2E3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根据投标人202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年1月1日至今（以合同签订时间为准）的同类业绩情况进行评分，每提供一个业绩得</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分，本项最高得</w:t>
            </w:r>
            <w:r>
              <w:rPr>
                <w:rFonts w:hint="eastAsia" w:ascii="仿宋" w:hAnsi="仿宋" w:eastAsia="仿宋" w:cs="仿宋"/>
                <w:color w:val="auto"/>
                <w:kern w:val="0"/>
                <w:sz w:val="24"/>
                <w:szCs w:val="24"/>
                <w:highlight w:val="none"/>
                <w:lang w:val="en-US" w:eastAsia="zh-CN" w:bidi="ar"/>
              </w:rPr>
              <w:t>10</w:t>
            </w:r>
            <w:r>
              <w:rPr>
                <w:rFonts w:hint="eastAsia" w:ascii="仿宋" w:hAnsi="仿宋" w:eastAsia="仿宋" w:cs="仿宋"/>
                <w:color w:val="auto"/>
                <w:kern w:val="0"/>
                <w:sz w:val="24"/>
                <w:szCs w:val="24"/>
                <w:highlight w:val="none"/>
                <w:lang w:bidi="ar"/>
              </w:rPr>
              <w:t>分。</w:t>
            </w:r>
          </w:p>
          <w:p w14:paraId="4189C7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r>
      <w:tr w14:paraId="3743BEDB">
        <w:tblPrEx>
          <w:tblCellMar>
            <w:top w:w="15" w:type="dxa"/>
            <w:left w:w="15" w:type="dxa"/>
            <w:bottom w:w="15" w:type="dxa"/>
            <w:right w:w="15" w:type="dxa"/>
          </w:tblCellMar>
        </w:tblPrEx>
        <w:trPr>
          <w:trHeight w:val="540"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14:paraId="0628ABF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合计</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0371FF7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02330D5D">
            <w:pPr>
              <w:widowControl/>
              <w:spacing w:line="360" w:lineRule="auto"/>
              <w:jc w:val="center"/>
              <w:textAlignment w:val="center"/>
              <w:rPr>
                <w:rFonts w:hint="eastAsia" w:ascii="仿宋" w:hAnsi="仿宋" w:eastAsia="仿宋" w:cs="仿宋"/>
                <w:color w:val="auto"/>
                <w:sz w:val="24"/>
                <w:szCs w:val="24"/>
                <w:highlight w:val="none"/>
              </w:rPr>
            </w:pPr>
          </w:p>
        </w:tc>
      </w:tr>
    </w:tbl>
    <w:p w14:paraId="091A6060">
      <w:pPr>
        <w:autoSpaceDE w:val="0"/>
        <w:autoSpaceDN w:val="0"/>
        <w:adjustRightInd w:val="0"/>
        <w:snapToGrid w:val="0"/>
        <w:spacing w:line="360" w:lineRule="auto"/>
        <w:ind w:right="32"/>
        <w:rPr>
          <w:rFonts w:hint="eastAsia" w:ascii="仿宋" w:hAnsi="仿宋" w:eastAsia="仿宋" w:cs="仿宋"/>
          <w:color w:val="auto"/>
          <w:kern w:val="0"/>
          <w:sz w:val="24"/>
          <w:highlight w:val="none"/>
        </w:rPr>
      </w:pPr>
    </w:p>
    <w:p w14:paraId="3AA8BB36">
      <w:pPr>
        <w:pStyle w:val="12"/>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14:paraId="3FBCF1BA">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14:paraId="55D4C12C">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14:paraId="0CEA7813">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14:paraId="047B103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14:paraId="254DAE9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14:paraId="3E99F57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6A62F26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14:paraId="3FE438E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14:paraId="3D299A5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14:paraId="2FA6B591">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14:paraId="6EEE1C3E">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14:paraId="1881CDD5">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14:paraId="305E0B8E">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14:paraId="512061BA">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14:paraId="2ACB5EF8">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7F4AE83C">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0049B374">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7AEA586E">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14:paraId="041C3B5E">
      <w:pPr>
        <w:pStyle w:val="1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4127770B">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25A0D0C2">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22A79005">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742C5248">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4FAD5571">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5F6D2945">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4822BF25">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60F4D28D">
      <w:pPr>
        <w:pStyle w:val="1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614BD313">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64CABBC2">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4EC7E295">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14:paraId="4D196E05">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41635A2C">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14:paraId="1BA4135F">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15673168">
      <w:pPr>
        <w:pStyle w:val="12"/>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14:paraId="31428204">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1、合同的订立</w:t>
      </w:r>
    </w:p>
    <w:p w14:paraId="2B080A65">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31E03004">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14:paraId="46F0D444">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14:paraId="11F28DF5">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5341E699">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十一、适用法律及规定</w:t>
      </w:r>
    </w:p>
    <w:p w14:paraId="6429E805">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14:paraId="5E3E22D4">
      <w:pPr>
        <w:autoSpaceDE w:val="0"/>
        <w:autoSpaceDN w:val="0"/>
        <w:adjustRightInd w:val="0"/>
        <w:snapToGrid w:val="0"/>
        <w:spacing w:line="360" w:lineRule="auto"/>
        <w:ind w:right="32" w:firstLine="480" w:firstLineChars="200"/>
        <w:jc w:val="center"/>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14:paraId="01DE4B16">
      <w:pPr>
        <w:autoSpaceDE w:val="0"/>
        <w:autoSpaceDN w:val="0"/>
        <w:adjustRightInd w:val="0"/>
        <w:snapToGrid w:val="0"/>
        <w:spacing w:before="0" w:beforeAutospacing="0" w:after="0" w:afterAutospacing="0" w:line="360" w:lineRule="auto"/>
        <w:ind w:right="32" w:firstLine="0" w:firstLineChars="0"/>
        <w:jc w:val="right"/>
        <w:rPr>
          <w:rFonts w:hint="eastAsia" w:ascii="Arial" w:hAnsi="Arial" w:eastAsia="黑体"/>
          <w:bCs/>
          <w:color w:val="000000"/>
          <w:sz w:val="30"/>
          <w:szCs w:val="30"/>
          <w:highlight w:val="none"/>
          <w:lang w:val="en-US" w:eastAsia="zh-CN"/>
        </w:rPr>
      </w:pPr>
      <w:r>
        <w:rPr>
          <w:rFonts w:hint="eastAsia" w:ascii="Arial" w:hAnsi="Arial" w:eastAsia="黑体"/>
          <w:bCs/>
          <w:color w:val="000000"/>
          <w:sz w:val="30"/>
          <w:szCs w:val="30"/>
          <w:highlight w:val="none"/>
          <w:lang w:val="en-US" w:eastAsia="zh-CN"/>
        </w:rPr>
        <w:t>合同模板编号</w:t>
      </w:r>
      <w:r>
        <w:rPr>
          <w:rFonts w:hint="eastAsia" w:ascii="Arial" w:hAnsi="Arial" w:eastAsia="黑体"/>
          <w:bCs/>
          <w:color w:val="000000"/>
          <w:sz w:val="30"/>
          <w:szCs w:val="30"/>
          <w:highlight w:val="none"/>
        </w:rPr>
        <w:t>：</w:t>
      </w:r>
    </w:p>
    <w:p w14:paraId="22A6686A">
      <w:pPr>
        <w:autoSpaceDE w:val="0"/>
        <w:autoSpaceDN w:val="0"/>
        <w:adjustRightInd w:val="0"/>
        <w:spacing w:before="100" w:beforeAutospacing="1" w:after="100" w:afterAutospacing="1"/>
        <w:ind w:firstLine="8196" w:firstLineChars="1946"/>
        <w:rPr>
          <w:rFonts w:ascii="仿宋" w:hAnsi="仿宋" w:eastAsia="仿宋" w:cs="FangSong_GB2312-Identity-H"/>
          <w:b/>
          <w:bCs/>
          <w:spacing w:val="60"/>
          <w:kern w:val="0"/>
          <w:sz w:val="30"/>
          <w:szCs w:val="30"/>
          <w:highlight w:val="none"/>
        </w:rPr>
      </w:pPr>
    </w:p>
    <w:tbl>
      <w:tblPr>
        <w:tblStyle w:val="17"/>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411340C1">
        <w:tblPrEx>
          <w:tblCellMar>
            <w:top w:w="0" w:type="dxa"/>
            <w:left w:w="108" w:type="dxa"/>
            <w:bottom w:w="0" w:type="dxa"/>
            <w:right w:w="108" w:type="dxa"/>
          </w:tblCellMar>
        </w:tblPrEx>
        <w:trPr>
          <w:trHeight w:val="446" w:hRule="atLeast"/>
        </w:trPr>
        <w:tc>
          <w:tcPr>
            <w:tcW w:w="6629" w:type="dxa"/>
            <w:noWrap w:val="0"/>
            <w:vAlign w:val="top"/>
          </w:tcPr>
          <w:p w14:paraId="09555EE5">
            <w:pPr>
              <w:pStyle w:val="12"/>
              <w:spacing w:line="800" w:lineRule="exact"/>
              <w:jc w:val="left"/>
              <w:rPr>
                <w:rFonts w:hAnsi="宋体"/>
                <w:b/>
                <w:sz w:val="30"/>
                <w:szCs w:val="30"/>
                <w:highlight w:val="none"/>
              </w:rPr>
            </w:pPr>
          </w:p>
          <w:p w14:paraId="4ECF06FC">
            <w:pPr>
              <w:pStyle w:val="12"/>
              <w:spacing w:line="800" w:lineRule="exact"/>
              <w:jc w:val="left"/>
              <w:rPr>
                <w:rFonts w:hAnsi="宋体"/>
                <w:b/>
                <w:sz w:val="30"/>
                <w:szCs w:val="30"/>
                <w:highlight w:val="none"/>
              </w:rPr>
            </w:pPr>
            <w:r>
              <w:rPr>
                <w:rFonts w:hint="eastAsia" w:hAnsi="宋体"/>
                <w:b/>
                <w:sz w:val="30"/>
                <w:szCs w:val="30"/>
                <w:highlight w:val="none"/>
              </w:rPr>
              <w:t>采购编号：</w:t>
            </w:r>
          </w:p>
          <w:p w14:paraId="46220F5E">
            <w:pPr>
              <w:pStyle w:val="12"/>
              <w:spacing w:line="800" w:lineRule="exact"/>
              <w:jc w:val="left"/>
              <w:rPr>
                <w:rFonts w:hAnsi="宋体"/>
                <w:b/>
                <w:sz w:val="30"/>
                <w:szCs w:val="30"/>
                <w:highlight w:val="none"/>
              </w:rPr>
            </w:pPr>
            <w:r>
              <w:rPr>
                <w:rFonts w:hint="eastAsia" w:hAnsi="宋体"/>
                <w:b/>
                <w:sz w:val="30"/>
                <w:szCs w:val="30"/>
                <w:highlight w:val="none"/>
              </w:rPr>
              <w:t>项目名称：</w:t>
            </w:r>
          </w:p>
          <w:p w14:paraId="003209BE">
            <w:pPr>
              <w:pStyle w:val="12"/>
              <w:spacing w:line="800" w:lineRule="exact"/>
              <w:jc w:val="left"/>
              <w:rPr>
                <w:rFonts w:hAnsi="宋体" w:cs="Times New Roman"/>
                <w:b/>
                <w:bCs/>
                <w:sz w:val="30"/>
                <w:szCs w:val="30"/>
                <w:highlight w:val="none"/>
              </w:rPr>
            </w:pPr>
            <w:r>
              <w:rPr>
                <w:rFonts w:hint="eastAsia" w:hAnsi="宋体" w:cs="Times New Roman"/>
                <w:b/>
                <w:bCs/>
                <w:sz w:val="30"/>
                <w:szCs w:val="30"/>
                <w:highlight w:val="none"/>
              </w:rPr>
              <w:t>甲方：惠州市第一妇幼保健院</w:t>
            </w:r>
          </w:p>
          <w:p w14:paraId="3B5DF610">
            <w:pPr>
              <w:pStyle w:val="12"/>
              <w:spacing w:line="800" w:lineRule="exact"/>
              <w:jc w:val="left"/>
              <w:rPr>
                <w:rFonts w:hAnsi="宋体" w:cs="Times New Roman"/>
                <w:b/>
                <w:bCs/>
                <w:sz w:val="30"/>
                <w:szCs w:val="30"/>
                <w:highlight w:val="none"/>
              </w:rPr>
            </w:pPr>
            <w:r>
              <w:rPr>
                <w:rFonts w:hint="eastAsia" w:hAnsi="宋体" w:cs="Times New Roman"/>
                <w:b/>
                <w:bCs/>
                <w:sz w:val="30"/>
                <w:szCs w:val="30"/>
                <w:highlight w:val="none"/>
              </w:rPr>
              <w:t>乙方：</w:t>
            </w:r>
          </w:p>
          <w:p w14:paraId="25C5D8E2">
            <w:pPr>
              <w:tabs>
                <w:tab w:val="left" w:pos="720"/>
              </w:tabs>
              <w:spacing w:line="360" w:lineRule="auto"/>
              <w:rPr>
                <w:rFonts w:ascii="宋体"/>
                <w:b/>
                <w:sz w:val="30"/>
                <w:szCs w:val="30"/>
                <w:highlight w:val="none"/>
              </w:rPr>
            </w:pPr>
          </w:p>
        </w:tc>
      </w:tr>
    </w:tbl>
    <w:p w14:paraId="36D8C8EA">
      <w:pPr>
        <w:autoSpaceDE w:val="0"/>
        <w:autoSpaceDN w:val="0"/>
        <w:adjustRightInd w:val="0"/>
        <w:spacing w:before="100" w:beforeAutospacing="1" w:after="100" w:afterAutospacing="1"/>
        <w:jc w:val="center"/>
        <w:rPr>
          <w:rFonts w:ascii="仿宋_GB2312" w:hAnsi="仿宋" w:eastAsia="仿宋_GB2312"/>
          <w:b/>
          <w:sz w:val="28"/>
          <w:highlight w:val="none"/>
        </w:rPr>
      </w:pPr>
      <w:r>
        <w:rPr>
          <w:rFonts w:hint="eastAsia" w:ascii="仿宋" w:hAnsi="仿宋" w:eastAsia="仿宋" w:cs="FangSong_GB2312-Identity-H"/>
          <w:b/>
          <w:bCs/>
          <w:spacing w:val="60"/>
          <w:kern w:val="0"/>
          <w:sz w:val="84"/>
          <w:szCs w:val="84"/>
          <w:highlight w:val="none"/>
        </w:rPr>
        <w:t>技术服务合同</w:t>
      </w:r>
    </w:p>
    <w:p w14:paraId="08B44037">
      <w:pPr>
        <w:spacing w:line="360" w:lineRule="auto"/>
        <w:ind w:right="480"/>
        <w:jc w:val="center"/>
        <w:rPr>
          <w:rFonts w:ascii="宋体"/>
          <w:bCs/>
          <w:sz w:val="24"/>
          <w:highlight w:val="none"/>
        </w:rPr>
      </w:pPr>
    </w:p>
    <w:p w14:paraId="3A9F9BF2">
      <w:pPr>
        <w:spacing w:line="360" w:lineRule="auto"/>
        <w:jc w:val="center"/>
        <w:rPr>
          <w:rFonts w:ascii="宋体"/>
          <w:b/>
          <w:sz w:val="44"/>
          <w:szCs w:val="44"/>
          <w:highlight w:val="none"/>
        </w:rPr>
      </w:pPr>
      <w:r>
        <w:rPr>
          <w:rFonts w:ascii="宋体"/>
          <w:bCs/>
          <w:sz w:val="24"/>
          <w:highlight w:val="none"/>
        </w:rPr>
        <w:br w:type="page"/>
      </w:r>
      <w:r>
        <w:rPr>
          <w:rFonts w:hint="eastAsia" w:ascii="宋体" w:hAnsi="宋体"/>
          <w:b/>
          <w:sz w:val="44"/>
          <w:szCs w:val="44"/>
          <w:highlight w:val="none"/>
        </w:rPr>
        <w:t>合   同</w:t>
      </w:r>
    </w:p>
    <w:p w14:paraId="1F32B9E2">
      <w:pPr>
        <w:spacing w:line="360" w:lineRule="auto"/>
        <w:jc w:val="center"/>
        <w:rPr>
          <w:rFonts w:ascii="宋体"/>
          <w:b/>
          <w:sz w:val="44"/>
          <w:szCs w:val="44"/>
          <w:highlight w:val="none"/>
        </w:rPr>
      </w:pPr>
    </w:p>
    <w:p w14:paraId="2D640AD3">
      <w:pPr>
        <w:spacing w:line="360" w:lineRule="auto"/>
        <w:jc w:val="left"/>
        <w:rPr>
          <w:rFonts w:ascii="宋体"/>
          <w:b/>
          <w:sz w:val="24"/>
          <w:highlight w:val="none"/>
        </w:rPr>
      </w:pPr>
      <w:r>
        <w:rPr>
          <w:rFonts w:hint="eastAsia" w:ascii="宋体" w:hAnsi="宋体"/>
          <w:b/>
          <w:sz w:val="24"/>
          <w:highlight w:val="none"/>
        </w:rPr>
        <w:t>甲方：</w:t>
      </w:r>
      <w:r>
        <w:rPr>
          <w:rFonts w:hint="eastAsia" w:ascii="宋体" w:hAnsi="宋体"/>
          <w:b/>
          <w:kern w:val="0"/>
          <w:sz w:val="24"/>
          <w:highlight w:val="none"/>
        </w:rPr>
        <w:t>惠州市第一妇幼保健院</w:t>
      </w:r>
    </w:p>
    <w:p w14:paraId="714D6216">
      <w:pPr>
        <w:tabs>
          <w:tab w:val="left" w:pos="720"/>
        </w:tabs>
        <w:spacing w:line="360" w:lineRule="auto"/>
        <w:rPr>
          <w:rFonts w:ascii="宋体" w:hAnsi="宋体"/>
          <w:b/>
          <w:kern w:val="0"/>
          <w:sz w:val="24"/>
          <w:highlight w:val="none"/>
        </w:rPr>
      </w:pPr>
      <w:r>
        <w:rPr>
          <w:rFonts w:hint="eastAsia" w:ascii="宋体" w:hAnsi="宋体"/>
          <w:b/>
          <w:sz w:val="24"/>
          <w:highlight w:val="none"/>
        </w:rPr>
        <w:t>乙方：</w:t>
      </w:r>
    </w:p>
    <w:p w14:paraId="0A68FB4C">
      <w:pPr>
        <w:tabs>
          <w:tab w:val="left" w:pos="720"/>
        </w:tabs>
        <w:spacing w:line="360" w:lineRule="auto"/>
        <w:ind w:firstLine="480" w:firstLineChars="200"/>
        <w:rPr>
          <w:rFonts w:ascii="宋体" w:hAnsi="宋体"/>
          <w:sz w:val="24"/>
          <w:highlight w:val="none"/>
        </w:rPr>
      </w:pPr>
      <w:r>
        <w:rPr>
          <w:rFonts w:hint="eastAsia" w:ascii="宋体" w:hAnsi="宋体"/>
          <w:sz w:val="24"/>
          <w:highlight w:val="none"/>
        </w:rPr>
        <w:t>根据</w:t>
      </w:r>
      <w:r>
        <w:rPr>
          <w:rFonts w:hint="eastAsia" w:ascii="宋体" w:hAnsi="宋体"/>
          <w:sz w:val="24"/>
          <w:highlight w:val="none"/>
          <w:u w:val="single"/>
        </w:rPr>
        <w:t xml:space="preserve">                                          </w:t>
      </w:r>
      <w:r>
        <w:rPr>
          <w:rFonts w:hint="eastAsia" w:ascii="宋体" w:hAnsi="宋体"/>
          <w:sz w:val="24"/>
          <w:highlight w:val="none"/>
        </w:rPr>
        <w:t>（项目编号:</w:t>
      </w:r>
      <w:r>
        <w:rPr>
          <w:rFonts w:hint="eastAsia" w:ascii="宋体" w:hAnsi="宋体"/>
          <w:sz w:val="24"/>
          <w:highlight w:val="none"/>
          <w:u w:val="single"/>
        </w:rPr>
        <w:t xml:space="preserve">             </w:t>
      </w:r>
      <w:r>
        <w:rPr>
          <w:rFonts w:hint="eastAsia" w:ascii="宋体" w:hAnsi="宋体"/>
          <w:sz w:val="24"/>
          <w:highlight w:val="none"/>
        </w:rPr>
        <w:t>）的中标结果，按照《中华人民共和国政府采购法》、《中华人民共和国民法典》的规定，经双方协商，本着平等互利和诚实信用的原则，一致同意签订本合同如下。</w:t>
      </w:r>
    </w:p>
    <w:p w14:paraId="74782AA4">
      <w:pPr>
        <w:pStyle w:val="22"/>
        <w:numPr>
          <w:ilvl w:val="0"/>
          <w:numId w:val="18"/>
        </w:numPr>
        <w:tabs>
          <w:tab w:val="left" w:pos="960"/>
        </w:tabs>
        <w:spacing w:line="360" w:lineRule="auto"/>
        <w:ind w:firstLine="482"/>
        <w:rPr>
          <w:rFonts w:ascii="宋体" w:hAnsi="宋体"/>
          <w:b/>
          <w:sz w:val="24"/>
          <w:highlight w:val="none"/>
        </w:rPr>
      </w:pPr>
      <w:r>
        <w:rPr>
          <w:rFonts w:hint="eastAsia" w:ascii="宋体" w:hAnsi="宋体"/>
          <w:b/>
          <w:sz w:val="24"/>
          <w:highlight w:val="none"/>
        </w:rPr>
        <w:t>服务内容</w:t>
      </w:r>
    </w:p>
    <w:p w14:paraId="6F72FB80">
      <w:pPr>
        <w:pStyle w:val="22"/>
        <w:tabs>
          <w:tab w:val="left" w:pos="960"/>
        </w:tabs>
        <w:spacing w:line="360" w:lineRule="auto"/>
        <w:ind w:firstLine="481" w:firstLineChars="0"/>
        <w:rPr>
          <w:rFonts w:ascii="宋体" w:hAnsi="宋体"/>
          <w:sz w:val="24"/>
          <w:highlight w:val="none"/>
        </w:rPr>
      </w:pPr>
      <w:r>
        <w:rPr>
          <w:rFonts w:hint="eastAsia" w:ascii="宋体" w:hAnsi="宋体"/>
          <w:sz w:val="24"/>
          <w:highlight w:val="none"/>
        </w:rPr>
        <w:t>本合同甲方委托乙方就</w:t>
      </w:r>
      <w:r>
        <w:rPr>
          <w:rFonts w:hint="eastAsia" w:ascii="宋体" w:hAnsi="宋体"/>
          <w:sz w:val="24"/>
          <w:highlight w:val="none"/>
          <w:u w:val="single"/>
        </w:rPr>
        <w:t xml:space="preserve">                                </w:t>
      </w:r>
      <w:r>
        <w:rPr>
          <w:rFonts w:hint="eastAsia" w:ascii="宋体" w:hAnsi="宋体"/>
          <w:sz w:val="24"/>
          <w:highlight w:val="none"/>
        </w:rPr>
        <w:t>项目进行的专项技术服务，并支付相应的技术服务报酬。</w:t>
      </w:r>
    </w:p>
    <w:p w14:paraId="7650812B">
      <w:pPr>
        <w:pStyle w:val="22"/>
        <w:tabs>
          <w:tab w:val="left" w:pos="960"/>
        </w:tabs>
        <w:spacing w:line="360" w:lineRule="auto"/>
        <w:ind w:firstLine="480"/>
        <w:rPr>
          <w:rFonts w:ascii="宋体" w:hAnsi="宋体"/>
          <w:sz w:val="24"/>
          <w:highlight w:val="none"/>
        </w:rPr>
      </w:pPr>
      <w:r>
        <w:rPr>
          <w:rFonts w:hint="eastAsia" w:ascii="宋体" w:hAnsi="宋体"/>
          <w:sz w:val="24"/>
          <w:highlight w:val="none"/>
        </w:rPr>
        <w:t>1.技术服务的目标：</w:t>
      </w:r>
    </w:p>
    <w:p w14:paraId="439D9EB6">
      <w:pPr>
        <w:pStyle w:val="22"/>
        <w:tabs>
          <w:tab w:val="left" w:pos="960"/>
        </w:tabs>
        <w:spacing w:line="360" w:lineRule="auto"/>
        <w:ind w:firstLine="480"/>
        <w:rPr>
          <w:rFonts w:hint="eastAsia" w:ascii="宋体" w:hAnsi="宋体"/>
          <w:sz w:val="24"/>
          <w:highlight w:val="none"/>
        </w:rPr>
      </w:pPr>
      <w:r>
        <w:rPr>
          <w:rFonts w:hint="eastAsia" w:ascii="宋体" w:hAnsi="宋体"/>
          <w:sz w:val="24"/>
          <w:highlight w:val="none"/>
        </w:rPr>
        <w:t>2.技术服务的内容：</w:t>
      </w:r>
    </w:p>
    <w:p w14:paraId="327D6546">
      <w:pPr>
        <w:pStyle w:val="22"/>
        <w:tabs>
          <w:tab w:val="left" w:pos="960"/>
        </w:tabs>
        <w:spacing w:line="360" w:lineRule="auto"/>
        <w:ind w:firstLine="480"/>
        <w:rPr>
          <w:rFonts w:ascii="宋体" w:hAnsi="宋体"/>
          <w:sz w:val="24"/>
          <w:highlight w:val="none"/>
        </w:rPr>
      </w:pPr>
      <w:r>
        <w:rPr>
          <w:rFonts w:hint="eastAsia" w:ascii="宋体" w:hAnsi="宋体"/>
          <w:sz w:val="24"/>
          <w:highlight w:val="none"/>
        </w:rPr>
        <w:t>3.技术服务的方式：</w:t>
      </w:r>
    </w:p>
    <w:p w14:paraId="5A706B07">
      <w:pPr>
        <w:spacing w:line="360" w:lineRule="auto"/>
        <w:ind w:firstLine="482" w:firstLineChars="200"/>
        <w:rPr>
          <w:rFonts w:ascii="宋体"/>
          <w:b/>
          <w:sz w:val="24"/>
          <w:highlight w:val="none"/>
        </w:rPr>
      </w:pPr>
      <w:r>
        <w:rPr>
          <w:rFonts w:hint="eastAsia" w:ascii="宋体" w:hAnsi="宋体"/>
          <w:b/>
          <w:sz w:val="24"/>
          <w:highlight w:val="none"/>
        </w:rPr>
        <w:t>二、合同金额</w:t>
      </w:r>
    </w:p>
    <w:p w14:paraId="0C96B834">
      <w:pPr>
        <w:spacing w:line="360" w:lineRule="auto"/>
        <w:ind w:firstLine="480" w:firstLineChars="200"/>
        <w:rPr>
          <w:rFonts w:hAnsi="宋体" w:cs="宋体"/>
          <w:kern w:val="0"/>
          <w:sz w:val="24"/>
          <w:szCs w:val="21"/>
          <w:highlight w:val="none"/>
        </w:rPr>
      </w:pPr>
      <w:r>
        <w:rPr>
          <w:rFonts w:hint="eastAsia" w:hAnsi="宋体"/>
          <w:sz w:val="24"/>
          <w:highlight w:val="none"/>
        </w:rPr>
        <w:t>合同金额为：（大写）</w:t>
      </w:r>
      <w:r>
        <w:rPr>
          <w:rFonts w:hint="eastAsia" w:ascii="宋体" w:hAnsi="宋体" w:cs="宋体"/>
          <w:color w:val="000000"/>
          <w:kern w:val="0"/>
          <w:sz w:val="24"/>
          <w:highlight w:val="none"/>
        </w:rPr>
        <w:t>人民币</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元整；（小写）¥</w:t>
      </w:r>
      <w:r>
        <w:rPr>
          <w:rFonts w:hint="eastAsia" w:ascii="宋体" w:hAnsi="宋体" w:cs="宋体"/>
          <w:color w:val="000000"/>
          <w:kern w:val="0"/>
          <w:sz w:val="24"/>
          <w:highlight w:val="none"/>
          <w:u w:val="single"/>
        </w:rPr>
        <w:t xml:space="preserve">    </w:t>
      </w:r>
      <w:r>
        <w:rPr>
          <w:rFonts w:hint="eastAsia" w:ascii="宋体" w:hAnsi="宋体" w:cs="宋体"/>
          <w:kern w:val="0"/>
          <w:sz w:val="24"/>
          <w:szCs w:val="21"/>
          <w:highlight w:val="none"/>
          <w:u w:val="single"/>
        </w:rPr>
        <w:t>.00</w:t>
      </w:r>
      <w:r>
        <w:rPr>
          <w:rFonts w:hint="eastAsia" w:ascii="宋体" w:hAnsi="宋体" w:cs="宋体"/>
          <w:kern w:val="0"/>
          <w:sz w:val="24"/>
          <w:szCs w:val="21"/>
          <w:highlight w:val="none"/>
        </w:rPr>
        <w:t>元</w:t>
      </w:r>
      <w:r>
        <w:rPr>
          <w:rFonts w:hint="eastAsia" w:hAnsi="宋体" w:cs="宋体"/>
          <w:kern w:val="0"/>
          <w:sz w:val="24"/>
          <w:szCs w:val="21"/>
          <w:highlight w:val="none"/>
        </w:rPr>
        <w:t>。</w:t>
      </w:r>
    </w:p>
    <w:p w14:paraId="6F234325">
      <w:pPr>
        <w:spacing w:line="360" w:lineRule="auto"/>
        <w:ind w:firstLine="480" w:firstLineChars="200"/>
        <w:rPr>
          <w:rFonts w:hAnsi="宋体"/>
          <w:sz w:val="24"/>
          <w:highlight w:val="none"/>
        </w:rPr>
      </w:pPr>
      <w:r>
        <w:rPr>
          <w:rFonts w:hint="eastAsia" w:ascii="宋体" w:hAnsi="宋体"/>
          <w:sz w:val="24"/>
          <w:highlight w:val="none"/>
        </w:rPr>
        <w:t>合同总额包括乙方设计、安装、随机零配件、标配工具、运输保险、调试、培训、质保期服务、各项税费及合同实施过程中不可预见费用等。</w:t>
      </w:r>
    </w:p>
    <w:p w14:paraId="0DF7A11E">
      <w:pPr>
        <w:spacing w:line="360" w:lineRule="auto"/>
        <w:ind w:firstLine="482" w:firstLineChars="200"/>
        <w:rPr>
          <w:rFonts w:ascii="宋体"/>
          <w:b/>
          <w:sz w:val="24"/>
          <w:highlight w:val="none"/>
        </w:rPr>
      </w:pPr>
      <w:r>
        <w:rPr>
          <w:rFonts w:hint="eastAsia" w:ascii="宋体" w:hAnsi="宋体"/>
          <w:b/>
          <w:sz w:val="24"/>
          <w:highlight w:val="none"/>
        </w:rPr>
        <w:t>三、服务要求</w:t>
      </w:r>
    </w:p>
    <w:p w14:paraId="1B4AE7BE">
      <w:pPr>
        <w:spacing w:line="360" w:lineRule="auto"/>
        <w:ind w:firstLine="482" w:firstLineChars="200"/>
        <w:rPr>
          <w:rFonts w:ascii="宋体" w:hAnsi="宋体"/>
          <w:b/>
          <w:sz w:val="24"/>
          <w:highlight w:val="none"/>
        </w:rPr>
      </w:pPr>
      <w:r>
        <w:rPr>
          <w:rFonts w:hint="eastAsia" w:ascii="宋体" w:hAnsi="宋体"/>
          <w:b/>
          <w:sz w:val="24"/>
          <w:highlight w:val="none"/>
        </w:rPr>
        <w:t>四、服务期限和服务地点</w:t>
      </w:r>
    </w:p>
    <w:p w14:paraId="470789DC">
      <w:pPr>
        <w:spacing w:line="460" w:lineRule="exact"/>
        <w:ind w:firstLine="480" w:firstLineChars="200"/>
        <w:rPr>
          <w:rFonts w:ascii="宋体" w:hAnsi="宋体"/>
          <w:sz w:val="24"/>
          <w:highlight w:val="none"/>
        </w:rPr>
      </w:pPr>
      <w:r>
        <w:rPr>
          <w:rFonts w:hint="eastAsia" w:ascii="宋体" w:hAnsi="宋体"/>
          <w:sz w:val="24"/>
          <w:highlight w:val="none"/>
        </w:rPr>
        <w:t>1.服务期限：</w:t>
      </w:r>
    </w:p>
    <w:p w14:paraId="16432EA2">
      <w:pPr>
        <w:spacing w:line="460" w:lineRule="exact"/>
        <w:ind w:firstLine="480" w:firstLineChars="200"/>
        <w:rPr>
          <w:rFonts w:ascii="宋体" w:hAnsi="宋体"/>
          <w:sz w:val="24"/>
          <w:highlight w:val="none"/>
        </w:rPr>
      </w:pPr>
      <w:r>
        <w:rPr>
          <w:rFonts w:hint="eastAsia" w:ascii="宋体" w:hAnsi="宋体"/>
          <w:sz w:val="24"/>
          <w:highlight w:val="none"/>
        </w:rPr>
        <w:t>2.地点：甲方指定地点</w:t>
      </w:r>
    </w:p>
    <w:p w14:paraId="597F787C">
      <w:pPr>
        <w:spacing w:line="360" w:lineRule="auto"/>
        <w:ind w:firstLine="482" w:firstLineChars="200"/>
        <w:rPr>
          <w:rFonts w:ascii="宋体" w:hAnsi="宋体"/>
          <w:b/>
          <w:sz w:val="24"/>
          <w:highlight w:val="none"/>
        </w:rPr>
      </w:pPr>
      <w:r>
        <w:rPr>
          <w:rFonts w:hint="eastAsia" w:ascii="宋体" w:hAnsi="宋体"/>
          <w:b/>
          <w:sz w:val="24"/>
          <w:highlight w:val="none"/>
        </w:rPr>
        <w:t>五、付款方式</w:t>
      </w:r>
    </w:p>
    <w:p w14:paraId="4D356596">
      <w:pPr>
        <w:spacing w:line="360" w:lineRule="auto"/>
        <w:ind w:firstLine="480" w:firstLineChars="200"/>
        <w:rPr>
          <w:rFonts w:ascii="宋体" w:hAnsi="宋体"/>
          <w:sz w:val="24"/>
          <w:highlight w:val="none"/>
        </w:rPr>
      </w:pPr>
      <w:r>
        <w:rPr>
          <w:rFonts w:hint="eastAsia" w:ascii="宋体" w:hAnsi="宋体"/>
          <w:sz w:val="24"/>
          <w:highlight w:val="none"/>
        </w:rPr>
        <w:t>2.支付方式采用银行转账支付。</w:t>
      </w:r>
    </w:p>
    <w:p w14:paraId="2C794EB8">
      <w:pPr>
        <w:pStyle w:val="10"/>
        <w:ind w:firstLine="480" w:firstLineChars="200"/>
        <w:rPr>
          <w:rFonts w:ascii="宋体" w:hAnsi="宋体"/>
          <w:sz w:val="24"/>
          <w:highlight w:val="none"/>
        </w:rPr>
      </w:pPr>
      <w:r>
        <w:rPr>
          <w:rFonts w:hint="eastAsia" w:ascii="宋体" w:hAnsi="宋体"/>
          <w:sz w:val="24"/>
          <w:highlight w:val="none"/>
        </w:rPr>
        <w:t>乙方账户信息如下：</w:t>
      </w:r>
    </w:p>
    <w:p w14:paraId="76C00661">
      <w:pPr>
        <w:pStyle w:val="10"/>
        <w:ind w:firstLine="480" w:firstLineChars="200"/>
        <w:rPr>
          <w:rFonts w:ascii="宋体" w:hAnsi="宋体"/>
          <w:sz w:val="24"/>
          <w:highlight w:val="none"/>
        </w:rPr>
      </w:pPr>
      <w:r>
        <w:rPr>
          <w:rFonts w:hint="eastAsia" w:ascii="宋体" w:hAnsi="宋体"/>
          <w:sz w:val="24"/>
          <w:highlight w:val="none"/>
        </w:rPr>
        <w:t>开户行：</w:t>
      </w:r>
      <w:r>
        <w:rPr>
          <w:rFonts w:hint="eastAsia" w:ascii="宋体" w:hAnsi="宋体"/>
          <w:sz w:val="24"/>
          <w:highlight w:val="none"/>
          <w:u w:val="single"/>
        </w:rPr>
        <w:t xml:space="preserve">                                          </w:t>
      </w:r>
    </w:p>
    <w:p w14:paraId="59D1E487">
      <w:pPr>
        <w:pStyle w:val="10"/>
        <w:ind w:firstLine="480" w:firstLineChars="200"/>
        <w:rPr>
          <w:rFonts w:ascii="宋体" w:hAnsi="宋体"/>
          <w:sz w:val="24"/>
          <w:highlight w:val="none"/>
        </w:rPr>
      </w:pPr>
      <w:r>
        <w:rPr>
          <w:rFonts w:hint="eastAsia" w:ascii="宋体" w:hAnsi="宋体"/>
          <w:sz w:val="24"/>
          <w:highlight w:val="none"/>
        </w:rPr>
        <w:t>账户名称：</w:t>
      </w:r>
      <w:r>
        <w:rPr>
          <w:rFonts w:hint="eastAsia" w:ascii="宋体" w:hAnsi="宋体"/>
          <w:sz w:val="24"/>
          <w:highlight w:val="none"/>
          <w:u w:val="single"/>
        </w:rPr>
        <w:t xml:space="preserve">                                        </w:t>
      </w:r>
    </w:p>
    <w:p w14:paraId="13BC89AD">
      <w:pPr>
        <w:pStyle w:val="10"/>
        <w:ind w:firstLine="480" w:firstLineChars="200"/>
        <w:rPr>
          <w:rFonts w:ascii="宋体" w:hAnsi="宋体"/>
          <w:sz w:val="24"/>
          <w:highlight w:val="none"/>
        </w:rPr>
      </w:pPr>
      <w:r>
        <w:rPr>
          <w:rFonts w:hint="eastAsia" w:ascii="宋体" w:hAnsi="宋体"/>
          <w:sz w:val="24"/>
          <w:highlight w:val="none"/>
        </w:rPr>
        <w:t>银行账户：</w:t>
      </w:r>
      <w:r>
        <w:rPr>
          <w:rFonts w:hint="eastAsia" w:ascii="宋体" w:hAnsi="宋体"/>
          <w:sz w:val="24"/>
          <w:highlight w:val="none"/>
          <w:u w:val="single"/>
        </w:rPr>
        <w:t xml:space="preserve">                                        </w:t>
      </w:r>
    </w:p>
    <w:p w14:paraId="6903E8B1">
      <w:pPr>
        <w:pStyle w:val="10"/>
        <w:ind w:firstLine="480" w:firstLineChars="200"/>
        <w:rPr>
          <w:rFonts w:ascii="宋体" w:hAnsi="宋体"/>
          <w:sz w:val="24"/>
          <w:highlight w:val="none"/>
        </w:rPr>
      </w:pPr>
      <w:r>
        <w:rPr>
          <w:rFonts w:hint="eastAsia" w:ascii="宋体" w:hAnsi="宋体"/>
          <w:sz w:val="24"/>
          <w:highlight w:val="none"/>
        </w:rPr>
        <w:t>税号：</w:t>
      </w:r>
      <w:r>
        <w:rPr>
          <w:rFonts w:hint="eastAsia" w:ascii="宋体" w:hAnsi="宋体"/>
          <w:sz w:val="24"/>
          <w:highlight w:val="none"/>
          <w:u w:val="single"/>
        </w:rPr>
        <w:t xml:space="preserve">                                            </w:t>
      </w:r>
    </w:p>
    <w:p w14:paraId="5DF5C969">
      <w:pPr>
        <w:spacing w:line="460" w:lineRule="exact"/>
        <w:ind w:firstLine="480" w:firstLineChars="200"/>
        <w:rPr>
          <w:rFonts w:ascii="宋体" w:hAnsi="宋体"/>
          <w:sz w:val="24"/>
          <w:highlight w:val="none"/>
        </w:rPr>
      </w:pPr>
      <w:r>
        <w:rPr>
          <w:rFonts w:hint="eastAsia" w:ascii="宋体" w:hAnsi="宋体"/>
          <w:sz w:val="24"/>
          <w:highlight w:val="none"/>
        </w:rPr>
        <w:t>3.乙方必须向甲方出具合法有效完整的完税发票及凭证进行支付结算。</w:t>
      </w:r>
    </w:p>
    <w:p w14:paraId="590B09B7">
      <w:pPr>
        <w:spacing w:line="460" w:lineRule="exact"/>
        <w:ind w:firstLine="482" w:firstLineChars="200"/>
        <w:rPr>
          <w:rFonts w:ascii="宋体" w:hAnsi="宋体"/>
          <w:b/>
          <w:bCs/>
          <w:sz w:val="24"/>
          <w:highlight w:val="none"/>
        </w:rPr>
      </w:pPr>
      <w:r>
        <w:rPr>
          <w:rFonts w:hint="eastAsia" w:ascii="宋体" w:hAnsi="宋体"/>
          <w:b/>
          <w:bCs/>
          <w:sz w:val="24"/>
          <w:highlight w:val="none"/>
        </w:rPr>
        <w:t>六、质保期及售后服务</w:t>
      </w:r>
    </w:p>
    <w:p w14:paraId="43AACCB6">
      <w:pPr>
        <w:spacing w:line="460" w:lineRule="exact"/>
        <w:ind w:firstLine="482" w:firstLineChars="200"/>
        <w:rPr>
          <w:rFonts w:ascii="宋体" w:hAnsi="宋体"/>
          <w:b/>
          <w:bCs/>
          <w:sz w:val="24"/>
          <w:highlight w:val="none"/>
        </w:rPr>
      </w:pPr>
      <w:r>
        <w:rPr>
          <w:rFonts w:hint="eastAsia" w:ascii="宋体" w:hAnsi="宋体"/>
          <w:b/>
          <w:bCs/>
          <w:sz w:val="24"/>
          <w:highlight w:val="none"/>
        </w:rPr>
        <w:t>七、验收</w:t>
      </w:r>
    </w:p>
    <w:p w14:paraId="2B1771B6">
      <w:pPr>
        <w:tabs>
          <w:tab w:val="left" w:pos="900"/>
        </w:tabs>
        <w:spacing w:line="460" w:lineRule="exact"/>
        <w:ind w:firstLine="482" w:firstLineChars="200"/>
        <w:rPr>
          <w:rFonts w:ascii="宋体"/>
          <w:b/>
          <w:sz w:val="24"/>
          <w:highlight w:val="none"/>
        </w:rPr>
      </w:pPr>
      <w:r>
        <w:rPr>
          <w:rFonts w:hint="eastAsia" w:ascii="宋体" w:hAnsi="宋体"/>
          <w:b/>
          <w:bCs/>
          <w:sz w:val="24"/>
          <w:highlight w:val="none"/>
        </w:rPr>
        <w:t>八、</w:t>
      </w:r>
      <w:r>
        <w:rPr>
          <w:rFonts w:hint="eastAsia" w:ascii="宋体" w:hAnsi="宋体"/>
          <w:b/>
          <w:sz w:val="24"/>
          <w:highlight w:val="none"/>
        </w:rPr>
        <w:t>违约责任与赔偿损失</w:t>
      </w:r>
    </w:p>
    <w:p w14:paraId="25AB6999">
      <w:pPr>
        <w:spacing w:line="460" w:lineRule="exact"/>
        <w:ind w:firstLine="480" w:firstLineChars="200"/>
        <w:rPr>
          <w:rFonts w:ascii="宋体" w:hAnsi="宋体"/>
          <w:sz w:val="24"/>
          <w:highlight w:val="none"/>
        </w:rPr>
      </w:pPr>
      <w:r>
        <w:rPr>
          <w:rFonts w:hint="eastAsia" w:ascii="宋体" w:hAnsi="宋体"/>
          <w:sz w:val="24"/>
          <w:highlight w:val="none"/>
        </w:rPr>
        <w:t>3.乙方交付的货物、工程、提供的服务不符合采购文件、报价文件或本合同规定的，甲方有权拒收，并且乙方须向甲方支付本合同金额5%的违约金。</w:t>
      </w:r>
    </w:p>
    <w:p w14:paraId="664AF8E9">
      <w:pPr>
        <w:spacing w:line="460" w:lineRule="exact"/>
        <w:ind w:firstLine="480" w:firstLineChars="200"/>
        <w:rPr>
          <w:rFonts w:ascii="宋体" w:hAnsi="宋体"/>
          <w:sz w:val="24"/>
          <w:highlight w:val="none"/>
        </w:rPr>
      </w:pPr>
      <w:r>
        <w:rPr>
          <w:rFonts w:hint="eastAsia" w:ascii="宋体" w:hAnsi="宋体"/>
          <w:sz w:val="24"/>
          <w:highlight w:val="none"/>
        </w:rPr>
        <w:t>2.乙方未能按本合同规定的交货时间交付货物、工程、提供服务，从逾期之日起每日按本合同金额3‰的数额向甲方支付违约金；逾期半个月以上的，甲方有权终止合同，由此造成的甲方经济损失由乙方承担。</w:t>
      </w:r>
    </w:p>
    <w:p w14:paraId="4AF1F271">
      <w:pPr>
        <w:spacing w:line="460" w:lineRule="exact"/>
        <w:ind w:firstLine="480" w:firstLineChars="200"/>
        <w:rPr>
          <w:rFonts w:ascii="宋体" w:hAnsi="宋体"/>
          <w:sz w:val="24"/>
          <w:highlight w:val="none"/>
        </w:rPr>
      </w:pPr>
      <w:r>
        <w:rPr>
          <w:rFonts w:hint="eastAsia" w:ascii="宋体" w:hAnsi="宋体"/>
          <w:sz w:val="24"/>
          <w:highlight w:val="none"/>
        </w:rPr>
        <w:t>3.甲方无正当理由拒收货物、接受服务，到期拒付货物、工程、提供服务款项的，甲方向乙方偿付本合同金额的5%的违约金。甲方逾期付款，则每日按本合同金额的3‰向乙方偿付违约金。</w:t>
      </w:r>
    </w:p>
    <w:p w14:paraId="1D46B896">
      <w:pPr>
        <w:spacing w:line="460" w:lineRule="exact"/>
        <w:ind w:firstLine="480" w:firstLineChars="200"/>
        <w:rPr>
          <w:rFonts w:ascii="宋体" w:hAnsi="宋体"/>
          <w:sz w:val="24"/>
          <w:highlight w:val="none"/>
        </w:rPr>
      </w:pPr>
      <w:r>
        <w:rPr>
          <w:rFonts w:hint="eastAsia" w:ascii="宋体" w:hAnsi="宋体"/>
          <w:sz w:val="24"/>
          <w:highlight w:val="none"/>
        </w:rPr>
        <w:t>4.其它违约责任按《中华人民共和国民法典》处理。</w:t>
      </w:r>
    </w:p>
    <w:p w14:paraId="704EAF07">
      <w:pPr>
        <w:spacing w:line="460" w:lineRule="exact"/>
        <w:ind w:firstLine="482" w:firstLineChars="200"/>
        <w:rPr>
          <w:rFonts w:ascii="宋体"/>
          <w:b/>
          <w:sz w:val="24"/>
          <w:highlight w:val="none"/>
        </w:rPr>
      </w:pPr>
      <w:r>
        <w:rPr>
          <w:rFonts w:hint="eastAsia" w:ascii="宋体" w:hAnsi="宋体"/>
          <w:b/>
          <w:sz w:val="24"/>
          <w:highlight w:val="none"/>
        </w:rPr>
        <w:t>九、争议的解决</w:t>
      </w:r>
    </w:p>
    <w:p w14:paraId="68D10A4F">
      <w:pPr>
        <w:spacing w:line="460" w:lineRule="exact"/>
        <w:ind w:firstLine="480" w:firstLineChars="200"/>
        <w:rPr>
          <w:rFonts w:ascii="宋体" w:hAnsi="宋体"/>
          <w:sz w:val="24"/>
          <w:highlight w:val="none"/>
        </w:rPr>
      </w:pPr>
      <w:r>
        <w:rPr>
          <w:rFonts w:hint="eastAsia" w:ascii="宋体" w:hAnsi="宋体"/>
          <w:sz w:val="24"/>
          <w:highlight w:val="none"/>
        </w:rPr>
        <w:t>1.本合同的变更必须由双方协商一致，并以书面形式确定。但有下列情形之一的，一方可以向另一方提出变更合同权利与义务的请求，另一方应当在</w:t>
      </w:r>
      <w:r>
        <w:rPr>
          <w:rFonts w:hint="eastAsia" w:ascii="宋体" w:hAnsi="宋体"/>
          <w:sz w:val="24"/>
          <w:highlight w:val="none"/>
          <w:u w:val="single"/>
        </w:rPr>
        <w:t xml:space="preserve"> 15 </w:t>
      </w:r>
      <w:r>
        <w:rPr>
          <w:rFonts w:hint="eastAsia" w:ascii="宋体" w:hAnsi="宋体"/>
          <w:sz w:val="24"/>
          <w:highlight w:val="none"/>
        </w:rPr>
        <w:t>日内予以答复；逾期未予答复的，视为同意：</w:t>
      </w:r>
    </w:p>
    <w:p w14:paraId="43BA96B5">
      <w:pPr>
        <w:spacing w:line="460" w:lineRule="exact"/>
        <w:ind w:firstLine="480" w:firstLineChars="200"/>
        <w:rPr>
          <w:rFonts w:ascii="宋体" w:hAnsi="宋体"/>
          <w:sz w:val="24"/>
          <w:highlight w:val="none"/>
        </w:rPr>
      </w:pPr>
      <w:r>
        <w:rPr>
          <w:rFonts w:hint="eastAsia" w:ascii="宋体" w:hAnsi="宋体"/>
          <w:sz w:val="24"/>
          <w:highlight w:val="none"/>
        </w:rPr>
        <w:t>（1）发生不可抗力；</w:t>
      </w:r>
    </w:p>
    <w:p w14:paraId="4E04370E">
      <w:pPr>
        <w:spacing w:line="460" w:lineRule="exact"/>
        <w:ind w:firstLine="480" w:firstLineChars="200"/>
        <w:rPr>
          <w:rFonts w:ascii="宋体" w:hAnsi="宋体"/>
          <w:sz w:val="24"/>
          <w:highlight w:val="none"/>
        </w:rPr>
      </w:pPr>
      <w:r>
        <w:rPr>
          <w:rFonts w:hint="eastAsia" w:ascii="宋体" w:hAnsi="宋体"/>
          <w:sz w:val="24"/>
          <w:highlight w:val="none"/>
        </w:rPr>
        <w:t>（2）一方进入破产、解散、被依法关闭、撤销或已进入清算阶段；</w:t>
      </w:r>
    </w:p>
    <w:p w14:paraId="6EA8FDE3">
      <w:pPr>
        <w:spacing w:line="460" w:lineRule="exact"/>
        <w:ind w:firstLine="480" w:firstLineChars="200"/>
        <w:rPr>
          <w:rFonts w:ascii="宋体" w:hAnsi="宋体"/>
          <w:sz w:val="24"/>
          <w:highlight w:val="none"/>
        </w:rPr>
      </w:pPr>
      <w:r>
        <w:rPr>
          <w:rFonts w:hint="eastAsia" w:ascii="宋体" w:hAnsi="宋体"/>
          <w:sz w:val="24"/>
          <w:highlight w:val="none"/>
        </w:rPr>
        <w:t>（3）一方财务状况严重恶化，不能支付到期债务；</w:t>
      </w:r>
    </w:p>
    <w:p w14:paraId="1689EA4B">
      <w:pPr>
        <w:spacing w:line="460" w:lineRule="exact"/>
        <w:ind w:firstLine="480" w:firstLineChars="200"/>
        <w:rPr>
          <w:rFonts w:ascii="宋体" w:hAnsi="宋体"/>
          <w:sz w:val="24"/>
          <w:highlight w:val="none"/>
        </w:rPr>
      </w:pPr>
      <w:r>
        <w:rPr>
          <w:rFonts w:hint="eastAsia" w:ascii="宋体" w:hAnsi="宋体"/>
          <w:sz w:val="24"/>
          <w:highlight w:val="none"/>
        </w:rPr>
        <w:t>（4）出现了本合同规定的或法定的解除事由。</w:t>
      </w:r>
    </w:p>
    <w:p w14:paraId="2A9DDFAE">
      <w:pPr>
        <w:tabs>
          <w:tab w:val="left" w:pos="824"/>
        </w:tabs>
        <w:spacing w:line="46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因履行本合同引起的或者与本合同有关的争议，甲乙双方应当通过友好协商方式解决；如协商不能解决的，</w:t>
      </w:r>
      <w:r>
        <w:rPr>
          <w:rFonts w:hint="eastAsia" w:ascii="宋体" w:hAnsi="宋体" w:cs="宋体"/>
          <w:kern w:val="0"/>
          <w:sz w:val="24"/>
          <w:highlight w:val="none"/>
        </w:rPr>
        <w:t>双方均可向惠州市惠城区人民法院提起诉讼</w:t>
      </w:r>
      <w:r>
        <w:rPr>
          <w:rFonts w:ascii="宋体" w:hAnsi="宋体"/>
          <w:sz w:val="24"/>
          <w:highlight w:val="none"/>
        </w:rPr>
        <w:t>。</w:t>
      </w:r>
    </w:p>
    <w:p w14:paraId="7A8F409A">
      <w:pPr>
        <w:tabs>
          <w:tab w:val="left" w:pos="824"/>
        </w:tabs>
        <w:spacing w:line="460" w:lineRule="exact"/>
        <w:ind w:firstLine="482" w:firstLineChars="200"/>
        <w:rPr>
          <w:highlight w:val="none"/>
        </w:rPr>
      </w:pPr>
      <w:r>
        <w:rPr>
          <w:rFonts w:hint="eastAsia" w:ascii="宋体" w:hAnsi="宋体"/>
          <w:b/>
          <w:bCs/>
          <w:sz w:val="24"/>
          <w:highlight w:val="none"/>
        </w:rPr>
        <w:t>十、保密条款</w:t>
      </w:r>
    </w:p>
    <w:p w14:paraId="4938FF31">
      <w:pPr>
        <w:tabs>
          <w:tab w:val="left" w:pos="824"/>
        </w:tabs>
        <w:spacing w:line="460" w:lineRule="exact"/>
        <w:ind w:firstLine="480" w:firstLineChars="200"/>
        <w:rPr>
          <w:rFonts w:ascii="宋体" w:hAnsi="宋体"/>
          <w:sz w:val="24"/>
          <w:highlight w:val="none"/>
        </w:rPr>
      </w:pPr>
      <w:r>
        <w:rPr>
          <w:rFonts w:hint="eastAsia" w:ascii="宋体" w:hAnsi="宋体"/>
          <w:sz w:val="24"/>
          <w:highlight w:val="none"/>
        </w:rPr>
        <w:t>未经对方书面许可，任何一方不得向第三方提供或披露因本合同的签订和履行而得知的与对方业务有关的资料和信息，法律另有规定或本合同另有约定的除外。</w:t>
      </w:r>
    </w:p>
    <w:p w14:paraId="5B85B015">
      <w:pPr>
        <w:tabs>
          <w:tab w:val="left" w:pos="824"/>
        </w:tabs>
        <w:spacing w:line="460" w:lineRule="exact"/>
        <w:ind w:firstLine="482" w:firstLineChars="200"/>
        <w:rPr>
          <w:rFonts w:ascii="宋体" w:hAnsi="宋体"/>
          <w:b/>
          <w:sz w:val="24"/>
          <w:highlight w:val="none"/>
        </w:rPr>
      </w:pPr>
      <w:r>
        <w:rPr>
          <w:rFonts w:hint="eastAsia" w:ascii="宋体" w:hAnsi="宋体"/>
          <w:b/>
          <w:bCs/>
          <w:sz w:val="24"/>
          <w:highlight w:val="none"/>
        </w:rPr>
        <w:t>十一、</w:t>
      </w:r>
      <w:r>
        <w:rPr>
          <w:rFonts w:hint="eastAsia" w:ascii="宋体" w:hAnsi="宋体"/>
          <w:b/>
          <w:sz w:val="24"/>
          <w:highlight w:val="none"/>
        </w:rPr>
        <w:t>不可抗力</w:t>
      </w:r>
    </w:p>
    <w:p w14:paraId="160D306B">
      <w:pPr>
        <w:tabs>
          <w:tab w:val="left" w:pos="824"/>
        </w:tabs>
        <w:spacing w:line="460" w:lineRule="exact"/>
        <w:ind w:firstLine="480" w:firstLineChars="200"/>
        <w:rPr>
          <w:rFonts w:ascii="宋体" w:hAnsi="宋体"/>
          <w:sz w:val="24"/>
          <w:highlight w:val="none"/>
        </w:rPr>
      </w:pPr>
      <w:r>
        <w:rPr>
          <w:rFonts w:ascii="宋体" w:hAnsi="宋体"/>
          <w:sz w:val="24"/>
          <w:highlight w:val="none"/>
        </w:rPr>
        <w:t>1.由于不可预见、不可避免、不可克服等不可抗力的原因，一方不能履行合同义务的，应当在不可抗力发生之日起</w:t>
      </w:r>
      <w:r>
        <w:rPr>
          <w:rFonts w:ascii="宋体" w:hAnsi="宋体"/>
          <w:sz w:val="24"/>
          <w:highlight w:val="none"/>
          <w:u w:val="single"/>
        </w:rPr>
        <w:t xml:space="preserve">     </w:t>
      </w:r>
      <w:r>
        <w:rPr>
          <w:rFonts w:ascii="宋体" w:hAnsi="宋体"/>
          <w:sz w:val="24"/>
          <w:highlight w:val="none"/>
        </w:rPr>
        <w:t>天内以书面形式通知对方，证明不可抗力事件的存在。</w:t>
      </w:r>
    </w:p>
    <w:p w14:paraId="6089A04F">
      <w:pPr>
        <w:tabs>
          <w:tab w:val="left" w:pos="824"/>
        </w:tabs>
        <w:spacing w:line="460" w:lineRule="exact"/>
        <w:ind w:firstLine="480" w:firstLineChars="200"/>
        <w:rPr>
          <w:rFonts w:ascii="宋体" w:hAnsi="宋体"/>
          <w:sz w:val="24"/>
          <w:highlight w:val="none"/>
        </w:rPr>
      </w:pPr>
      <w:r>
        <w:rPr>
          <w:rFonts w:ascii="宋体" w:hAnsi="宋体"/>
          <w:sz w:val="24"/>
          <w:highlight w:val="none"/>
        </w:rPr>
        <w:t>2.不可抗力事件发生后，甲方和乙方应当积极寻求以合理的方式履行本合同。如不可抗力无法消除，致使合同目的无法实现的</w:t>
      </w:r>
      <w:r>
        <w:rPr>
          <w:rFonts w:hint="eastAsia" w:ascii="宋体" w:hAnsi="宋体"/>
          <w:sz w:val="24"/>
          <w:highlight w:val="none"/>
        </w:rPr>
        <w:t>，允许延期履行或修订合同，并根据情况可部分或全部免于承担违约责任。</w:t>
      </w:r>
      <w:r>
        <w:rPr>
          <w:rFonts w:ascii="宋体" w:hAnsi="宋体"/>
          <w:sz w:val="24"/>
          <w:highlight w:val="none"/>
        </w:rPr>
        <w:t>双方均有权解除合同，且均不互相索赔。</w:t>
      </w:r>
    </w:p>
    <w:p w14:paraId="58C1854B">
      <w:pPr>
        <w:tabs>
          <w:tab w:val="left" w:pos="824"/>
        </w:tabs>
        <w:spacing w:line="460" w:lineRule="exact"/>
        <w:ind w:firstLine="480" w:firstLineChars="200"/>
        <w:rPr>
          <w:highlight w:val="none"/>
        </w:rPr>
      </w:pPr>
      <w:r>
        <w:rPr>
          <w:rFonts w:hint="eastAsia" w:ascii="宋体" w:hAnsi="宋体"/>
          <w:sz w:val="24"/>
          <w:highlight w:val="none"/>
        </w:rPr>
        <w:t xml:space="preserve">3.除不可抗力事件，任何一方不得违反本合同条款。 </w:t>
      </w:r>
    </w:p>
    <w:p w14:paraId="33B309FE">
      <w:pPr>
        <w:spacing w:line="460" w:lineRule="exact"/>
        <w:ind w:firstLine="482" w:firstLineChars="200"/>
        <w:rPr>
          <w:rFonts w:ascii="宋体" w:hAnsi="宋体"/>
          <w:b/>
          <w:sz w:val="24"/>
          <w:highlight w:val="none"/>
        </w:rPr>
      </w:pPr>
      <w:r>
        <w:rPr>
          <w:rFonts w:hint="eastAsia" w:ascii="宋体" w:hAnsi="宋体"/>
          <w:b/>
          <w:sz w:val="24"/>
          <w:highlight w:val="none"/>
        </w:rPr>
        <w:t>十二、税费</w:t>
      </w:r>
    </w:p>
    <w:p w14:paraId="5DF78C0A">
      <w:pPr>
        <w:spacing w:line="460" w:lineRule="exact"/>
        <w:ind w:firstLine="480" w:firstLineChars="200"/>
        <w:rPr>
          <w:rFonts w:ascii="宋体"/>
          <w:sz w:val="24"/>
          <w:highlight w:val="none"/>
        </w:rPr>
      </w:pPr>
      <w:r>
        <w:rPr>
          <w:rFonts w:hint="eastAsia" w:ascii="宋体" w:hAnsi="宋体"/>
          <w:sz w:val="24"/>
          <w:highlight w:val="none"/>
        </w:rPr>
        <w:t>在中国境内、外发生的与本合同执行有关的一切税费均由乙方负担。</w:t>
      </w:r>
    </w:p>
    <w:p w14:paraId="53064315">
      <w:pPr>
        <w:spacing w:line="460" w:lineRule="exact"/>
        <w:ind w:firstLine="482" w:firstLineChars="200"/>
        <w:rPr>
          <w:rFonts w:ascii="宋体"/>
          <w:b/>
          <w:sz w:val="24"/>
          <w:highlight w:val="none"/>
        </w:rPr>
      </w:pPr>
      <w:r>
        <w:rPr>
          <w:rFonts w:hint="eastAsia" w:ascii="宋体" w:hAnsi="宋体"/>
          <w:b/>
          <w:sz w:val="24"/>
          <w:highlight w:val="none"/>
        </w:rPr>
        <w:t>十三、其它</w:t>
      </w:r>
    </w:p>
    <w:p w14:paraId="292EB87E">
      <w:pPr>
        <w:spacing w:line="460" w:lineRule="exact"/>
        <w:ind w:firstLine="480" w:firstLineChars="200"/>
        <w:rPr>
          <w:rFonts w:ascii="宋体"/>
          <w:b/>
          <w:sz w:val="24"/>
          <w:highlight w:val="none"/>
        </w:rPr>
      </w:pPr>
      <w:r>
        <w:rPr>
          <w:rFonts w:hint="eastAsia" w:ascii="宋体" w:hAnsi="宋体"/>
          <w:sz w:val="24"/>
          <w:highlight w:val="none"/>
        </w:rPr>
        <w:t>1.本合同所有附件、采购文件、</w:t>
      </w:r>
      <w:r>
        <w:rPr>
          <w:rFonts w:hint="eastAsia" w:ascii="宋体" w:hAnsi="宋体"/>
          <w:sz w:val="24"/>
          <w:highlight w:val="none"/>
          <w:lang w:val="en-US" w:eastAsia="zh-CN"/>
        </w:rPr>
        <w:t>响应</w:t>
      </w:r>
      <w:r>
        <w:rPr>
          <w:rFonts w:hint="eastAsia" w:ascii="宋体" w:hAnsi="宋体"/>
          <w:sz w:val="24"/>
          <w:highlight w:val="none"/>
        </w:rPr>
        <w:t>文件、</w:t>
      </w:r>
      <w:r>
        <w:rPr>
          <w:rFonts w:hint="eastAsia" w:ascii="宋体" w:hAnsi="宋体"/>
          <w:sz w:val="24"/>
          <w:highlight w:val="none"/>
          <w:lang w:val="en-US" w:eastAsia="zh-CN"/>
        </w:rPr>
        <w:t>成交</w:t>
      </w:r>
      <w:r>
        <w:rPr>
          <w:rFonts w:hint="eastAsia" w:ascii="宋体" w:hAnsi="宋体"/>
          <w:sz w:val="24"/>
          <w:highlight w:val="none"/>
        </w:rPr>
        <w:t>通知书均为合同的有效组成部分，与本合同具有同等法律效力，乙方除按本合同约定的履行合同义务外，还应按其提供的投标文件中的承诺履行相关义务。</w:t>
      </w:r>
    </w:p>
    <w:p w14:paraId="69DC0476">
      <w:pPr>
        <w:spacing w:line="460" w:lineRule="exact"/>
        <w:ind w:firstLine="480" w:firstLineChars="200"/>
        <w:rPr>
          <w:rFonts w:ascii="宋体"/>
          <w:sz w:val="24"/>
          <w:highlight w:val="none"/>
        </w:rPr>
      </w:pPr>
      <w:r>
        <w:rPr>
          <w:rFonts w:hint="eastAsia" w:ascii="宋体" w:hAnsi="宋体"/>
          <w:bCs/>
          <w:sz w:val="24"/>
          <w:highlight w:val="none"/>
        </w:rPr>
        <w:t>2.</w:t>
      </w:r>
      <w:r>
        <w:rPr>
          <w:rFonts w:hint="eastAsia" w:ascii="宋体" w:hAnsi="宋体"/>
          <w:sz w:val="24"/>
          <w:highlight w:val="none"/>
        </w:rPr>
        <w:t>在执行本合同的过程中，所有经双方签署确认的文件（包括会议纪要、补充协议、往来信函）即成为本合同的有效组成部分。</w:t>
      </w:r>
    </w:p>
    <w:p w14:paraId="46F09097">
      <w:pPr>
        <w:spacing w:line="460" w:lineRule="exact"/>
        <w:ind w:firstLine="480" w:firstLineChars="200"/>
        <w:rPr>
          <w:rFonts w:ascii="宋体" w:hAnsi="宋体"/>
          <w:sz w:val="24"/>
          <w:highlight w:val="none"/>
        </w:rPr>
      </w:pPr>
      <w:r>
        <w:rPr>
          <w:rFonts w:hint="eastAsia" w:ascii="宋体" w:hAnsi="宋体"/>
          <w:sz w:val="24"/>
          <w:highlight w:val="none"/>
        </w:rPr>
        <w:t>3.如一方地址、电话、传真号码有变更，应在变更当日内书面通知对方，否则，应承担相应责任。</w:t>
      </w:r>
    </w:p>
    <w:p w14:paraId="5019EAF2">
      <w:pPr>
        <w:spacing w:line="460" w:lineRule="exact"/>
        <w:ind w:firstLine="480" w:firstLineChars="200"/>
        <w:rPr>
          <w:rFonts w:ascii="宋体" w:hAnsi="宋体"/>
          <w:sz w:val="24"/>
          <w:highlight w:val="none"/>
        </w:rPr>
      </w:pPr>
      <w:r>
        <w:rPr>
          <w:rFonts w:hint="eastAsia" w:ascii="宋体" w:hAnsi="宋体"/>
          <w:sz w:val="24"/>
          <w:highlight w:val="none"/>
        </w:rPr>
        <w:t>4.除甲方事先书面同意外，乙方不得部分或全部转让其应履行的合同项下的义务。</w:t>
      </w:r>
    </w:p>
    <w:p w14:paraId="48C27488">
      <w:pPr>
        <w:spacing w:line="460" w:lineRule="exact"/>
        <w:ind w:firstLine="480" w:firstLineChars="200"/>
        <w:rPr>
          <w:rFonts w:ascii="宋体" w:hAnsi="宋体"/>
          <w:sz w:val="24"/>
          <w:highlight w:val="none"/>
        </w:rPr>
      </w:pPr>
      <w:r>
        <w:rPr>
          <w:rFonts w:hint="eastAsia" w:ascii="宋体" w:hAnsi="宋体"/>
          <w:sz w:val="24"/>
          <w:highlight w:val="none"/>
        </w:rPr>
        <w:t>5.本合同及相关附件中所涉及的有关名词和技术术语，其定义和解释如下：</w:t>
      </w:r>
    </w:p>
    <w:p w14:paraId="3E160CF1">
      <w:pPr>
        <w:spacing w:line="460" w:lineRule="exact"/>
        <w:ind w:firstLine="480" w:firstLineChars="200"/>
        <w:rPr>
          <w:rFonts w:ascii="宋体" w:hAnsi="宋体"/>
          <w:sz w:val="24"/>
          <w:highlight w:val="none"/>
        </w:rPr>
      </w:pPr>
      <w:r>
        <w:rPr>
          <w:rFonts w:hint="eastAsia" w:ascii="宋体" w:hAnsi="宋体"/>
          <w:sz w:val="24"/>
          <w:highlight w:val="none"/>
        </w:rPr>
        <w:t>（1）软件系统、项目等词除另有指明外，均指本合同项下由甲方出资，乙方承建的“年度维护服务 ”。</w:t>
      </w:r>
    </w:p>
    <w:p w14:paraId="7F1BA527">
      <w:pPr>
        <w:spacing w:line="460" w:lineRule="exact"/>
        <w:ind w:firstLine="480" w:firstLineChars="200"/>
        <w:rPr>
          <w:rFonts w:ascii="宋体" w:hAnsi="宋体"/>
          <w:sz w:val="24"/>
          <w:highlight w:val="none"/>
        </w:rPr>
      </w:pPr>
      <w:r>
        <w:rPr>
          <w:rFonts w:hint="eastAsia" w:ascii="宋体" w:hAnsi="宋体"/>
          <w:sz w:val="24"/>
          <w:highlight w:val="none"/>
        </w:rPr>
        <w:t>（2）商业秘密：是指甲方、乙方双方各自所拥有的，不为公众所知的管理信息、方式、方法、顾客名单、数据、产品信息、销售渠道、技术诀窍、计算机文档和技术资料等，或由甲方、乙方双方在履行本合同过程中明确指明为商业秘密的、法律所认可的任何信息。</w:t>
      </w:r>
    </w:p>
    <w:p w14:paraId="789EB5E7">
      <w:pPr>
        <w:spacing w:line="460" w:lineRule="exact"/>
        <w:ind w:firstLine="480" w:firstLineChars="200"/>
        <w:rPr>
          <w:rFonts w:ascii="宋体" w:hAnsi="宋体"/>
          <w:sz w:val="24"/>
          <w:highlight w:val="none"/>
        </w:rPr>
      </w:pPr>
      <w:r>
        <w:rPr>
          <w:rFonts w:hint="eastAsia" w:ascii="宋体" w:hAnsi="宋体"/>
          <w:sz w:val="24"/>
          <w:highlight w:val="none"/>
        </w:rPr>
        <w:t>（3）工作日：是指国家所规定的节假日之外的所有工作日，未指明为工作日的日期指自然顺延的日期。</w:t>
      </w:r>
    </w:p>
    <w:p w14:paraId="4AA48528">
      <w:pPr>
        <w:spacing w:line="460" w:lineRule="exact"/>
        <w:ind w:firstLine="480" w:firstLineChars="200"/>
        <w:rPr>
          <w:rFonts w:ascii="宋体" w:hAnsi="宋体"/>
          <w:sz w:val="24"/>
          <w:highlight w:val="none"/>
        </w:rPr>
      </w:pPr>
      <w:r>
        <w:rPr>
          <w:rFonts w:hint="eastAsia" w:ascii="宋体" w:hAnsi="宋体"/>
          <w:sz w:val="24"/>
          <w:highlight w:val="none"/>
        </w:rPr>
        <w:t>（4）规格：是指在技术或其它开发任务上所设定的关于硬件和软件的技术标准、规范。</w:t>
      </w:r>
    </w:p>
    <w:p w14:paraId="5EEC2CAB">
      <w:pPr>
        <w:spacing w:line="460" w:lineRule="exact"/>
        <w:ind w:firstLine="482" w:firstLineChars="200"/>
        <w:rPr>
          <w:rFonts w:ascii="宋体" w:hAnsi="宋体"/>
          <w:b/>
          <w:sz w:val="24"/>
          <w:highlight w:val="none"/>
        </w:rPr>
      </w:pPr>
      <w:r>
        <w:rPr>
          <w:rFonts w:hint="eastAsia" w:ascii="宋体" w:hAnsi="宋体"/>
          <w:b/>
          <w:sz w:val="24"/>
          <w:highlight w:val="none"/>
        </w:rPr>
        <w:t>十四、廉洁自律及其他条款</w:t>
      </w:r>
    </w:p>
    <w:p w14:paraId="7845BF84">
      <w:pPr>
        <w:spacing w:line="460" w:lineRule="exact"/>
        <w:ind w:firstLine="480" w:firstLineChars="200"/>
        <w:rPr>
          <w:rFonts w:ascii="宋体" w:hAnsi="宋体"/>
          <w:sz w:val="24"/>
          <w:highlight w:val="none"/>
        </w:rPr>
      </w:pPr>
      <w:r>
        <w:rPr>
          <w:rFonts w:ascii="宋体" w:hAnsi="宋体"/>
          <w:sz w:val="24"/>
          <w:highlight w:val="none"/>
        </w:rPr>
        <w:t>甲乙双方应自觉遵守廉洁自律制度，严禁商业贿赂行为。如有违反，按照国家法律法规及医院规章制度进行处理。</w:t>
      </w:r>
    </w:p>
    <w:p w14:paraId="5D74F0B1">
      <w:pPr>
        <w:numPr>
          <w:ilvl w:val="0"/>
          <w:numId w:val="19"/>
        </w:numPr>
        <w:spacing w:line="460" w:lineRule="exact"/>
        <w:ind w:firstLine="482" w:firstLineChars="200"/>
        <w:rPr>
          <w:rFonts w:ascii="宋体" w:hAnsi="宋体"/>
          <w:b/>
          <w:sz w:val="24"/>
          <w:highlight w:val="none"/>
        </w:rPr>
      </w:pPr>
      <w:r>
        <w:rPr>
          <w:rFonts w:hint="eastAsia" w:ascii="宋体" w:hAnsi="宋体"/>
          <w:b/>
          <w:sz w:val="24"/>
          <w:highlight w:val="none"/>
        </w:rPr>
        <w:t>双方联系人</w:t>
      </w:r>
    </w:p>
    <w:p w14:paraId="74116556">
      <w:pPr>
        <w:spacing w:line="46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为甲方项目联系人，乙方指定</w:t>
      </w:r>
      <w:r>
        <w:rPr>
          <w:rFonts w:ascii="宋体" w:hAnsi="宋体"/>
          <w:sz w:val="24"/>
          <w:highlight w:val="none"/>
          <w:u w:val="single"/>
        </w:rPr>
        <w:t xml:space="preserve">         </w:t>
      </w:r>
      <w:r>
        <w:rPr>
          <w:rFonts w:hint="eastAsia" w:ascii="宋体" w:hAnsi="宋体"/>
          <w:sz w:val="24"/>
          <w:highlight w:val="none"/>
        </w:rPr>
        <w:t>为乙方项目联系人。项目联系人承担以下责任：</w:t>
      </w:r>
    </w:p>
    <w:p w14:paraId="48DFF9BA">
      <w:pPr>
        <w:spacing w:line="460" w:lineRule="exact"/>
        <w:ind w:firstLine="480" w:firstLineChars="200"/>
        <w:rPr>
          <w:rFonts w:ascii="宋体" w:hAnsi="宋体"/>
          <w:sz w:val="24"/>
          <w:highlight w:val="none"/>
        </w:rPr>
      </w:pPr>
      <w:r>
        <w:rPr>
          <w:rFonts w:hint="eastAsia" w:ascii="宋体" w:hAnsi="宋体"/>
          <w:sz w:val="24"/>
          <w:highlight w:val="none"/>
        </w:rPr>
        <w:t>（1）对整个项目的进程负责。　　　　　　　</w:t>
      </w:r>
      <w:r>
        <w:rPr>
          <w:rFonts w:ascii="宋体" w:hAnsi="宋体"/>
          <w:sz w:val="24"/>
          <w:highlight w:val="none"/>
        </w:rPr>
        <w:t xml:space="preserve"> </w:t>
      </w:r>
      <w:r>
        <w:rPr>
          <w:rFonts w:hint="eastAsia" w:ascii="宋体" w:hAnsi="宋体"/>
          <w:sz w:val="24"/>
          <w:highlight w:val="none"/>
        </w:rPr>
        <w:t>　　　　　　　　　　　　　　　</w:t>
      </w:r>
    </w:p>
    <w:p w14:paraId="4CE52B0A">
      <w:pPr>
        <w:spacing w:line="460" w:lineRule="exact"/>
        <w:ind w:firstLine="480" w:firstLineChars="200"/>
        <w:rPr>
          <w:rFonts w:ascii="宋体" w:hAnsi="宋体"/>
          <w:sz w:val="24"/>
          <w:highlight w:val="none"/>
        </w:rPr>
      </w:pPr>
      <w:r>
        <w:rPr>
          <w:rFonts w:hint="eastAsia" w:ascii="宋体" w:hAnsi="宋体"/>
          <w:sz w:val="24"/>
          <w:highlight w:val="none"/>
        </w:rPr>
        <w:t>（2）作为双方在项目上互相沟通，协调的主要人员。</w:t>
      </w:r>
      <w:r>
        <w:rPr>
          <w:rFonts w:ascii="宋体" w:hAnsi="宋体"/>
          <w:sz w:val="24"/>
          <w:highlight w:val="none"/>
        </w:rPr>
        <w:t xml:space="preserve">                                            </w:t>
      </w:r>
    </w:p>
    <w:p w14:paraId="3770BE5E">
      <w:pPr>
        <w:spacing w:line="460" w:lineRule="exact"/>
        <w:ind w:firstLine="480" w:firstLineChars="200"/>
        <w:rPr>
          <w:rFonts w:ascii="宋体" w:hAnsi="宋体"/>
          <w:sz w:val="24"/>
          <w:highlight w:val="none"/>
        </w:rPr>
      </w:pPr>
      <w:r>
        <w:rPr>
          <w:rFonts w:hint="eastAsia" w:ascii="宋体" w:hAnsi="宋体"/>
          <w:sz w:val="24"/>
          <w:highlight w:val="none"/>
        </w:rPr>
        <w:t>（3）定时、及时的向对方汇报，交流项目的进展情况。</w:t>
      </w:r>
      <w:r>
        <w:rPr>
          <w:rFonts w:ascii="宋体" w:hAnsi="宋体"/>
          <w:sz w:val="24"/>
          <w:highlight w:val="none"/>
        </w:rPr>
        <w:t xml:space="preserve">                                           </w:t>
      </w:r>
    </w:p>
    <w:p w14:paraId="623D5B99">
      <w:pPr>
        <w:spacing w:line="460" w:lineRule="exact"/>
        <w:ind w:firstLine="480" w:firstLineChars="200"/>
        <w:rPr>
          <w:highlight w:val="none"/>
        </w:rPr>
      </w:pPr>
      <w:r>
        <w:rPr>
          <w:rFonts w:hint="eastAsia" w:ascii="宋体" w:hAnsi="宋体"/>
          <w:sz w:val="24"/>
          <w:highlight w:val="none"/>
        </w:rPr>
        <w:t>（4）一方变更项目联系人的，应当及时以书面形式通知另一方，未及时通知并影响本合同履行或造成损失的，应承担相应的责任。</w:t>
      </w:r>
    </w:p>
    <w:p w14:paraId="17DDF7CB">
      <w:pPr>
        <w:spacing w:line="460" w:lineRule="exact"/>
        <w:ind w:firstLine="482" w:firstLineChars="200"/>
        <w:rPr>
          <w:rFonts w:ascii="宋体" w:hAnsi="宋体"/>
          <w:b/>
          <w:sz w:val="24"/>
          <w:highlight w:val="none"/>
        </w:rPr>
      </w:pPr>
      <w:r>
        <w:rPr>
          <w:rFonts w:hint="eastAsia" w:ascii="宋体" w:hAnsi="宋体"/>
          <w:b/>
          <w:sz w:val="24"/>
          <w:highlight w:val="none"/>
        </w:rPr>
        <w:t>十六、合同生效</w:t>
      </w:r>
    </w:p>
    <w:p w14:paraId="53E52804">
      <w:pPr>
        <w:spacing w:line="460" w:lineRule="exact"/>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本合同在甲乙双方</w:t>
      </w:r>
      <w:r>
        <w:rPr>
          <w:rFonts w:hint="eastAsia" w:ascii="宋体" w:hAnsi="宋体"/>
          <w:sz w:val="24"/>
          <w:highlight w:val="none"/>
          <w:lang w:val="en-US" w:eastAsia="zh-CN"/>
        </w:rPr>
        <w:t>法定代表人</w:t>
      </w:r>
      <w:r>
        <w:rPr>
          <w:rFonts w:hint="eastAsia" w:ascii="宋体" w:hAnsi="宋体"/>
          <w:sz w:val="24"/>
          <w:highlight w:val="none"/>
        </w:rPr>
        <w:t>或其授权代表签字盖章后生效。</w:t>
      </w:r>
    </w:p>
    <w:p w14:paraId="1C7EE014">
      <w:pPr>
        <w:spacing w:line="460" w:lineRule="exact"/>
        <w:ind w:firstLine="480" w:firstLineChars="200"/>
        <w:rPr>
          <w:rFonts w:hint="eastAsia" w:ascii="宋体" w:hAnsi="宋体"/>
          <w:sz w:val="24"/>
          <w:highlight w:val="none"/>
        </w:rPr>
      </w:pPr>
      <w:r>
        <w:rPr>
          <w:rFonts w:hint="eastAsia" w:ascii="宋体" w:hAnsi="宋体"/>
          <w:sz w:val="24"/>
          <w:highlight w:val="none"/>
        </w:rPr>
        <w:t>2.一式伍份，具有同等效力，甲方持肆份，乙方持壹份。</w:t>
      </w:r>
    </w:p>
    <w:p w14:paraId="20A19DB5">
      <w:pPr>
        <w:pStyle w:val="2"/>
        <w:numPr>
          <w:ilvl w:val="0"/>
          <w:numId w:val="0"/>
        </w:numPr>
        <w:ind w:leftChars="0"/>
        <w:rPr>
          <w:highlight w:val="none"/>
        </w:rPr>
      </w:pPr>
    </w:p>
    <w:p w14:paraId="6B0D96FD">
      <w:pPr>
        <w:rPr>
          <w:highlight w:val="none"/>
        </w:rPr>
      </w:pPr>
    </w:p>
    <w:p w14:paraId="2F39A7CB">
      <w:pPr>
        <w:spacing w:line="460" w:lineRule="exact"/>
        <w:ind w:left="5519" w:leftChars="228" w:hanging="5040" w:hangingChars="2100"/>
        <w:jc w:val="left"/>
        <w:rPr>
          <w:rFonts w:ascii="宋体"/>
          <w:sz w:val="24"/>
          <w:highlight w:val="none"/>
        </w:rPr>
      </w:pPr>
      <w:r>
        <w:rPr>
          <w:rFonts w:hint="eastAsia" w:ascii="宋体" w:hAnsi="宋体" w:cs="宋体"/>
          <w:sz w:val="24"/>
          <w:highlight w:val="none"/>
        </w:rPr>
        <w:t>甲方：惠州市第一妇幼保健院            乙方：</w:t>
      </w:r>
    </w:p>
    <w:p w14:paraId="67406E5A">
      <w:pPr>
        <w:spacing w:line="460" w:lineRule="exact"/>
        <w:ind w:left="5519" w:leftChars="228" w:hanging="5040" w:hangingChars="2100"/>
        <w:jc w:val="left"/>
        <w:rPr>
          <w:rFonts w:ascii="宋体"/>
          <w:sz w:val="24"/>
          <w:highlight w:val="none"/>
        </w:rPr>
      </w:pPr>
      <w:r>
        <w:rPr>
          <w:rFonts w:hint="eastAsia" w:ascii="宋体"/>
          <w:sz w:val="24"/>
          <w:highlight w:val="none"/>
          <w:lang w:eastAsia="zh-CN"/>
        </w:rPr>
        <w:t>法定代表人</w:t>
      </w:r>
      <w:r>
        <w:rPr>
          <w:rFonts w:hint="eastAsia" w:ascii="宋体"/>
          <w:sz w:val="24"/>
          <w:highlight w:val="none"/>
        </w:rPr>
        <w:t xml:space="preserve">    </w:t>
      </w:r>
      <w:r>
        <w:rPr>
          <w:rFonts w:hint="eastAsia" w:ascii="宋体"/>
          <w:sz w:val="24"/>
          <w:highlight w:val="none"/>
          <w:lang w:val="en-US" w:eastAsia="zh-CN"/>
        </w:rPr>
        <w:t xml:space="preserve">                        </w:t>
      </w:r>
      <w:r>
        <w:rPr>
          <w:rFonts w:hint="eastAsia" w:ascii="宋体"/>
          <w:sz w:val="24"/>
          <w:highlight w:val="none"/>
          <w:lang w:eastAsia="zh-CN"/>
        </w:rPr>
        <w:t>法定代表人</w:t>
      </w:r>
    </w:p>
    <w:p w14:paraId="02A6B428">
      <w:pPr>
        <w:spacing w:line="460" w:lineRule="exact"/>
        <w:ind w:firstLine="480" w:firstLineChars="200"/>
        <w:rPr>
          <w:rFonts w:ascii="宋体" w:hAnsi="宋体" w:cs="宋体"/>
          <w:sz w:val="24"/>
          <w:highlight w:val="none"/>
        </w:rPr>
      </w:pPr>
      <w:r>
        <w:rPr>
          <w:rFonts w:hint="eastAsia" w:ascii="宋体" w:hAnsi="宋体" w:cs="宋体"/>
          <w:sz w:val="24"/>
          <w:highlight w:val="none"/>
          <w:lang w:val="en-US" w:eastAsia="zh-CN"/>
        </w:rPr>
        <w:t>授权</w:t>
      </w:r>
      <w:r>
        <w:rPr>
          <w:rFonts w:hint="eastAsia" w:ascii="宋体" w:hAnsi="宋体" w:cs="宋体"/>
          <w:sz w:val="24"/>
          <w:highlight w:val="none"/>
        </w:rPr>
        <w:t xml:space="preserve">代表：                            </w:t>
      </w:r>
      <w:r>
        <w:rPr>
          <w:rFonts w:hint="eastAsia" w:ascii="宋体" w:hAnsi="宋体" w:cs="宋体"/>
          <w:sz w:val="24"/>
          <w:highlight w:val="none"/>
          <w:lang w:val="en-US" w:eastAsia="zh-CN"/>
        </w:rPr>
        <w:t>授权</w:t>
      </w:r>
      <w:r>
        <w:rPr>
          <w:rFonts w:hint="eastAsia" w:ascii="宋体" w:hAnsi="宋体" w:cs="宋体"/>
          <w:sz w:val="24"/>
          <w:highlight w:val="none"/>
        </w:rPr>
        <w:t>代表：</w:t>
      </w:r>
    </w:p>
    <w:p w14:paraId="49A6DA71">
      <w:pPr>
        <w:spacing w:line="460" w:lineRule="exact"/>
        <w:ind w:left="5519" w:leftChars="228" w:hanging="5040" w:hangingChars="2100"/>
        <w:jc w:val="left"/>
        <w:rPr>
          <w:rFonts w:ascii="宋体" w:hAnsi="宋体" w:cs="宋体"/>
          <w:sz w:val="24"/>
          <w:highlight w:val="none"/>
        </w:rPr>
      </w:pPr>
      <w:r>
        <w:rPr>
          <w:rFonts w:hint="eastAsia" w:ascii="宋体" w:hAnsi="宋体" w:cs="宋体"/>
          <w:sz w:val="24"/>
          <w:highlight w:val="none"/>
        </w:rPr>
        <w:t>地址：惠州市演达四路5号              地址：</w:t>
      </w:r>
    </w:p>
    <w:p w14:paraId="67377D91">
      <w:pPr>
        <w:autoSpaceDE w:val="0"/>
        <w:autoSpaceDN w:val="0"/>
        <w:adjustRightInd w:val="0"/>
        <w:spacing w:line="460" w:lineRule="exact"/>
        <w:ind w:right="246" w:firstLine="480" w:firstLineChars="200"/>
        <w:rPr>
          <w:rFonts w:ascii="宋体" w:hAnsi="宋体" w:cs="宋体"/>
          <w:sz w:val="24"/>
          <w:highlight w:val="none"/>
        </w:rPr>
      </w:pPr>
      <w:r>
        <w:rPr>
          <w:rFonts w:hint="eastAsia" w:ascii="宋体" w:hAnsi="宋体" w:cs="宋体"/>
          <w:sz w:val="24"/>
          <w:highlight w:val="none"/>
        </w:rPr>
        <w:t xml:space="preserve">电话：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电话：</w:t>
      </w:r>
    </w:p>
    <w:p w14:paraId="1BEA837A">
      <w:pPr>
        <w:spacing w:line="460" w:lineRule="exact"/>
        <w:ind w:firstLine="480" w:firstLineChars="200"/>
        <w:rPr>
          <w:rFonts w:ascii="宋体" w:hAnsi="宋体" w:cs="宋体"/>
          <w:sz w:val="24"/>
          <w:highlight w:val="none"/>
        </w:rPr>
      </w:pPr>
      <w:r>
        <w:rPr>
          <w:rFonts w:hint="eastAsia" w:ascii="宋体" w:hAnsi="宋体" w:cs="宋体"/>
          <w:sz w:val="24"/>
          <w:highlight w:val="none"/>
        </w:rPr>
        <w:t>传真： 0752-7806733                   传真：</w:t>
      </w:r>
    </w:p>
    <w:p w14:paraId="01CE8464">
      <w:pPr>
        <w:spacing w:line="460" w:lineRule="exact"/>
        <w:ind w:firstLine="480" w:firstLineChars="200"/>
        <w:rPr>
          <w:rFonts w:ascii="宋体" w:hAnsi="宋体" w:cs="宋体"/>
          <w:b/>
          <w:sz w:val="24"/>
          <w:highlight w:val="none"/>
        </w:rPr>
      </w:pPr>
      <w:r>
        <w:rPr>
          <w:rFonts w:hint="eastAsia" w:ascii="宋体" w:hAnsi="宋体" w:cs="宋体"/>
          <w:sz w:val="24"/>
          <w:highlight w:val="none"/>
        </w:rPr>
        <w:t>日期：   年    月   日                日期：    年    月    日</w:t>
      </w:r>
    </w:p>
    <w:p w14:paraId="34D3EC5C">
      <w:pPr>
        <w:rPr>
          <w:highlight w:val="none"/>
        </w:rPr>
      </w:pPr>
    </w:p>
    <w:p w14:paraId="1D6C4505">
      <w:pPr>
        <w:pStyle w:val="10"/>
        <w:rPr>
          <w:highlight w:val="none"/>
        </w:rPr>
      </w:pPr>
    </w:p>
    <w:p w14:paraId="70CE266E">
      <w:pPr>
        <w:pStyle w:val="10"/>
        <w:rPr>
          <w:highlight w:val="none"/>
        </w:rPr>
      </w:pPr>
    </w:p>
    <w:p w14:paraId="550A8D46">
      <w:pPr>
        <w:pStyle w:val="10"/>
        <w:rPr>
          <w:highlight w:val="none"/>
        </w:rPr>
      </w:pPr>
    </w:p>
    <w:p w14:paraId="1DC6C074">
      <w:pPr>
        <w:pStyle w:val="10"/>
        <w:rPr>
          <w:highlight w:val="none"/>
        </w:rPr>
      </w:pPr>
    </w:p>
    <w:p w14:paraId="2F15B91E">
      <w:pPr>
        <w:pStyle w:val="10"/>
        <w:rPr>
          <w:highlight w:val="none"/>
        </w:rPr>
      </w:pPr>
    </w:p>
    <w:p w14:paraId="0E31CD91">
      <w:pPr>
        <w:pStyle w:val="10"/>
        <w:rPr>
          <w:highlight w:val="none"/>
        </w:rPr>
      </w:pPr>
    </w:p>
    <w:p w14:paraId="377959C0">
      <w:pPr>
        <w:rPr>
          <w:highlight w:val="none"/>
        </w:rPr>
      </w:pPr>
      <w:r>
        <w:rPr>
          <w:highlight w:val="none"/>
        </w:rPr>
        <w:br w:type="page"/>
      </w:r>
    </w:p>
    <w:p w14:paraId="2D976B20">
      <w:pPr>
        <w:pStyle w:val="2"/>
        <w:numPr>
          <w:ilvl w:val="0"/>
          <w:numId w:val="0"/>
        </w:numPr>
        <w:jc w:val="left"/>
        <w:rPr>
          <w:sz w:val="28"/>
          <w:szCs w:val="30"/>
          <w:highlight w:val="none"/>
        </w:rPr>
      </w:pPr>
      <w:r>
        <w:rPr>
          <w:rFonts w:hint="eastAsia"/>
          <w:sz w:val="28"/>
          <w:szCs w:val="30"/>
          <w:highlight w:val="none"/>
        </w:rPr>
        <w:t>附件一：项目验收报告</w:t>
      </w:r>
    </w:p>
    <w:p w14:paraId="21FCB83E">
      <w:pPr>
        <w:adjustRightInd w:val="0"/>
        <w:snapToGrid w:val="0"/>
        <w:spacing w:after="200"/>
        <w:jc w:val="center"/>
        <w:rPr>
          <w:rFonts w:ascii="宋体" w:hAnsi="宋体" w:eastAsia="微软雅黑"/>
          <w:b/>
          <w:bCs/>
          <w:sz w:val="36"/>
          <w:szCs w:val="36"/>
          <w:highlight w:val="none"/>
        </w:rPr>
      </w:pPr>
      <w:r>
        <w:rPr>
          <w:rFonts w:hint="eastAsia" w:ascii="宋体" w:hAnsi="宋体" w:eastAsia="微软雅黑"/>
          <w:b/>
          <w:bCs/>
          <w:sz w:val="36"/>
          <w:szCs w:val="36"/>
          <w:highlight w:val="none"/>
          <w:u w:val="single"/>
        </w:rPr>
        <w:t xml:space="preserve">        </w:t>
      </w:r>
      <w:r>
        <w:rPr>
          <w:rFonts w:hint="eastAsia" w:ascii="宋体" w:hAnsi="宋体" w:eastAsia="微软雅黑"/>
          <w:b/>
          <w:bCs/>
          <w:sz w:val="36"/>
          <w:szCs w:val="36"/>
          <w:highlight w:val="none"/>
        </w:rPr>
        <w:t>项目验收报告</w:t>
      </w:r>
    </w:p>
    <w:p w14:paraId="1C185E7C">
      <w:pPr>
        <w:adjustRightInd w:val="0"/>
        <w:snapToGrid w:val="0"/>
        <w:spacing w:after="200"/>
        <w:ind w:right="844"/>
        <w:jc w:val="center"/>
        <w:rPr>
          <w:rFonts w:ascii="宋体" w:hAnsi="宋体" w:eastAsia="微软雅黑"/>
          <w:b/>
          <w:bCs/>
          <w:sz w:val="22"/>
          <w:szCs w:val="21"/>
          <w:highlight w:val="none"/>
        </w:rPr>
      </w:pPr>
      <w:r>
        <w:rPr>
          <w:rFonts w:hint="eastAsia" w:ascii="宋体" w:hAnsi="宋体" w:eastAsia="微软雅黑"/>
          <w:b/>
          <w:bCs/>
          <w:sz w:val="22"/>
          <w:szCs w:val="21"/>
          <w:highlight w:val="none"/>
        </w:rPr>
        <w:t>年    月    日</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5419"/>
      </w:tblGrid>
      <w:tr w14:paraId="0D34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402BE2AA">
            <w:pPr>
              <w:adjustRightInd w:val="0"/>
              <w:snapToGrid w:val="0"/>
              <w:spacing w:after="200"/>
              <w:jc w:val="center"/>
              <w:rPr>
                <w:rFonts w:ascii="宋体" w:hAnsi="宋体" w:eastAsia="微软雅黑"/>
                <w:sz w:val="22"/>
                <w:highlight w:val="none"/>
              </w:rPr>
            </w:pPr>
            <w:r>
              <w:rPr>
                <w:rFonts w:hint="eastAsia" w:ascii="宋体" w:hAnsi="宋体" w:eastAsia="微软雅黑"/>
                <w:sz w:val="22"/>
                <w:szCs w:val="22"/>
                <w:highlight w:val="none"/>
              </w:rPr>
              <w:t>甲方</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16EAB43E">
            <w:pPr>
              <w:adjustRightInd w:val="0"/>
              <w:snapToGrid w:val="0"/>
              <w:spacing w:after="200"/>
              <w:ind w:firstLine="2860" w:firstLineChars="1300"/>
              <w:jc w:val="center"/>
              <w:rPr>
                <w:rFonts w:ascii="宋体" w:hAnsi="宋体" w:eastAsia="微软雅黑"/>
                <w:sz w:val="22"/>
                <w:highlight w:val="none"/>
              </w:rPr>
            </w:pPr>
            <w:r>
              <w:rPr>
                <w:rFonts w:hint="eastAsia" w:ascii="宋体" w:hAnsi="宋体" w:eastAsia="微软雅黑"/>
                <w:sz w:val="22"/>
                <w:szCs w:val="22"/>
                <w:highlight w:val="none"/>
              </w:rPr>
              <w:t>医院</w:t>
            </w:r>
          </w:p>
        </w:tc>
      </w:tr>
      <w:tr w14:paraId="279A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00DD95A7">
            <w:pPr>
              <w:adjustRightInd w:val="0"/>
              <w:snapToGrid w:val="0"/>
              <w:spacing w:after="200"/>
              <w:jc w:val="center"/>
              <w:rPr>
                <w:rFonts w:ascii="宋体" w:hAnsi="宋体" w:eastAsia="微软雅黑"/>
                <w:sz w:val="22"/>
                <w:highlight w:val="none"/>
              </w:rPr>
            </w:pPr>
            <w:r>
              <w:rPr>
                <w:rFonts w:hint="eastAsia" w:ascii="宋体" w:hAnsi="宋体" w:eastAsia="微软雅黑"/>
                <w:sz w:val="22"/>
                <w:szCs w:val="22"/>
                <w:highlight w:val="none"/>
              </w:rPr>
              <w:t>合同号</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5C317AC7">
            <w:pPr>
              <w:adjustRightInd w:val="0"/>
              <w:snapToGrid w:val="0"/>
              <w:spacing w:after="200"/>
              <w:jc w:val="center"/>
              <w:rPr>
                <w:rFonts w:ascii="宋体" w:hAnsi="宋体" w:eastAsia="微软雅黑"/>
                <w:sz w:val="22"/>
                <w:highlight w:val="none"/>
              </w:rPr>
            </w:pPr>
          </w:p>
        </w:tc>
      </w:tr>
      <w:tr w14:paraId="49E9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5D0EFE91">
            <w:pPr>
              <w:adjustRightInd w:val="0"/>
              <w:snapToGrid w:val="0"/>
              <w:spacing w:after="200"/>
              <w:jc w:val="center"/>
              <w:rPr>
                <w:rFonts w:ascii="宋体" w:hAnsi="宋体" w:eastAsia="微软雅黑"/>
                <w:sz w:val="22"/>
                <w:highlight w:val="none"/>
              </w:rPr>
            </w:pPr>
            <w:r>
              <w:rPr>
                <w:rFonts w:hint="eastAsia" w:ascii="宋体" w:hAnsi="宋体" w:eastAsia="微软雅黑"/>
                <w:sz w:val="22"/>
                <w:szCs w:val="22"/>
                <w:highlight w:val="none"/>
              </w:rPr>
              <w:t>合同名称</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449842E6">
            <w:pPr>
              <w:adjustRightInd w:val="0"/>
              <w:snapToGrid w:val="0"/>
              <w:spacing w:after="200"/>
              <w:jc w:val="center"/>
              <w:rPr>
                <w:rFonts w:ascii="宋体" w:hAnsi="宋体" w:eastAsia="微软雅黑"/>
                <w:sz w:val="22"/>
                <w:highlight w:val="none"/>
              </w:rPr>
            </w:pPr>
          </w:p>
        </w:tc>
      </w:tr>
      <w:tr w14:paraId="59C5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66EEEDF8">
            <w:pPr>
              <w:adjustRightInd w:val="0"/>
              <w:snapToGrid w:val="0"/>
              <w:spacing w:after="200"/>
              <w:jc w:val="center"/>
              <w:rPr>
                <w:rFonts w:ascii="宋体" w:hAnsi="宋体" w:eastAsia="微软雅黑"/>
                <w:sz w:val="22"/>
                <w:highlight w:val="none"/>
              </w:rPr>
            </w:pPr>
            <w:r>
              <w:rPr>
                <w:rFonts w:hint="eastAsia" w:ascii="宋体" w:hAnsi="宋体" w:eastAsia="微软雅黑"/>
                <w:sz w:val="22"/>
                <w:szCs w:val="22"/>
                <w:highlight w:val="none"/>
              </w:rPr>
              <w:t>甲方项目负责人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009457F2">
            <w:pPr>
              <w:adjustRightInd w:val="0"/>
              <w:snapToGrid w:val="0"/>
              <w:spacing w:after="200"/>
              <w:jc w:val="center"/>
              <w:rPr>
                <w:rFonts w:ascii="宋体" w:hAnsi="宋体" w:eastAsia="微软雅黑"/>
                <w:sz w:val="22"/>
                <w:highlight w:val="none"/>
              </w:rPr>
            </w:pPr>
          </w:p>
        </w:tc>
      </w:tr>
      <w:tr w14:paraId="3C65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0BB03DDA">
            <w:pPr>
              <w:adjustRightInd w:val="0"/>
              <w:snapToGrid w:val="0"/>
              <w:spacing w:after="200"/>
              <w:jc w:val="center"/>
              <w:rPr>
                <w:rFonts w:ascii="宋体" w:hAnsi="宋体" w:eastAsia="微软雅黑"/>
                <w:sz w:val="22"/>
                <w:highlight w:val="none"/>
              </w:rPr>
            </w:pPr>
            <w:r>
              <w:rPr>
                <w:rFonts w:hint="eastAsia" w:ascii="宋体" w:hAnsi="宋体" w:eastAsia="微软雅黑"/>
                <w:sz w:val="22"/>
                <w:szCs w:val="22"/>
                <w:highlight w:val="none"/>
              </w:rPr>
              <w:t>乙方项目负责人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4E09FBF6">
            <w:pPr>
              <w:adjustRightInd w:val="0"/>
              <w:snapToGrid w:val="0"/>
              <w:spacing w:after="200"/>
              <w:jc w:val="center"/>
              <w:rPr>
                <w:rFonts w:ascii="宋体" w:hAnsi="宋体" w:eastAsia="微软雅黑"/>
                <w:sz w:val="22"/>
                <w:highlight w:val="none"/>
              </w:rPr>
            </w:pPr>
          </w:p>
        </w:tc>
      </w:tr>
      <w:tr w14:paraId="5EC9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14:paraId="5B1052E2">
            <w:pPr>
              <w:adjustRightInd w:val="0"/>
              <w:snapToGrid w:val="0"/>
              <w:spacing w:after="200"/>
              <w:jc w:val="center"/>
              <w:rPr>
                <w:rFonts w:ascii="宋体" w:hAnsi="宋体" w:eastAsia="微软雅黑"/>
                <w:sz w:val="22"/>
                <w:highlight w:val="none"/>
              </w:rPr>
            </w:pPr>
            <w:r>
              <w:rPr>
                <w:rFonts w:hint="eastAsia" w:ascii="宋体" w:hAnsi="宋体" w:eastAsia="微软雅黑"/>
                <w:sz w:val="22"/>
                <w:szCs w:val="22"/>
                <w:highlight w:val="none"/>
              </w:rPr>
              <w:t>验收参加人员</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5B403132">
            <w:pPr>
              <w:adjustRightInd w:val="0"/>
              <w:snapToGrid w:val="0"/>
              <w:spacing w:after="200"/>
              <w:jc w:val="left"/>
              <w:rPr>
                <w:rFonts w:ascii="宋体" w:hAnsi="宋体" w:eastAsia="微软雅黑"/>
                <w:sz w:val="22"/>
                <w:highlight w:val="none"/>
              </w:rPr>
            </w:pPr>
            <w:r>
              <w:rPr>
                <w:rFonts w:hint="eastAsia" w:ascii="宋体" w:hAnsi="宋体" w:eastAsia="微软雅黑"/>
                <w:sz w:val="22"/>
                <w:szCs w:val="22"/>
                <w:highlight w:val="none"/>
              </w:rPr>
              <w:t>甲方：</w:t>
            </w:r>
          </w:p>
          <w:p w14:paraId="78DFBC80">
            <w:pPr>
              <w:adjustRightInd w:val="0"/>
              <w:snapToGrid w:val="0"/>
              <w:spacing w:after="200"/>
              <w:jc w:val="left"/>
              <w:rPr>
                <w:rFonts w:ascii="宋体" w:hAnsi="宋体" w:eastAsia="微软雅黑"/>
                <w:sz w:val="22"/>
                <w:highlight w:val="none"/>
              </w:rPr>
            </w:pPr>
            <w:r>
              <w:rPr>
                <w:rFonts w:hint="eastAsia" w:ascii="宋体" w:hAnsi="宋体" w:eastAsia="微软雅黑"/>
                <w:sz w:val="22"/>
                <w:szCs w:val="22"/>
                <w:highlight w:val="none"/>
              </w:rPr>
              <w:t>乙方：</w:t>
            </w:r>
          </w:p>
        </w:tc>
      </w:tr>
      <w:tr w14:paraId="4C89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2" w:type="dxa"/>
            <w:gridSpan w:val="3"/>
            <w:tcBorders>
              <w:top w:val="single" w:color="auto" w:sz="4" w:space="0"/>
              <w:left w:val="single" w:color="auto" w:sz="4" w:space="0"/>
              <w:bottom w:val="single" w:color="auto" w:sz="4" w:space="0"/>
              <w:right w:val="single" w:color="auto" w:sz="4" w:space="0"/>
            </w:tcBorders>
            <w:noWrap w:val="0"/>
            <w:vAlign w:val="center"/>
          </w:tcPr>
          <w:p w14:paraId="27D005DF">
            <w:pPr>
              <w:adjustRightInd w:val="0"/>
              <w:snapToGrid w:val="0"/>
              <w:spacing w:after="200"/>
              <w:jc w:val="center"/>
              <w:rPr>
                <w:rFonts w:ascii="宋体" w:hAnsi="宋体" w:eastAsia="微软雅黑"/>
                <w:b/>
                <w:sz w:val="22"/>
                <w:highlight w:val="none"/>
              </w:rPr>
            </w:pPr>
            <w:r>
              <w:rPr>
                <w:rFonts w:hint="eastAsia" w:ascii="宋体" w:hAnsi="宋体" w:eastAsia="微软雅黑"/>
                <w:b/>
                <w:sz w:val="22"/>
                <w:szCs w:val="22"/>
                <w:highlight w:val="none"/>
              </w:rPr>
              <w:t>主要完成工作</w:t>
            </w:r>
          </w:p>
        </w:tc>
      </w:tr>
      <w:tr w14:paraId="633A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Borders>
              <w:top w:val="single" w:color="auto" w:sz="4" w:space="0"/>
              <w:left w:val="single" w:color="auto" w:sz="4" w:space="0"/>
              <w:bottom w:val="single" w:color="auto" w:sz="4" w:space="0"/>
              <w:right w:val="single" w:color="auto" w:sz="4" w:space="0"/>
            </w:tcBorders>
            <w:noWrap w:val="0"/>
            <w:vAlign w:val="center"/>
          </w:tcPr>
          <w:p w14:paraId="1394FBC6">
            <w:pPr>
              <w:adjustRightInd w:val="0"/>
              <w:snapToGrid w:val="0"/>
              <w:spacing w:after="200"/>
              <w:jc w:val="left"/>
              <w:rPr>
                <w:rFonts w:ascii="宋体" w:hAnsi="宋体" w:eastAsia="微软雅黑"/>
                <w:sz w:val="22"/>
                <w:szCs w:val="22"/>
                <w:highlight w:val="none"/>
              </w:rPr>
            </w:pPr>
            <w:r>
              <w:rPr>
                <w:rFonts w:hint="eastAsia" w:ascii="宋体" w:hAnsi="宋体" w:eastAsia="微软雅黑"/>
                <w:sz w:val="22"/>
                <w:szCs w:val="22"/>
                <w:highlight w:val="none"/>
              </w:rPr>
              <w:t>1.乙方协助甲方，完成项目入场前的软件、硬件准备工作。</w:t>
            </w:r>
          </w:p>
          <w:p w14:paraId="7C31298D">
            <w:pPr>
              <w:adjustRightInd w:val="0"/>
              <w:snapToGrid w:val="0"/>
              <w:spacing w:after="200"/>
              <w:jc w:val="left"/>
              <w:rPr>
                <w:rFonts w:ascii="宋体" w:hAnsi="宋体" w:eastAsia="微软雅黑"/>
                <w:sz w:val="22"/>
                <w:szCs w:val="22"/>
                <w:highlight w:val="none"/>
              </w:rPr>
            </w:pPr>
            <w:r>
              <w:rPr>
                <w:rFonts w:hint="eastAsia" w:ascii="宋体" w:hAnsi="宋体" w:eastAsia="微软雅黑"/>
                <w:sz w:val="22"/>
                <w:szCs w:val="22"/>
                <w:highlight w:val="none"/>
              </w:rPr>
              <w:t>2.乙方系统经安装调试符合《销售合同》的要求。</w:t>
            </w:r>
          </w:p>
          <w:p w14:paraId="1491F12A">
            <w:pPr>
              <w:adjustRightInd w:val="0"/>
              <w:snapToGrid w:val="0"/>
              <w:spacing w:after="200"/>
              <w:jc w:val="left"/>
              <w:rPr>
                <w:rFonts w:ascii="宋体" w:hAnsi="宋体" w:eastAsia="微软雅黑"/>
                <w:sz w:val="22"/>
                <w:szCs w:val="22"/>
                <w:highlight w:val="none"/>
              </w:rPr>
            </w:pPr>
            <w:r>
              <w:rPr>
                <w:rFonts w:hint="eastAsia" w:ascii="宋体" w:hAnsi="宋体" w:eastAsia="微软雅黑"/>
                <w:sz w:val="22"/>
                <w:szCs w:val="22"/>
                <w:highlight w:val="none"/>
              </w:rPr>
              <w:t>3.乙方完成甲方相关应用人员及维护人员的培训工作。</w:t>
            </w:r>
          </w:p>
          <w:p w14:paraId="7F99F271">
            <w:pPr>
              <w:adjustRightInd w:val="0"/>
              <w:snapToGrid w:val="0"/>
              <w:spacing w:after="200"/>
              <w:jc w:val="left"/>
              <w:rPr>
                <w:rFonts w:ascii="宋体" w:hAnsi="宋体"/>
                <w:szCs w:val="22"/>
                <w:highlight w:val="none"/>
              </w:rPr>
            </w:pPr>
            <w:r>
              <w:rPr>
                <w:rFonts w:hint="eastAsia" w:ascii="宋体" w:hAnsi="宋体" w:eastAsia="微软雅黑"/>
                <w:sz w:val="22"/>
                <w:szCs w:val="22"/>
                <w:highlight w:val="none"/>
              </w:rPr>
              <w:t>4.乙方在项目撤场阶段与甲方信息科或临床科室项目负责人已完成相关文档资料移交。</w:t>
            </w:r>
          </w:p>
        </w:tc>
      </w:tr>
      <w:tr w14:paraId="7824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14:paraId="2E0F8F42">
            <w:pPr>
              <w:adjustRightInd w:val="0"/>
              <w:snapToGrid w:val="0"/>
              <w:spacing w:after="200"/>
              <w:jc w:val="center"/>
              <w:rPr>
                <w:rFonts w:ascii="宋体" w:hAnsi="宋体" w:eastAsia="微软雅黑"/>
                <w:b/>
                <w:sz w:val="22"/>
                <w:highlight w:val="none"/>
              </w:rPr>
            </w:pPr>
            <w:r>
              <w:rPr>
                <w:rFonts w:hint="eastAsia" w:ascii="宋体" w:hAnsi="宋体" w:eastAsia="微软雅黑"/>
                <w:b/>
                <w:sz w:val="22"/>
                <w:szCs w:val="22"/>
                <w:highlight w:val="none"/>
              </w:rPr>
              <w:t>甲方验收意见</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2D0EA61F">
            <w:pPr>
              <w:adjustRightInd w:val="0"/>
              <w:snapToGrid w:val="0"/>
              <w:spacing w:after="200"/>
              <w:jc w:val="center"/>
              <w:rPr>
                <w:rFonts w:ascii="宋体" w:hAnsi="宋体" w:eastAsia="微软雅黑"/>
                <w:sz w:val="22"/>
                <w:highlight w:val="none"/>
              </w:rPr>
            </w:pPr>
          </w:p>
        </w:tc>
      </w:tr>
      <w:tr w14:paraId="5385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14:paraId="2729033F">
            <w:pPr>
              <w:adjustRightInd w:val="0"/>
              <w:snapToGrid w:val="0"/>
              <w:spacing w:after="200"/>
              <w:jc w:val="center"/>
              <w:rPr>
                <w:rFonts w:ascii="宋体" w:hAnsi="宋体" w:eastAsia="微软雅黑"/>
                <w:b/>
                <w:sz w:val="22"/>
                <w:highlight w:val="none"/>
              </w:rPr>
            </w:pPr>
            <w:r>
              <w:rPr>
                <w:rFonts w:hint="eastAsia" w:ascii="宋体" w:hAnsi="宋体" w:eastAsia="微软雅黑"/>
                <w:b/>
                <w:sz w:val="22"/>
                <w:szCs w:val="22"/>
                <w:highlight w:val="none"/>
              </w:rPr>
              <w:t>甲方代表签字（盖章）</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3B167090">
            <w:pPr>
              <w:adjustRightInd w:val="0"/>
              <w:snapToGrid w:val="0"/>
              <w:spacing w:after="200"/>
              <w:jc w:val="center"/>
              <w:rPr>
                <w:rFonts w:ascii="宋体" w:hAnsi="宋体" w:eastAsia="微软雅黑"/>
                <w:b/>
                <w:sz w:val="22"/>
                <w:highlight w:val="none"/>
              </w:rPr>
            </w:pPr>
            <w:r>
              <w:rPr>
                <w:rFonts w:hint="eastAsia" w:ascii="宋体" w:hAnsi="宋体" w:eastAsia="微软雅黑"/>
                <w:b/>
                <w:sz w:val="22"/>
                <w:szCs w:val="22"/>
                <w:highlight w:val="none"/>
              </w:rPr>
              <w:t>乙方代表签字（盖章）</w:t>
            </w:r>
          </w:p>
        </w:tc>
      </w:tr>
    </w:tbl>
    <w:p w14:paraId="6775EE5D">
      <w:pPr>
        <w:pStyle w:val="7"/>
        <w:ind w:firstLine="643"/>
        <w:rPr>
          <w:b/>
          <w:bCs/>
          <w:sz w:val="32"/>
          <w:szCs w:val="32"/>
          <w:highlight w:val="none"/>
        </w:rPr>
      </w:pPr>
    </w:p>
    <w:p w14:paraId="3DD43D80">
      <w:pPr>
        <w:pStyle w:val="7"/>
        <w:rPr>
          <w:highlight w:val="none"/>
        </w:rPr>
      </w:pPr>
    </w:p>
    <w:p w14:paraId="4FBAEE8F">
      <w:pPr>
        <w:pStyle w:val="10"/>
        <w:rPr>
          <w:highlight w:val="none"/>
        </w:rPr>
      </w:pPr>
    </w:p>
    <w:p w14:paraId="290D4AB5">
      <w:pPr>
        <w:rPr>
          <w:rFonts w:hint="eastAsia" w:ascii="仿宋" w:hAnsi="仿宋" w:eastAsia="仿宋" w:cs="仿宋"/>
          <w:b/>
          <w:color w:val="auto"/>
          <w:kern w:val="0"/>
          <w:sz w:val="28"/>
          <w:szCs w:val="28"/>
          <w:highlight w:val="none"/>
        </w:rPr>
      </w:pPr>
    </w:p>
    <w:p w14:paraId="0055FC42">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05150A2C">
      <w:pPr>
        <w:pStyle w:val="12"/>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361CACAA">
      <w:pPr>
        <w:pStyle w:val="12"/>
        <w:adjustRightInd w:val="0"/>
        <w:snapToGrid w:val="0"/>
        <w:spacing w:line="440" w:lineRule="exact"/>
        <w:jc w:val="center"/>
        <w:rPr>
          <w:rFonts w:hint="eastAsia" w:ascii="仿宋" w:hAnsi="仿宋" w:eastAsia="仿宋" w:cs="仿宋"/>
          <w:b/>
          <w:color w:val="auto"/>
          <w:kern w:val="0"/>
          <w:sz w:val="28"/>
          <w:szCs w:val="28"/>
          <w:highlight w:val="none"/>
        </w:rPr>
      </w:pPr>
    </w:p>
    <w:p w14:paraId="476AE226">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5FC450BD">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4F82FC85">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628E1EFC">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0D822A2D">
      <w:pPr>
        <w:spacing w:line="360" w:lineRule="auto"/>
        <w:ind w:left="-930" w:firstLine="480"/>
        <w:rPr>
          <w:rFonts w:ascii="仿宋" w:hAnsi="仿宋" w:eastAsia="仿宋" w:cs="仿宋"/>
          <w:b/>
          <w:bCs/>
          <w:color w:val="auto"/>
          <w:sz w:val="24"/>
          <w:highlight w:val="none"/>
          <w:u w:val="single"/>
        </w:rPr>
      </w:pPr>
    </w:p>
    <w:p w14:paraId="3171DA2F">
      <w:pPr>
        <w:spacing w:line="360" w:lineRule="auto"/>
        <w:ind w:left="-930" w:firstLine="480"/>
        <w:rPr>
          <w:rFonts w:ascii="仿宋" w:hAnsi="仿宋" w:eastAsia="仿宋" w:cs="仿宋"/>
          <w:b/>
          <w:bCs/>
          <w:color w:val="auto"/>
          <w:sz w:val="24"/>
          <w:highlight w:val="none"/>
          <w:u w:val="single"/>
        </w:rPr>
      </w:pPr>
    </w:p>
    <w:p w14:paraId="4C785418">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443A4F2B">
      <w:pPr>
        <w:pStyle w:val="12"/>
        <w:adjustRightInd w:val="0"/>
        <w:snapToGrid w:val="0"/>
        <w:spacing w:line="360" w:lineRule="auto"/>
        <w:jc w:val="center"/>
        <w:rPr>
          <w:rFonts w:hint="eastAsia" w:ascii="仿宋" w:hAnsi="仿宋" w:eastAsia="仿宋" w:cs="仿宋"/>
          <w:b/>
          <w:color w:val="auto"/>
          <w:kern w:val="0"/>
          <w:sz w:val="72"/>
          <w:szCs w:val="72"/>
          <w:highlight w:val="none"/>
        </w:rPr>
      </w:pPr>
    </w:p>
    <w:p w14:paraId="2089F149">
      <w:pPr>
        <w:pStyle w:val="12"/>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199FED35">
      <w:pPr>
        <w:pStyle w:val="12"/>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04830265">
      <w:pPr>
        <w:pStyle w:val="12"/>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403FA096">
      <w:pPr>
        <w:pStyle w:val="12"/>
        <w:adjustRightInd w:val="0"/>
        <w:snapToGrid w:val="0"/>
        <w:spacing w:line="360" w:lineRule="auto"/>
        <w:rPr>
          <w:rFonts w:hint="eastAsia" w:ascii="仿宋" w:hAnsi="仿宋" w:eastAsia="仿宋" w:cs="仿宋"/>
          <w:b/>
          <w:color w:val="auto"/>
          <w:kern w:val="0"/>
          <w:sz w:val="24"/>
          <w:szCs w:val="24"/>
          <w:highlight w:val="none"/>
        </w:rPr>
      </w:pPr>
    </w:p>
    <w:p w14:paraId="02225B26">
      <w:pPr>
        <w:pStyle w:val="12"/>
        <w:adjustRightInd w:val="0"/>
        <w:snapToGrid w:val="0"/>
        <w:spacing w:line="440" w:lineRule="exact"/>
        <w:rPr>
          <w:rFonts w:hint="eastAsia" w:ascii="仿宋" w:hAnsi="仿宋" w:eastAsia="仿宋" w:cs="仿宋"/>
          <w:b/>
          <w:color w:val="auto"/>
          <w:kern w:val="0"/>
          <w:sz w:val="24"/>
          <w:szCs w:val="24"/>
          <w:highlight w:val="none"/>
        </w:rPr>
      </w:pPr>
    </w:p>
    <w:p w14:paraId="57B377FA">
      <w:pPr>
        <w:pStyle w:val="12"/>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73C12CD1">
      <w:pPr>
        <w:pStyle w:val="12"/>
        <w:spacing w:line="360" w:lineRule="auto"/>
        <w:rPr>
          <w:rFonts w:hint="eastAsia" w:ascii="仿宋" w:hAnsi="仿宋" w:eastAsia="仿宋" w:cs="仿宋"/>
          <w:b/>
          <w:color w:val="auto"/>
          <w:sz w:val="28"/>
          <w:szCs w:val="28"/>
          <w:highlight w:val="none"/>
        </w:rPr>
      </w:pPr>
    </w:p>
    <w:p w14:paraId="6F86CD10">
      <w:pPr>
        <w:pStyle w:val="12"/>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79470E95">
      <w:pPr>
        <w:pStyle w:val="12"/>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3F042591">
      <w:pPr>
        <w:pStyle w:val="12"/>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74C6CD1E">
      <w:pPr>
        <w:pStyle w:val="12"/>
        <w:adjustRightInd w:val="0"/>
        <w:snapToGrid w:val="0"/>
        <w:spacing w:line="440" w:lineRule="exact"/>
        <w:rPr>
          <w:rFonts w:hint="eastAsia" w:ascii="仿宋" w:hAnsi="仿宋" w:eastAsia="仿宋" w:cs="仿宋"/>
          <w:b/>
          <w:color w:val="auto"/>
          <w:kern w:val="0"/>
          <w:sz w:val="24"/>
          <w:szCs w:val="24"/>
          <w:highlight w:val="none"/>
        </w:rPr>
      </w:pPr>
    </w:p>
    <w:p w14:paraId="10B6E89D">
      <w:pPr>
        <w:pStyle w:val="12"/>
        <w:adjustRightInd w:val="0"/>
        <w:snapToGrid w:val="0"/>
        <w:spacing w:line="440" w:lineRule="exact"/>
        <w:rPr>
          <w:rFonts w:hint="eastAsia" w:ascii="仿宋" w:hAnsi="仿宋" w:eastAsia="仿宋" w:cs="仿宋"/>
          <w:b/>
          <w:color w:val="auto"/>
          <w:kern w:val="0"/>
          <w:sz w:val="24"/>
          <w:szCs w:val="24"/>
          <w:highlight w:val="none"/>
        </w:rPr>
      </w:pPr>
    </w:p>
    <w:p w14:paraId="49AF6963">
      <w:pPr>
        <w:pStyle w:val="12"/>
        <w:adjustRightInd w:val="0"/>
        <w:snapToGrid w:val="0"/>
        <w:spacing w:line="440" w:lineRule="exact"/>
        <w:rPr>
          <w:rFonts w:hint="eastAsia" w:ascii="仿宋" w:hAnsi="仿宋" w:eastAsia="仿宋" w:cs="仿宋"/>
          <w:b/>
          <w:color w:val="auto"/>
          <w:kern w:val="0"/>
          <w:sz w:val="24"/>
          <w:szCs w:val="24"/>
          <w:highlight w:val="none"/>
        </w:rPr>
      </w:pPr>
    </w:p>
    <w:p w14:paraId="13E122BB">
      <w:pPr>
        <w:pStyle w:val="12"/>
        <w:adjustRightInd w:val="0"/>
        <w:snapToGrid w:val="0"/>
        <w:spacing w:line="440" w:lineRule="exact"/>
        <w:rPr>
          <w:rFonts w:hint="eastAsia" w:ascii="仿宋" w:hAnsi="仿宋" w:eastAsia="仿宋" w:cs="仿宋"/>
          <w:b/>
          <w:color w:val="auto"/>
          <w:kern w:val="0"/>
          <w:sz w:val="24"/>
          <w:szCs w:val="24"/>
          <w:highlight w:val="none"/>
        </w:rPr>
      </w:pPr>
    </w:p>
    <w:p w14:paraId="06D6F772">
      <w:pPr>
        <w:pStyle w:val="12"/>
        <w:adjustRightInd w:val="0"/>
        <w:snapToGrid w:val="0"/>
        <w:spacing w:line="440" w:lineRule="exact"/>
        <w:rPr>
          <w:rFonts w:hint="eastAsia" w:ascii="仿宋" w:hAnsi="仿宋" w:eastAsia="仿宋" w:cs="仿宋"/>
          <w:b/>
          <w:color w:val="auto"/>
          <w:kern w:val="0"/>
          <w:sz w:val="24"/>
          <w:szCs w:val="24"/>
          <w:highlight w:val="none"/>
        </w:rPr>
      </w:pPr>
    </w:p>
    <w:p w14:paraId="6DB622DB">
      <w:pPr>
        <w:pStyle w:val="12"/>
        <w:adjustRightInd w:val="0"/>
        <w:snapToGrid w:val="0"/>
        <w:spacing w:line="440" w:lineRule="exact"/>
        <w:rPr>
          <w:rFonts w:hint="eastAsia" w:ascii="仿宋" w:hAnsi="仿宋" w:eastAsia="仿宋" w:cs="仿宋"/>
          <w:b/>
          <w:color w:val="auto"/>
          <w:kern w:val="0"/>
          <w:sz w:val="24"/>
          <w:szCs w:val="24"/>
          <w:highlight w:val="none"/>
        </w:rPr>
      </w:pPr>
    </w:p>
    <w:p w14:paraId="334EE457">
      <w:pPr>
        <w:pStyle w:val="12"/>
        <w:adjustRightInd w:val="0"/>
        <w:snapToGrid w:val="0"/>
        <w:spacing w:line="440" w:lineRule="exact"/>
        <w:rPr>
          <w:rFonts w:hint="eastAsia" w:ascii="仿宋" w:hAnsi="仿宋" w:eastAsia="仿宋" w:cs="仿宋"/>
          <w:b/>
          <w:color w:val="auto"/>
          <w:kern w:val="0"/>
          <w:sz w:val="24"/>
          <w:szCs w:val="24"/>
          <w:highlight w:val="none"/>
        </w:rPr>
      </w:pPr>
    </w:p>
    <w:p w14:paraId="03CB5CE4">
      <w:pPr>
        <w:pStyle w:val="12"/>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14:paraId="0B9183A5">
      <w:pPr>
        <w:pStyle w:val="12"/>
        <w:adjustRightInd w:val="0"/>
        <w:snapToGrid w:val="0"/>
        <w:spacing w:line="440" w:lineRule="exact"/>
        <w:rPr>
          <w:rFonts w:hint="eastAsia" w:ascii="仿宋" w:hAnsi="仿宋" w:eastAsia="仿宋" w:cs="仿宋"/>
          <w:b/>
          <w:color w:val="auto"/>
          <w:kern w:val="0"/>
          <w:sz w:val="24"/>
          <w:szCs w:val="24"/>
          <w:highlight w:val="none"/>
        </w:rPr>
      </w:pPr>
    </w:p>
    <w:p w14:paraId="72867F9C">
      <w:pPr>
        <w:pStyle w:val="12"/>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4FE2AC97">
      <w:pPr>
        <w:pStyle w:val="12"/>
        <w:adjustRightInd w:val="0"/>
        <w:snapToGrid w:val="0"/>
        <w:spacing w:line="440" w:lineRule="exact"/>
        <w:rPr>
          <w:rFonts w:hint="eastAsia"/>
          <w:color w:val="auto"/>
          <w:highlight w:val="none"/>
        </w:rPr>
      </w:pPr>
      <w:r>
        <w:rPr>
          <w:color w:val="auto"/>
          <w:highlight w:val="none"/>
        </w:rPr>
        <w:br w:type="page"/>
      </w:r>
      <w:r>
        <w:rPr>
          <w:rFonts w:hint="eastAsia" w:ascii="仿宋" w:hAnsi="仿宋" w:eastAsia="仿宋" w:cs="仿宋"/>
          <w:b/>
          <w:bCs/>
          <w:color w:val="auto"/>
          <w:sz w:val="28"/>
          <w:highlight w:val="none"/>
        </w:rPr>
        <w:t>1 资格性/符合性自查表</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9"/>
        <w:gridCol w:w="3787"/>
        <w:gridCol w:w="1777"/>
        <w:gridCol w:w="1276"/>
      </w:tblGrid>
      <w:tr w14:paraId="720A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2"/>
            <w:noWrap w:val="0"/>
            <w:vAlign w:val="top"/>
          </w:tcPr>
          <w:p w14:paraId="5767D49D">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3787" w:type="dxa"/>
            <w:noWrap w:val="0"/>
            <w:vAlign w:val="center"/>
          </w:tcPr>
          <w:p w14:paraId="25517C0B">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777" w:type="dxa"/>
            <w:noWrap w:val="0"/>
            <w:vAlign w:val="center"/>
          </w:tcPr>
          <w:p w14:paraId="41435371">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76" w:type="dxa"/>
            <w:noWrap w:val="0"/>
            <w:vAlign w:val="center"/>
          </w:tcPr>
          <w:p w14:paraId="52692D35">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6B68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14:paraId="438E3F57">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529" w:type="dxa"/>
            <w:noWrap w:val="0"/>
            <w:vAlign w:val="center"/>
          </w:tcPr>
          <w:p w14:paraId="79E1CF6B">
            <w:pPr>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3787" w:type="dxa"/>
            <w:noWrap w:val="0"/>
            <w:vAlign w:val="center"/>
          </w:tcPr>
          <w:p w14:paraId="0ABE8ACA">
            <w:pPr>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c>
          <w:tcPr>
            <w:tcW w:w="1777" w:type="dxa"/>
            <w:noWrap w:val="0"/>
            <w:vAlign w:val="center"/>
          </w:tcPr>
          <w:p w14:paraId="47E98E2B">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51B82454">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42B9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3C3708A7">
            <w:pPr>
              <w:jc w:val="center"/>
              <w:rPr>
                <w:rFonts w:hint="eastAsia"/>
                <w:color w:val="auto"/>
                <w:highlight w:val="none"/>
              </w:rPr>
            </w:pPr>
          </w:p>
        </w:tc>
        <w:tc>
          <w:tcPr>
            <w:tcW w:w="1529" w:type="dxa"/>
            <w:noWrap w:val="0"/>
            <w:vAlign w:val="center"/>
          </w:tcPr>
          <w:p w14:paraId="2D8F5EB2">
            <w:pPr>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3787" w:type="dxa"/>
            <w:noWrap w:val="0"/>
            <w:vAlign w:val="center"/>
          </w:tcPr>
          <w:p w14:paraId="7B52EA5D">
            <w:pPr>
              <w:ind w:left="40" w:leftChars="19"/>
              <w:jc w:val="left"/>
              <w:rPr>
                <w:rFonts w:hint="eastAsia"/>
                <w:color w:val="auto"/>
                <w:highlight w:val="none"/>
              </w:rPr>
            </w:pPr>
            <w:r>
              <w:rPr>
                <w:rFonts w:hint="eastAsia" w:ascii="仿宋" w:hAnsi="仿宋" w:eastAsia="仿宋" w:cs="仿宋"/>
                <w:color w:val="auto"/>
                <w:szCs w:val="21"/>
                <w:highlight w:val="none"/>
              </w:rPr>
              <w:t>按对应格式文件签署、盖章</w:t>
            </w:r>
          </w:p>
        </w:tc>
        <w:tc>
          <w:tcPr>
            <w:tcW w:w="1777" w:type="dxa"/>
            <w:noWrap w:val="0"/>
            <w:vAlign w:val="center"/>
          </w:tcPr>
          <w:p w14:paraId="2C085E25">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77CC9FE8">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60D6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F785EE2">
            <w:pPr>
              <w:jc w:val="center"/>
              <w:rPr>
                <w:rFonts w:hint="eastAsia"/>
                <w:color w:val="auto"/>
                <w:highlight w:val="none"/>
              </w:rPr>
            </w:pPr>
          </w:p>
        </w:tc>
        <w:tc>
          <w:tcPr>
            <w:tcW w:w="1529" w:type="dxa"/>
            <w:noWrap w:val="0"/>
            <w:vAlign w:val="center"/>
          </w:tcPr>
          <w:p w14:paraId="71D6F2C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准入条件</w:t>
            </w:r>
          </w:p>
          <w:p w14:paraId="0C263961">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3787" w:type="dxa"/>
            <w:noWrap w:val="0"/>
            <w:vAlign w:val="top"/>
          </w:tcPr>
          <w:p w14:paraId="4A3BC7E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593E1F0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476BD13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14:paraId="1B026D3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截止时间前一年内任意一个月的依法缴纳税收证明材料（如依法免税，则须提供相应文件证明其依法免税）；</w:t>
            </w:r>
          </w:p>
          <w:p w14:paraId="1BECF98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截止时间前一年内任意一个月的依法缴纳社会保险凭据（如依法不需要缴纳社保，则须提供相应文件证明其依法不需要缴纳）；</w:t>
            </w:r>
          </w:p>
          <w:p w14:paraId="2F3F5BC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79354238">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619C8DE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0215560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14:paraId="01FD308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14:paraId="2801653E">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5.本项目不接受联合体参加比选，不允许响应供应商对各比选项目进行分包或转包(供应商出具声明函)</w:t>
            </w:r>
            <w:r>
              <w:rPr>
                <w:rFonts w:hint="eastAsia" w:ascii="仿宋" w:hAnsi="仿宋" w:eastAsia="仿宋" w:cs="仿宋"/>
                <w:color w:val="auto"/>
                <w:szCs w:val="21"/>
                <w:highlight w:val="none"/>
                <w:lang w:val="zh-CN" w:eastAsia="zh-CN"/>
              </w:rPr>
              <w:t>。</w:t>
            </w:r>
          </w:p>
          <w:p w14:paraId="094626D0">
            <w:pPr>
              <w:spacing w:line="380" w:lineRule="exact"/>
              <w:ind w:left="40" w:leftChars="19"/>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val="zh-CN" w:eastAsia="zh-CN"/>
              </w:rPr>
              <w:t>.</w:t>
            </w:r>
            <w:r>
              <w:rPr>
                <w:rFonts w:hint="eastAsia" w:ascii="仿宋" w:hAnsi="仿宋" w:eastAsia="仿宋" w:cs="仿宋"/>
                <w:color w:val="auto"/>
                <w:szCs w:val="21"/>
                <w:highlight w:val="none"/>
                <w:lang w:val="zh-CN"/>
              </w:rPr>
              <w:t>本项目专门面向中小企业采购(供应商出具声明函</w:t>
            </w:r>
            <w:r>
              <w:rPr>
                <w:rFonts w:hint="eastAsia" w:ascii="仿宋" w:hAnsi="仿宋" w:eastAsia="仿宋" w:cs="仿宋"/>
                <w:color w:val="auto"/>
                <w:szCs w:val="21"/>
                <w:highlight w:val="none"/>
                <w:lang w:val="en-US" w:eastAsia="zh-CN"/>
              </w:rPr>
              <w:t>,格式自拟)</w:t>
            </w:r>
            <w:r>
              <w:rPr>
                <w:rFonts w:hint="eastAsia" w:ascii="仿宋" w:hAnsi="仿宋" w:eastAsia="仿宋" w:cs="仿宋"/>
                <w:color w:val="auto"/>
                <w:szCs w:val="21"/>
                <w:highlight w:val="none"/>
                <w:lang w:val="zh-CN"/>
              </w:rPr>
              <w:t>。本项目中小企业</w:t>
            </w:r>
            <w:r>
              <w:rPr>
                <w:rFonts w:hint="eastAsia" w:ascii="仿宋" w:hAnsi="仿宋" w:eastAsia="仿宋" w:cs="仿宋"/>
                <w:color w:val="auto"/>
                <w:szCs w:val="21"/>
                <w:highlight w:val="none"/>
                <w:lang w:val="zh-CN" w:eastAsia="zh-CN"/>
              </w:rPr>
              <w:t>。</w:t>
            </w:r>
            <w:r>
              <w:rPr>
                <w:rFonts w:hint="eastAsia" w:ascii="仿宋" w:hAnsi="仿宋" w:eastAsia="仿宋" w:cs="仿宋"/>
                <w:color w:val="auto"/>
                <w:szCs w:val="21"/>
                <w:highlight w:val="none"/>
                <w:lang w:val="zh-CN"/>
              </w:rPr>
              <w:t>划分标准所属行业为：</w:t>
            </w:r>
            <w:r>
              <w:rPr>
                <w:rFonts w:hint="eastAsia" w:ascii="仿宋" w:hAnsi="仿宋" w:eastAsia="仿宋" w:cs="仿宋"/>
                <w:color w:val="auto"/>
                <w:szCs w:val="21"/>
                <w:highlight w:val="none"/>
                <w:lang w:val="en-US" w:eastAsia="zh-CN"/>
              </w:rPr>
              <w:t>软件和信息技术服务业。</w:t>
            </w:r>
          </w:p>
          <w:p w14:paraId="764C0944">
            <w:pPr>
              <w:spacing w:line="380" w:lineRule="exact"/>
              <w:ind w:left="40" w:leftChars="19"/>
              <w:jc w:val="left"/>
              <w:rPr>
                <w:rFonts w:hint="eastAsia" w:eastAsia="宋体"/>
                <w:color w:val="auto"/>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val="zh-CN" w:eastAsia="zh-CN"/>
              </w:rPr>
              <w:t>.</w:t>
            </w:r>
            <w:r>
              <w:rPr>
                <w:rFonts w:hint="eastAsia" w:ascii="仿宋" w:hAnsi="仿宋" w:eastAsia="仿宋" w:cs="仿宋"/>
                <w:color w:val="auto"/>
                <w:szCs w:val="21"/>
                <w:highlight w:val="none"/>
                <w:lang w:val="zh-CN"/>
              </w:rPr>
              <w:t>已在</w:t>
            </w:r>
            <w:r>
              <w:rPr>
                <w:rFonts w:hint="eastAsia" w:ascii="仿宋" w:hAnsi="仿宋" w:eastAsia="仿宋" w:cs="仿宋"/>
                <w:color w:val="auto"/>
                <w:szCs w:val="21"/>
                <w:highlight w:val="none"/>
                <w:lang w:val="zh-CN" w:eastAsia="zh-CN"/>
              </w:rPr>
              <w:t>招采办</w:t>
            </w:r>
            <w:r>
              <w:rPr>
                <w:rFonts w:hint="eastAsia" w:ascii="仿宋" w:hAnsi="仿宋" w:eastAsia="仿宋" w:cs="仿宋"/>
                <w:color w:val="auto"/>
                <w:szCs w:val="21"/>
                <w:highlight w:val="none"/>
                <w:lang w:val="zh-CN"/>
              </w:rPr>
              <w:t>报名。</w:t>
            </w:r>
          </w:p>
        </w:tc>
        <w:tc>
          <w:tcPr>
            <w:tcW w:w="1777" w:type="dxa"/>
            <w:noWrap w:val="0"/>
            <w:vAlign w:val="center"/>
          </w:tcPr>
          <w:p w14:paraId="7B8A3A24">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32CB1E7C">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7168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21B321A">
            <w:pPr>
              <w:jc w:val="center"/>
              <w:rPr>
                <w:rFonts w:hint="eastAsia"/>
                <w:color w:val="auto"/>
                <w:highlight w:val="none"/>
              </w:rPr>
            </w:pPr>
          </w:p>
        </w:tc>
        <w:tc>
          <w:tcPr>
            <w:tcW w:w="1529" w:type="dxa"/>
            <w:noWrap w:val="0"/>
            <w:vAlign w:val="center"/>
          </w:tcPr>
          <w:p w14:paraId="6A167028">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3787" w:type="dxa"/>
            <w:noWrap w:val="0"/>
            <w:vAlign w:val="top"/>
          </w:tcPr>
          <w:p w14:paraId="30157042">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777" w:type="dxa"/>
            <w:noWrap w:val="0"/>
            <w:vAlign w:val="center"/>
          </w:tcPr>
          <w:p w14:paraId="598DE36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498B3979">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611C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4DD786F1">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529" w:type="dxa"/>
            <w:noWrap w:val="0"/>
            <w:vAlign w:val="center"/>
          </w:tcPr>
          <w:p w14:paraId="430493D5">
            <w:pPr>
              <w:ind w:left="-171"/>
              <w:jc w:val="center"/>
              <w:rPr>
                <w:rFonts w:hint="eastAsia"/>
                <w:color w:val="auto"/>
                <w:highlight w:val="none"/>
              </w:rPr>
            </w:pPr>
            <w:r>
              <w:rPr>
                <w:rFonts w:hint="eastAsia" w:ascii="仿宋" w:hAnsi="仿宋" w:eastAsia="仿宋" w:cs="仿宋"/>
                <w:color w:val="auto"/>
                <w:szCs w:val="21"/>
                <w:highlight w:val="none"/>
              </w:rPr>
              <w:t>商务要求评审</w:t>
            </w:r>
          </w:p>
        </w:tc>
        <w:tc>
          <w:tcPr>
            <w:tcW w:w="3787" w:type="dxa"/>
            <w:noWrap w:val="0"/>
            <w:vAlign w:val="center"/>
          </w:tcPr>
          <w:p w14:paraId="7D7196CB">
            <w:pPr>
              <w:tabs>
                <w:tab w:val="left" w:pos="2880"/>
              </w:tabs>
              <w:jc w:val="left"/>
              <w:rPr>
                <w:rFonts w:hint="eastAsia"/>
                <w:color w:val="auto"/>
                <w:highlight w:val="none"/>
              </w:rPr>
            </w:pPr>
            <w:r>
              <w:rPr>
                <w:rFonts w:hint="eastAsia" w:ascii="仿宋" w:hAnsi="仿宋" w:eastAsia="仿宋" w:cs="仿宋"/>
                <w:color w:val="auto"/>
                <w:szCs w:val="21"/>
                <w:highlight w:val="none"/>
              </w:rPr>
              <w:t>实质性（“★”项）商务条款是否全部完全响应</w:t>
            </w:r>
          </w:p>
        </w:tc>
        <w:tc>
          <w:tcPr>
            <w:tcW w:w="1777" w:type="dxa"/>
            <w:noWrap w:val="0"/>
            <w:vAlign w:val="center"/>
          </w:tcPr>
          <w:p w14:paraId="4D6B3EB8">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715CAD6A">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6574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1903D69C">
            <w:pPr>
              <w:rPr>
                <w:rFonts w:hint="eastAsia"/>
                <w:color w:val="auto"/>
                <w:highlight w:val="none"/>
              </w:rPr>
            </w:pPr>
          </w:p>
        </w:tc>
        <w:tc>
          <w:tcPr>
            <w:tcW w:w="1529" w:type="dxa"/>
            <w:noWrap w:val="0"/>
            <w:vAlign w:val="center"/>
          </w:tcPr>
          <w:p w14:paraId="5D16DB70">
            <w:pPr>
              <w:ind w:left="-171"/>
              <w:jc w:val="center"/>
              <w:rPr>
                <w:rFonts w:hint="eastAsia"/>
                <w:color w:val="auto"/>
                <w:highlight w:val="none"/>
              </w:rPr>
            </w:pP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要求评审</w:t>
            </w:r>
          </w:p>
        </w:tc>
        <w:tc>
          <w:tcPr>
            <w:tcW w:w="3787" w:type="dxa"/>
            <w:noWrap w:val="0"/>
            <w:vAlign w:val="center"/>
          </w:tcPr>
          <w:p w14:paraId="17240807">
            <w:pPr>
              <w:tabs>
                <w:tab w:val="left" w:pos="2880"/>
              </w:tabs>
              <w:ind w:left="40" w:leftChars="19"/>
              <w:jc w:val="left"/>
              <w:rPr>
                <w:rFonts w:hint="eastAsia"/>
                <w:color w:val="auto"/>
                <w:highlight w:val="none"/>
              </w:rPr>
            </w:pPr>
            <w:r>
              <w:rPr>
                <w:rFonts w:hint="eastAsia" w:ascii="仿宋" w:hAnsi="仿宋" w:eastAsia="仿宋" w:cs="仿宋"/>
                <w:color w:val="auto"/>
                <w:szCs w:val="21"/>
                <w:highlight w:val="none"/>
              </w:rPr>
              <w:t>实质性（“★”项）</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要求条款是否全部完全响应</w:t>
            </w:r>
          </w:p>
        </w:tc>
        <w:tc>
          <w:tcPr>
            <w:tcW w:w="1777" w:type="dxa"/>
            <w:noWrap w:val="0"/>
            <w:vAlign w:val="center"/>
          </w:tcPr>
          <w:p w14:paraId="298C5BD8">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7EC7CA41">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75A9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226F0B37">
            <w:pPr>
              <w:rPr>
                <w:rFonts w:hint="eastAsia"/>
                <w:color w:val="auto"/>
                <w:highlight w:val="none"/>
              </w:rPr>
            </w:pPr>
          </w:p>
        </w:tc>
        <w:tc>
          <w:tcPr>
            <w:tcW w:w="1529" w:type="dxa"/>
            <w:noWrap w:val="0"/>
            <w:vAlign w:val="center"/>
          </w:tcPr>
          <w:p w14:paraId="5F245E09">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3787" w:type="dxa"/>
            <w:noWrap w:val="0"/>
            <w:vAlign w:val="center"/>
          </w:tcPr>
          <w:p w14:paraId="55670410">
            <w:pPr>
              <w:tabs>
                <w:tab w:val="left" w:pos="2880"/>
              </w:tabs>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报价方案是唯一确定、报价合理。如有分项报价要求，各分项报价不得高于各分项最高预算单价，合计总报价是固定唯一价且无超出采购预算或最高限价</w:t>
            </w:r>
          </w:p>
        </w:tc>
        <w:tc>
          <w:tcPr>
            <w:tcW w:w="1777" w:type="dxa"/>
            <w:noWrap w:val="0"/>
            <w:vAlign w:val="center"/>
          </w:tcPr>
          <w:p w14:paraId="7BA4EE62">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6BE4B077">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2FB99FC2">
      <w:pPr>
        <w:rPr>
          <w:rFonts w:hint="eastAsia"/>
          <w:color w:val="auto"/>
          <w:highlight w:val="none"/>
        </w:rPr>
      </w:pPr>
    </w:p>
    <w:p w14:paraId="17DDAEB7">
      <w:pPr>
        <w:pStyle w:val="9"/>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14:paraId="06BFA931">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C37960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F7ED7D6">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076C85E">
      <w:pPr>
        <w:pStyle w:val="12"/>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7"/>
        <w:tblW w:w="8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5760"/>
        <w:gridCol w:w="1455"/>
      </w:tblGrid>
      <w:tr w14:paraId="669F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72" w:type="dxa"/>
            <w:noWrap w:val="0"/>
            <w:vAlign w:val="center"/>
          </w:tcPr>
          <w:p w14:paraId="51F9D940">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评审分项</w:t>
            </w:r>
          </w:p>
          <w:p w14:paraId="5AA31228">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（评分标准）</w:t>
            </w:r>
          </w:p>
        </w:tc>
        <w:tc>
          <w:tcPr>
            <w:tcW w:w="5760" w:type="dxa"/>
            <w:noWrap w:val="0"/>
            <w:vAlign w:val="center"/>
          </w:tcPr>
          <w:p w14:paraId="5D7F929B">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评审内容</w:t>
            </w:r>
          </w:p>
        </w:tc>
        <w:tc>
          <w:tcPr>
            <w:tcW w:w="1455" w:type="dxa"/>
            <w:noWrap w:val="0"/>
            <w:vAlign w:val="center"/>
          </w:tcPr>
          <w:p w14:paraId="1553C267">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证明文件</w:t>
            </w:r>
          </w:p>
        </w:tc>
      </w:tr>
      <w:tr w14:paraId="1CF3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72" w:type="dxa"/>
            <w:noWrap w:val="0"/>
            <w:vAlign w:val="center"/>
          </w:tcPr>
          <w:p w14:paraId="264F77DC">
            <w:pPr>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报价情况</w:t>
            </w:r>
          </w:p>
        </w:tc>
        <w:tc>
          <w:tcPr>
            <w:tcW w:w="5760" w:type="dxa"/>
            <w:noWrap w:val="0"/>
            <w:vAlign w:val="center"/>
          </w:tcPr>
          <w:p w14:paraId="303B3572">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报价得分=（基准价/响应报价）×价格权值×100（以最低报价为基准价）</w:t>
            </w:r>
          </w:p>
        </w:tc>
        <w:tc>
          <w:tcPr>
            <w:tcW w:w="1455" w:type="dxa"/>
            <w:noWrap w:val="0"/>
            <w:vAlign w:val="center"/>
          </w:tcPr>
          <w:p w14:paraId="6A7C4559">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448C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72" w:type="dxa"/>
            <w:noWrap w:val="0"/>
            <w:vAlign w:val="center"/>
          </w:tcPr>
          <w:p w14:paraId="71168DE5">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对“服务要求”的响应程度（▲号条款）</w:t>
            </w:r>
          </w:p>
        </w:tc>
        <w:tc>
          <w:tcPr>
            <w:tcW w:w="5760" w:type="dxa"/>
            <w:noWrap w:val="0"/>
            <w:vAlign w:val="center"/>
          </w:tcPr>
          <w:p w14:paraId="1AEA05E2">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所投产品参数全部满足“服务要求”中带▲的重要参数，得18分； ①有一项不满足带▲的重要参数的得16分； ②有二项不满足带▲的重要参数的得14分； ③有三项不满足带▲的重要参数的得12分； 以此类推，当带▲号条款负偏离达到9项（含）以上时，视为严重偏离此评分项不得分。</w:t>
            </w:r>
          </w:p>
          <w:p w14:paraId="35927BB9">
            <w:pPr>
              <w:jc w:val="center"/>
              <w:rPr>
                <w:rFonts w:hint="eastAsia" w:ascii="仿宋" w:hAnsi="仿宋" w:eastAsia="仿宋" w:cs="仿宋"/>
                <w:b w:val="0"/>
                <w:bCs w:val="0"/>
                <w:color w:val="auto"/>
                <w:sz w:val="21"/>
                <w:szCs w:val="21"/>
                <w:highlight w:val="none"/>
              </w:rPr>
            </w:pPr>
          </w:p>
          <w:p w14:paraId="5BAF6A4D">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响应文件未要求提供证明材料的技术参数，以投标文件格式技术和服务要求响应表为准。。</w:t>
            </w:r>
          </w:p>
        </w:tc>
        <w:tc>
          <w:tcPr>
            <w:tcW w:w="1455" w:type="dxa"/>
            <w:noWrap w:val="0"/>
            <w:vAlign w:val="center"/>
          </w:tcPr>
          <w:p w14:paraId="0CEE3023">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6A5A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72" w:type="dxa"/>
            <w:noWrap w:val="0"/>
            <w:vAlign w:val="center"/>
          </w:tcPr>
          <w:p w14:paraId="7B8358C7">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对本项目的熟悉程度</w:t>
            </w:r>
          </w:p>
        </w:tc>
        <w:tc>
          <w:tcPr>
            <w:tcW w:w="5760" w:type="dxa"/>
            <w:noWrap w:val="0"/>
            <w:vAlign w:val="center"/>
          </w:tcPr>
          <w:p w14:paraId="69F94891">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根据响应供应商对本项目的熟悉程度（包括但不限于对本项目维护系统的熟悉程度、技术要点的了解和工作思路等）进行评分：</w:t>
            </w:r>
          </w:p>
          <w:p w14:paraId="0B0DC604">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对本项目维护系统的熟悉程度高、技术要点的了解程度高、工作思路清晰的得10分；</w:t>
            </w:r>
          </w:p>
          <w:p w14:paraId="578B7247">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对本项目维护系统的熟悉程度较高、技术要点的了解程度较高、工作思路较清晰的得7分；</w:t>
            </w:r>
          </w:p>
          <w:p w14:paraId="5F18BDDF">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对本项目维护系统的熟悉程度一般、技术要点的了解程度一般、工作思路基本清晰的得4分；</w:t>
            </w:r>
          </w:p>
          <w:p w14:paraId="0DA1B079">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无提供不得分。</w:t>
            </w:r>
          </w:p>
        </w:tc>
        <w:tc>
          <w:tcPr>
            <w:tcW w:w="1455" w:type="dxa"/>
            <w:noWrap w:val="0"/>
            <w:vAlign w:val="center"/>
          </w:tcPr>
          <w:p w14:paraId="1BFDB708">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见响应文件第（      ）页</w:t>
            </w:r>
          </w:p>
        </w:tc>
      </w:tr>
      <w:tr w14:paraId="4F18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46F39771">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项目组织计划</w:t>
            </w:r>
          </w:p>
        </w:tc>
        <w:tc>
          <w:tcPr>
            <w:tcW w:w="5760" w:type="dxa"/>
            <w:noWrap w:val="0"/>
            <w:vAlign w:val="center"/>
          </w:tcPr>
          <w:p w14:paraId="713DB7E8">
            <w:pPr>
              <w:jc w:val="center"/>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zh-CN" w:eastAsia="zh-CN"/>
              </w:rPr>
              <w:t>根据响应供应商提供的</w:t>
            </w:r>
            <w:r>
              <w:rPr>
                <w:rFonts w:hint="eastAsia" w:ascii="仿宋" w:hAnsi="仿宋" w:eastAsia="仿宋" w:cs="仿宋"/>
                <w:b w:val="0"/>
                <w:bCs w:val="0"/>
                <w:color w:val="auto"/>
                <w:sz w:val="21"/>
                <w:szCs w:val="21"/>
                <w:highlight w:val="none"/>
                <w:lang w:val="en-US" w:eastAsia="zh-CN"/>
              </w:rPr>
              <w:t>维保</w:t>
            </w:r>
            <w:r>
              <w:rPr>
                <w:rFonts w:hint="eastAsia" w:ascii="仿宋" w:hAnsi="仿宋" w:eastAsia="仿宋" w:cs="仿宋"/>
                <w:b w:val="0"/>
                <w:bCs w:val="0"/>
                <w:color w:val="auto"/>
                <w:sz w:val="21"/>
                <w:szCs w:val="21"/>
                <w:highlight w:val="none"/>
                <w:lang w:val="zh-CN" w:eastAsia="zh-CN"/>
              </w:rPr>
              <w:t>服务组织计划（包括但不限于技术人员安排、流程规定等因素）进行评分：</w:t>
            </w:r>
          </w:p>
          <w:p w14:paraId="7D2D63CB">
            <w:pPr>
              <w:jc w:val="center"/>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zh-CN" w:eastAsia="zh-CN"/>
              </w:rPr>
              <w:t>提供优质的服务，制定的</w:t>
            </w:r>
            <w:r>
              <w:rPr>
                <w:rFonts w:hint="eastAsia" w:ascii="仿宋" w:hAnsi="仿宋" w:eastAsia="仿宋" w:cs="仿宋"/>
                <w:b w:val="0"/>
                <w:bCs w:val="0"/>
                <w:color w:val="auto"/>
                <w:sz w:val="21"/>
                <w:szCs w:val="21"/>
                <w:highlight w:val="none"/>
                <w:lang w:val="en-US" w:eastAsia="zh-CN"/>
              </w:rPr>
              <w:t>维保</w:t>
            </w:r>
            <w:r>
              <w:rPr>
                <w:rFonts w:hint="eastAsia" w:ascii="仿宋" w:hAnsi="仿宋" w:eastAsia="仿宋" w:cs="仿宋"/>
                <w:b w:val="0"/>
                <w:bCs w:val="0"/>
                <w:color w:val="auto"/>
                <w:sz w:val="21"/>
                <w:szCs w:val="21"/>
                <w:highlight w:val="none"/>
                <w:lang w:val="zh-CN" w:eastAsia="zh-CN"/>
              </w:rPr>
              <w:t>服务组织计划非常合理完整的，得</w:t>
            </w:r>
            <w:r>
              <w:rPr>
                <w:rFonts w:hint="eastAsia"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 w:val="21"/>
                <w:szCs w:val="21"/>
                <w:highlight w:val="none"/>
                <w:lang w:val="zh-CN" w:eastAsia="zh-CN"/>
              </w:rPr>
              <w:t>分；</w:t>
            </w:r>
          </w:p>
          <w:p w14:paraId="4B138CB6">
            <w:pPr>
              <w:jc w:val="center"/>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zh-CN" w:eastAsia="zh-CN"/>
              </w:rPr>
              <w:t>提供良好的服务，制定的</w:t>
            </w:r>
            <w:r>
              <w:rPr>
                <w:rFonts w:hint="eastAsia" w:ascii="仿宋" w:hAnsi="仿宋" w:eastAsia="仿宋" w:cs="仿宋"/>
                <w:b w:val="0"/>
                <w:bCs w:val="0"/>
                <w:color w:val="auto"/>
                <w:sz w:val="21"/>
                <w:szCs w:val="21"/>
                <w:highlight w:val="none"/>
                <w:lang w:val="en-US" w:eastAsia="zh-CN"/>
              </w:rPr>
              <w:t>维保</w:t>
            </w:r>
            <w:r>
              <w:rPr>
                <w:rFonts w:hint="eastAsia" w:ascii="仿宋" w:hAnsi="仿宋" w:eastAsia="仿宋" w:cs="仿宋"/>
                <w:b w:val="0"/>
                <w:bCs w:val="0"/>
                <w:color w:val="auto"/>
                <w:sz w:val="21"/>
                <w:szCs w:val="21"/>
                <w:highlight w:val="none"/>
                <w:lang w:val="zh-CN" w:eastAsia="zh-CN"/>
              </w:rPr>
              <w:t>服务组织计划合理完整的，得</w:t>
            </w:r>
            <w:r>
              <w:rPr>
                <w:rFonts w:hint="eastAsia" w:ascii="仿宋" w:hAnsi="仿宋" w:eastAsia="仿宋" w:cs="仿宋"/>
                <w:b w:val="0"/>
                <w:bCs w:val="0"/>
                <w:color w:val="auto"/>
                <w:sz w:val="21"/>
                <w:szCs w:val="21"/>
                <w:highlight w:val="none"/>
                <w:lang w:val="en-US" w:eastAsia="zh-CN"/>
              </w:rPr>
              <w:t>7</w:t>
            </w:r>
            <w:r>
              <w:rPr>
                <w:rFonts w:hint="eastAsia" w:ascii="仿宋" w:hAnsi="仿宋" w:eastAsia="仿宋" w:cs="仿宋"/>
                <w:b w:val="0"/>
                <w:bCs w:val="0"/>
                <w:color w:val="auto"/>
                <w:sz w:val="21"/>
                <w:szCs w:val="21"/>
                <w:highlight w:val="none"/>
                <w:lang w:val="zh-CN" w:eastAsia="zh-CN"/>
              </w:rPr>
              <w:t>分；</w:t>
            </w:r>
          </w:p>
          <w:p w14:paraId="7D587E1F">
            <w:pPr>
              <w:jc w:val="center"/>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zh-CN" w:eastAsia="zh-CN"/>
              </w:rPr>
              <w:t>提供的服务一般，制定的</w:t>
            </w:r>
            <w:r>
              <w:rPr>
                <w:rFonts w:hint="eastAsia" w:ascii="仿宋" w:hAnsi="仿宋" w:eastAsia="仿宋" w:cs="仿宋"/>
                <w:b w:val="0"/>
                <w:bCs w:val="0"/>
                <w:color w:val="auto"/>
                <w:sz w:val="21"/>
                <w:szCs w:val="21"/>
                <w:highlight w:val="none"/>
                <w:lang w:val="en-US" w:eastAsia="zh-CN"/>
              </w:rPr>
              <w:t>维保</w:t>
            </w:r>
            <w:r>
              <w:rPr>
                <w:rFonts w:hint="eastAsia" w:ascii="仿宋" w:hAnsi="仿宋" w:eastAsia="仿宋" w:cs="仿宋"/>
                <w:b w:val="0"/>
                <w:bCs w:val="0"/>
                <w:color w:val="auto"/>
                <w:sz w:val="21"/>
                <w:szCs w:val="21"/>
                <w:highlight w:val="none"/>
                <w:lang w:val="zh-CN" w:eastAsia="zh-CN"/>
              </w:rPr>
              <w:t>服务组织计划较合理完整的，得</w:t>
            </w: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val="zh-CN" w:eastAsia="zh-CN"/>
              </w:rPr>
              <w:t>分；</w:t>
            </w:r>
          </w:p>
          <w:p w14:paraId="2B9A6DD9">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zh-CN" w:eastAsia="zh-CN"/>
              </w:rPr>
              <w:t xml:space="preserve">无提供不得分。 </w:t>
            </w:r>
          </w:p>
        </w:tc>
        <w:tc>
          <w:tcPr>
            <w:tcW w:w="1455" w:type="dxa"/>
            <w:noWrap w:val="0"/>
            <w:vAlign w:val="center"/>
          </w:tcPr>
          <w:p w14:paraId="6DF6C056">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129C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0357FAC3">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质量保证措施</w:t>
            </w:r>
            <w:r>
              <w:rPr>
                <w:rFonts w:hint="eastAsia" w:ascii="仿宋" w:hAnsi="仿宋" w:eastAsia="仿宋" w:cs="仿宋"/>
                <w:b w:val="0"/>
                <w:bCs w:val="0"/>
                <w:color w:val="auto"/>
                <w:sz w:val="21"/>
                <w:szCs w:val="21"/>
                <w:highlight w:val="none"/>
                <w:lang w:val="zh-CN" w:eastAsia="zh-CN"/>
              </w:rPr>
              <w:t>方案</w:t>
            </w:r>
          </w:p>
        </w:tc>
        <w:tc>
          <w:tcPr>
            <w:tcW w:w="5760" w:type="dxa"/>
            <w:noWrap w:val="0"/>
            <w:vAlign w:val="center"/>
          </w:tcPr>
          <w:p w14:paraId="4597C55D">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根据响应供应商提供的质量保证措施方案进行评分：</w:t>
            </w:r>
          </w:p>
          <w:p w14:paraId="514E5840">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质量保证措施方案详细、具体、可行性强，得6分；</w:t>
            </w:r>
          </w:p>
          <w:p w14:paraId="66EEE0C8">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质量保证措施方案较详细、较具体、具有可行性，得4分；</w:t>
            </w:r>
          </w:p>
          <w:p w14:paraId="76C8A817">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质量保证措施方案一般，可行性一般，得2分；</w:t>
            </w:r>
          </w:p>
          <w:p w14:paraId="0D5344D1">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无提供不得分。</w:t>
            </w:r>
          </w:p>
        </w:tc>
        <w:tc>
          <w:tcPr>
            <w:tcW w:w="1455" w:type="dxa"/>
            <w:noWrap w:val="0"/>
            <w:vAlign w:val="center"/>
          </w:tcPr>
          <w:p w14:paraId="7CE935C6">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12E9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1855FDA9">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安全保证措施</w:t>
            </w:r>
          </w:p>
        </w:tc>
        <w:tc>
          <w:tcPr>
            <w:tcW w:w="5760" w:type="dxa"/>
            <w:noWrap w:val="0"/>
            <w:vAlign w:val="center"/>
          </w:tcPr>
          <w:p w14:paraId="122BE43D">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根据响应供应商提供的安全保障措施方案进行评分：</w:t>
            </w:r>
          </w:p>
          <w:p w14:paraId="77093985">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安全保障措施方案科学合理，可操作性强，针对性强，得8分；</w:t>
            </w:r>
          </w:p>
          <w:p w14:paraId="129F7144">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安全保障措施方案科学较合理，可操作性较强，针对性较强，得5分；</w:t>
            </w:r>
          </w:p>
          <w:p w14:paraId="127D5CA0">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安全保障措施方案科学基本合理，可操作性一般，针对性一般，得2分；</w:t>
            </w:r>
          </w:p>
          <w:p w14:paraId="2592678A">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无提供不得分。</w:t>
            </w:r>
          </w:p>
        </w:tc>
        <w:tc>
          <w:tcPr>
            <w:tcW w:w="1455" w:type="dxa"/>
            <w:noWrap w:val="0"/>
            <w:vAlign w:val="center"/>
          </w:tcPr>
          <w:p w14:paraId="7179B52E">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61CA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79F0FB29">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应急措施</w:t>
            </w:r>
          </w:p>
        </w:tc>
        <w:tc>
          <w:tcPr>
            <w:tcW w:w="5760" w:type="dxa"/>
            <w:noWrap w:val="0"/>
            <w:vAlign w:val="center"/>
          </w:tcPr>
          <w:p w14:paraId="3957AA6A">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根据响应供应商提供的应急保障措施进行评分：</w:t>
            </w:r>
          </w:p>
          <w:p w14:paraId="385F55E1">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应急保障措施科学完整合理，可操作性强，针对性强，得8分；</w:t>
            </w:r>
          </w:p>
          <w:p w14:paraId="562A68AD">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应急保障措施较科学完整合理，可操作性较强，针对性较强，得5分；</w:t>
            </w:r>
          </w:p>
          <w:p w14:paraId="612658F6">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应急保障措施一般，可操作性一般，针对性一般，得2分；</w:t>
            </w:r>
          </w:p>
          <w:p w14:paraId="71B3255E">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无提供不得分。</w:t>
            </w:r>
          </w:p>
        </w:tc>
        <w:tc>
          <w:tcPr>
            <w:tcW w:w="1455" w:type="dxa"/>
            <w:noWrap w:val="0"/>
            <w:vAlign w:val="center"/>
          </w:tcPr>
          <w:p w14:paraId="51296D39">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12B2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0FDD3294">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同类业绩情况</w:t>
            </w:r>
          </w:p>
        </w:tc>
        <w:tc>
          <w:tcPr>
            <w:tcW w:w="5760" w:type="dxa"/>
            <w:noWrap w:val="0"/>
            <w:vAlign w:val="center"/>
          </w:tcPr>
          <w:p w14:paraId="3C03C920">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根据投标人202</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年1月1日至今（以合同签订时间为准）的同类业绩情况进行评分，每提供一个业绩得</w:t>
            </w: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 w:val="21"/>
                <w:szCs w:val="21"/>
                <w:highlight w:val="none"/>
              </w:rPr>
              <w:t>分，本项最高得</w:t>
            </w:r>
            <w:r>
              <w:rPr>
                <w:rFonts w:hint="eastAsia"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 w:val="21"/>
                <w:szCs w:val="21"/>
                <w:highlight w:val="none"/>
              </w:rPr>
              <w:t>分。</w:t>
            </w:r>
          </w:p>
          <w:p w14:paraId="11912338">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c>
          <w:tcPr>
            <w:tcW w:w="1455" w:type="dxa"/>
            <w:noWrap w:val="0"/>
            <w:vAlign w:val="center"/>
          </w:tcPr>
          <w:p w14:paraId="33D25E12">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bl>
    <w:p w14:paraId="5FFCC448">
      <w:pPr>
        <w:jc w:val="center"/>
        <w:rPr>
          <w:rFonts w:hint="eastAsia" w:ascii="仿宋" w:hAnsi="仿宋" w:eastAsia="仿宋" w:cs="仿宋"/>
          <w:color w:val="auto"/>
          <w:sz w:val="24"/>
          <w:szCs w:val="24"/>
          <w:highlight w:val="none"/>
        </w:rPr>
      </w:pPr>
    </w:p>
    <w:p w14:paraId="3007424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895AF3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62BA3CDC">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EF29132">
      <w:pPr>
        <w:rPr>
          <w:rFonts w:hint="eastAsia" w:ascii="仿宋" w:hAnsi="仿宋" w:eastAsia="仿宋" w:cs="仿宋"/>
          <w:color w:val="auto"/>
          <w:sz w:val="24"/>
          <w:highlight w:val="none"/>
        </w:rPr>
      </w:pPr>
    </w:p>
    <w:p w14:paraId="1976C1B5">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8"/>
          <w:szCs w:val="28"/>
          <w:highlight w:val="none"/>
        </w:rPr>
        <w:t>3 资格性文件</w:t>
      </w:r>
    </w:p>
    <w:p w14:paraId="60FAE027">
      <w:pPr>
        <w:pStyle w:val="6"/>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562C50EF">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69C9B1B2">
      <w:pPr>
        <w:autoSpaceDE w:val="0"/>
        <w:autoSpaceDN w:val="0"/>
        <w:spacing w:line="3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07F77C2A">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4203165F">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7647D95B">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102557A5">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14:paraId="26016E12">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3703C8B0">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3FAAE84D">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4A70E74F">
      <w:pPr>
        <w:spacing w:line="3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213E9100">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6AAEA00A">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7F1E5581">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14:paraId="46FB0AB0">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79C2F922">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6257D3B2">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5DA88E81">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2A24122E">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7F1BCC27">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14:paraId="5A1AE09F">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14:paraId="09673864">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2AF66E58">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4B6FB83E">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1D42891C">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76D4B50F">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523CEB5A">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4CE6EB9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5992169F">
      <w:pPr>
        <w:rPr>
          <w:rFonts w:hint="eastAsia" w:ascii="仿宋" w:hAnsi="仿宋" w:eastAsia="仿宋" w:cs="仿宋"/>
          <w:color w:val="auto"/>
          <w:sz w:val="24"/>
          <w:highlight w:val="none"/>
        </w:rPr>
      </w:pPr>
    </w:p>
    <w:p w14:paraId="133F07C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14:paraId="317B6F41">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14:paraId="22C8D9BF">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14:paraId="09AC0798">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22BD1D08">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1B07823E">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72D66D52">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3A684876">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799302FF">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4DE45ABB">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3F6C37E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271183E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1FC0DCB4">
      <w:pPr>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1A010329">
      <w:pPr>
        <w:rPr>
          <w:rFonts w:hint="eastAsia" w:ascii="仿宋" w:hAnsi="仿宋" w:eastAsia="仿宋" w:cs="仿宋"/>
          <w:color w:val="auto"/>
          <w:sz w:val="28"/>
          <w:szCs w:val="28"/>
          <w:highlight w:val="none"/>
        </w:rPr>
      </w:pPr>
    </w:p>
    <w:p w14:paraId="0E9142F7">
      <w:pPr>
        <w:rPr>
          <w:rFonts w:hint="eastAsia" w:ascii="仿宋" w:hAnsi="仿宋" w:eastAsia="仿宋" w:cs="仿宋"/>
          <w:color w:val="auto"/>
          <w:sz w:val="28"/>
          <w:szCs w:val="28"/>
          <w:highlight w:val="none"/>
        </w:rPr>
      </w:pPr>
    </w:p>
    <w:p w14:paraId="5FB21814">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2D0F87DD">
      <w:pPr>
        <w:rPr>
          <w:rFonts w:hint="eastAsia" w:ascii="仿宋" w:hAnsi="仿宋" w:eastAsia="仿宋" w:cs="仿宋"/>
          <w:b/>
          <w:color w:val="auto"/>
          <w:sz w:val="28"/>
          <w:szCs w:val="28"/>
          <w:highlight w:val="none"/>
        </w:rPr>
      </w:pPr>
    </w:p>
    <w:p w14:paraId="04F63932">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51C9B28">
                            <w:pPr>
                              <w:jc w:val="center"/>
                              <w:rPr>
                                <w:rFonts w:hint="eastAsia" w:hAnsi="宋体"/>
                                <w:szCs w:val="21"/>
                              </w:rPr>
                            </w:pPr>
                          </w:p>
                          <w:p w14:paraId="2CB2140D">
                            <w:pPr>
                              <w:jc w:val="center"/>
                              <w:rPr>
                                <w:rFonts w:hint="eastAsia" w:hAnsi="宋体"/>
                                <w:szCs w:val="21"/>
                              </w:rPr>
                            </w:pPr>
                          </w:p>
                          <w:p w14:paraId="6D8BFCC1">
                            <w:pPr>
                              <w:jc w:val="center"/>
                              <w:rPr>
                                <w:rFonts w:hint="eastAsia" w:hAnsi="宋体"/>
                                <w:szCs w:val="21"/>
                              </w:rPr>
                            </w:pPr>
                          </w:p>
                          <w:p w14:paraId="3FCDCFA2">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751C9B28">
                      <w:pPr>
                        <w:jc w:val="center"/>
                        <w:rPr>
                          <w:rFonts w:hint="eastAsia" w:hAnsi="宋体"/>
                          <w:szCs w:val="21"/>
                        </w:rPr>
                      </w:pPr>
                    </w:p>
                    <w:p w14:paraId="2CB2140D">
                      <w:pPr>
                        <w:jc w:val="center"/>
                        <w:rPr>
                          <w:rFonts w:hint="eastAsia" w:hAnsi="宋体"/>
                          <w:szCs w:val="21"/>
                        </w:rPr>
                      </w:pPr>
                    </w:p>
                    <w:p w14:paraId="6D8BFCC1">
                      <w:pPr>
                        <w:jc w:val="center"/>
                        <w:rPr>
                          <w:rFonts w:hint="eastAsia" w:hAnsi="宋体"/>
                          <w:szCs w:val="21"/>
                        </w:rPr>
                      </w:pPr>
                    </w:p>
                    <w:p w14:paraId="3FCDCFA2">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32A1D64">
                            <w:pPr>
                              <w:jc w:val="center"/>
                              <w:rPr>
                                <w:rFonts w:hint="eastAsia" w:hAnsi="宋体"/>
                                <w:szCs w:val="21"/>
                              </w:rPr>
                            </w:pPr>
                          </w:p>
                          <w:p w14:paraId="28D5C155">
                            <w:pPr>
                              <w:jc w:val="center"/>
                              <w:rPr>
                                <w:rFonts w:hint="eastAsia" w:hAnsi="宋体"/>
                                <w:szCs w:val="21"/>
                              </w:rPr>
                            </w:pPr>
                          </w:p>
                          <w:p w14:paraId="4D3ABE4D">
                            <w:pPr>
                              <w:jc w:val="center"/>
                              <w:rPr>
                                <w:rFonts w:hint="eastAsia" w:hAnsi="宋体"/>
                                <w:szCs w:val="21"/>
                              </w:rPr>
                            </w:pPr>
                          </w:p>
                          <w:p w14:paraId="2770FD3D">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632A1D64">
                      <w:pPr>
                        <w:jc w:val="center"/>
                        <w:rPr>
                          <w:rFonts w:hint="eastAsia" w:hAnsi="宋体"/>
                          <w:szCs w:val="21"/>
                        </w:rPr>
                      </w:pPr>
                    </w:p>
                    <w:p w14:paraId="28D5C155">
                      <w:pPr>
                        <w:jc w:val="center"/>
                        <w:rPr>
                          <w:rFonts w:hint="eastAsia" w:hAnsi="宋体"/>
                          <w:szCs w:val="21"/>
                        </w:rPr>
                      </w:pPr>
                    </w:p>
                    <w:p w14:paraId="4D3ABE4D">
                      <w:pPr>
                        <w:jc w:val="center"/>
                        <w:rPr>
                          <w:rFonts w:hint="eastAsia" w:hAnsi="宋体"/>
                          <w:szCs w:val="21"/>
                        </w:rPr>
                      </w:pPr>
                    </w:p>
                    <w:p w14:paraId="2770FD3D">
                      <w:pPr>
                        <w:jc w:val="center"/>
                        <w:rPr>
                          <w:szCs w:val="21"/>
                        </w:rPr>
                      </w:pPr>
                      <w:r>
                        <w:rPr>
                          <w:rFonts w:hint="eastAsia" w:hAnsi="宋体"/>
                          <w:szCs w:val="21"/>
                        </w:rPr>
                        <w:t>法定代表人身份证复印件正面</w:t>
                      </w:r>
                    </w:p>
                  </w:txbxContent>
                </v:textbox>
              </v:shape>
            </w:pict>
          </mc:Fallback>
        </mc:AlternateContent>
      </w:r>
    </w:p>
    <w:p w14:paraId="34E54D97">
      <w:pPr>
        <w:rPr>
          <w:rFonts w:hint="eastAsia" w:ascii="仿宋" w:hAnsi="仿宋" w:eastAsia="仿宋" w:cs="仿宋"/>
          <w:b/>
          <w:color w:val="auto"/>
          <w:sz w:val="28"/>
          <w:szCs w:val="28"/>
          <w:highlight w:val="none"/>
        </w:rPr>
      </w:pPr>
    </w:p>
    <w:p w14:paraId="574EB4D3">
      <w:pPr>
        <w:spacing w:line="480" w:lineRule="exact"/>
        <w:rPr>
          <w:rFonts w:hint="eastAsia" w:ascii="仿宋" w:hAnsi="仿宋" w:eastAsia="仿宋" w:cs="仿宋"/>
          <w:b/>
          <w:color w:val="auto"/>
          <w:sz w:val="28"/>
          <w:szCs w:val="28"/>
          <w:highlight w:val="none"/>
        </w:rPr>
      </w:pPr>
    </w:p>
    <w:p w14:paraId="55E38785">
      <w:pPr>
        <w:spacing w:line="480" w:lineRule="exact"/>
        <w:rPr>
          <w:rFonts w:hint="eastAsia" w:ascii="仿宋" w:hAnsi="仿宋" w:eastAsia="仿宋" w:cs="仿宋"/>
          <w:b/>
          <w:color w:val="auto"/>
          <w:sz w:val="28"/>
          <w:szCs w:val="28"/>
          <w:highlight w:val="none"/>
        </w:rPr>
      </w:pPr>
    </w:p>
    <w:p w14:paraId="5E2250C7">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30F365CF">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1A6A3D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32271EC4">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14:paraId="605B76F1">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196DEE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14:paraId="684DBA7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14:paraId="42DA602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14:paraId="7628B971">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14:paraId="07CCC636">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03BFB9E2">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52A154E2">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1AE4AE1F">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4DAED182">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6D2BC522">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426B23A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6BEA17D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41E9BCDB">
      <w:pPr>
        <w:spacing w:line="480" w:lineRule="exact"/>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2A561348">
      <w:pPr>
        <w:spacing w:line="48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14:paraId="71A1D920">
      <w:pPr>
        <w:spacing w:line="440" w:lineRule="exact"/>
        <w:ind w:firstLine="736" w:firstLineChars="30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5.有效期限：必须超出响应文件中标注的响应有效期，自本单位盖公章之日起生效。</w:t>
      </w:r>
      <w:r>
        <w:rPr>
          <w:rFonts w:hint="eastAsia" w:ascii="仿宋" w:hAnsi="仿宋" w:eastAsia="仿宋" w:cs="仿宋"/>
          <w:color w:val="auto"/>
          <w:sz w:val="24"/>
          <w:highlight w:val="none"/>
          <w:lang w:val="en-US" w:eastAsia="zh-CN"/>
        </w:rPr>
        <w:t xml:space="preserve">  </w:t>
      </w:r>
    </w:p>
    <w:p w14:paraId="0FDA8092">
      <w:pPr>
        <w:spacing w:line="440" w:lineRule="exact"/>
        <w:ind w:firstLine="736"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14:paraId="31CD10E0">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CB0FD4F">
                            <w:pPr>
                              <w:jc w:val="center"/>
                              <w:rPr>
                                <w:rFonts w:hint="eastAsia" w:hAnsi="宋体"/>
                                <w:szCs w:val="21"/>
                              </w:rPr>
                            </w:pPr>
                          </w:p>
                          <w:p w14:paraId="4488FA9E">
                            <w:pPr>
                              <w:jc w:val="center"/>
                              <w:rPr>
                                <w:rFonts w:hint="eastAsia" w:hAnsi="宋体"/>
                                <w:szCs w:val="21"/>
                              </w:rPr>
                            </w:pPr>
                          </w:p>
                          <w:p w14:paraId="5E11DA47">
                            <w:pPr>
                              <w:jc w:val="center"/>
                              <w:rPr>
                                <w:rFonts w:hint="eastAsia" w:hAnsi="宋体"/>
                                <w:szCs w:val="21"/>
                              </w:rPr>
                            </w:pPr>
                          </w:p>
                          <w:p w14:paraId="17A64207">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7CB0FD4F">
                      <w:pPr>
                        <w:jc w:val="center"/>
                        <w:rPr>
                          <w:rFonts w:hint="eastAsia" w:hAnsi="宋体"/>
                          <w:szCs w:val="21"/>
                        </w:rPr>
                      </w:pPr>
                    </w:p>
                    <w:p w14:paraId="4488FA9E">
                      <w:pPr>
                        <w:jc w:val="center"/>
                        <w:rPr>
                          <w:rFonts w:hint="eastAsia" w:hAnsi="宋体"/>
                          <w:szCs w:val="21"/>
                        </w:rPr>
                      </w:pPr>
                    </w:p>
                    <w:p w14:paraId="5E11DA47">
                      <w:pPr>
                        <w:jc w:val="center"/>
                        <w:rPr>
                          <w:rFonts w:hint="eastAsia" w:hAnsi="宋体"/>
                          <w:szCs w:val="21"/>
                        </w:rPr>
                      </w:pPr>
                    </w:p>
                    <w:p w14:paraId="17A64207">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B2E815C">
                            <w:pPr>
                              <w:jc w:val="center"/>
                              <w:rPr>
                                <w:rFonts w:hint="eastAsia" w:hAnsi="宋体"/>
                                <w:szCs w:val="21"/>
                              </w:rPr>
                            </w:pPr>
                          </w:p>
                          <w:p w14:paraId="640893AD">
                            <w:pPr>
                              <w:jc w:val="center"/>
                              <w:rPr>
                                <w:rFonts w:hint="eastAsia" w:hAnsi="宋体"/>
                                <w:szCs w:val="21"/>
                              </w:rPr>
                            </w:pPr>
                          </w:p>
                          <w:p w14:paraId="3CB00C4A">
                            <w:pPr>
                              <w:jc w:val="center"/>
                              <w:rPr>
                                <w:rFonts w:hint="eastAsia" w:hAnsi="宋体"/>
                                <w:szCs w:val="21"/>
                              </w:rPr>
                            </w:pPr>
                          </w:p>
                          <w:p w14:paraId="73F9FB77">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6B2E815C">
                      <w:pPr>
                        <w:jc w:val="center"/>
                        <w:rPr>
                          <w:rFonts w:hint="eastAsia" w:hAnsi="宋体"/>
                          <w:szCs w:val="21"/>
                        </w:rPr>
                      </w:pPr>
                    </w:p>
                    <w:p w14:paraId="640893AD">
                      <w:pPr>
                        <w:jc w:val="center"/>
                        <w:rPr>
                          <w:rFonts w:hint="eastAsia" w:hAnsi="宋体"/>
                          <w:szCs w:val="21"/>
                        </w:rPr>
                      </w:pPr>
                    </w:p>
                    <w:p w14:paraId="3CB00C4A">
                      <w:pPr>
                        <w:jc w:val="center"/>
                        <w:rPr>
                          <w:rFonts w:hint="eastAsia" w:hAnsi="宋体"/>
                          <w:szCs w:val="21"/>
                        </w:rPr>
                      </w:pPr>
                    </w:p>
                    <w:p w14:paraId="73F9FB77">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4D833A8">
                            <w:pPr>
                              <w:jc w:val="center"/>
                              <w:rPr>
                                <w:rFonts w:hint="eastAsia" w:hAnsi="宋体"/>
                                <w:szCs w:val="21"/>
                              </w:rPr>
                            </w:pPr>
                          </w:p>
                          <w:p w14:paraId="76195F72">
                            <w:pPr>
                              <w:jc w:val="center"/>
                              <w:rPr>
                                <w:rFonts w:hint="eastAsia" w:hAnsi="宋体"/>
                                <w:szCs w:val="21"/>
                              </w:rPr>
                            </w:pPr>
                          </w:p>
                          <w:p w14:paraId="593548EC">
                            <w:pPr>
                              <w:jc w:val="center"/>
                              <w:rPr>
                                <w:rFonts w:hint="eastAsia" w:hAnsi="宋体"/>
                                <w:szCs w:val="21"/>
                              </w:rPr>
                            </w:pPr>
                          </w:p>
                          <w:p w14:paraId="39550782">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14D833A8">
                      <w:pPr>
                        <w:jc w:val="center"/>
                        <w:rPr>
                          <w:rFonts w:hint="eastAsia" w:hAnsi="宋体"/>
                          <w:szCs w:val="21"/>
                        </w:rPr>
                      </w:pPr>
                    </w:p>
                    <w:p w14:paraId="76195F72">
                      <w:pPr>
                        <w:jc w:val="center"/>
                        <w:rPr>
                          <w:rFonts w:hint="eastAsia" w:hAnsi="宋体"/>
                          <w:szCs w:val="21"/>
                        </w:rPr>
                      </w:pPr>
                    </w:p>
                    <w:p w14:paraId="593548EC">
                      <w:pPr>
                        <w:jc w:val="center"/>
                        <w:rPr>
                          <w:rFonts w:hint="eastAsia" w:hAnsi="宋体"/>
                          <w:szCs w:val="21"/>
                        </w:rPr>
                      </w:pPr>
                    </w:p>
                    <w:p w14:paraId="39550782">
                      <w:pPr>
                        <w:jc w:val="center"/>
                        <w:rPr>
                          <w:szCs w:val="21"/>
                        </w:rPr>
                      </w:pPr>
                      <w:r>
                        <w:rPr>
                          <w:rFonts w:hint="eastAsia" w:hAnsi="宋体"/>
                          <w:szCs w:val="21"/>
                        </w:rPr>
                        <w:t>代理人身份证复印件</w:t>
                      </w:r>
                    </w:p>
                  </w:txbxContent>
                </v:textbox>
              </v:shape>
            </w:pict>
          </mc:Fallback>
        </mc:AlternateContent>
      </w:r>
    </w:p>
    <w:p w14:paraId="64D6A97B">
      <w:pPr>
        <w:spacing w:line="300" w:lineRule="auto"/>
        <w:jc w:val="center"/>
        <w:rPr>
          <w:rFonts w:hint="eastAsia" w:ascii="仿宋" w:hAnsi="仿宋" w:eastAsia="仿宋" w:cs="仿宋"/>
          <w:b/>
          <w:color w:val="auto"/>
          <w:sz w:val="28"/>
          <w:szCs w:val="28"/>
          <w:highlight w:val="none"/>
        </w:rPr>
      </w:pPr>
    </w:p>
    <w:p w14:paraId="4551A979">
      <w:pPr>
        <w:spacing w:line="300" w:lineRule="auto"/>
        <w:jc w:val="center"/>
        <w:rPr>
          <w:rFonts w:hint="eastAsia" w:ascii="仿宋" w:hAnsi="仿宋" w:eastAsia="仿宋" w:cs="仿宋"/>
          <w:b/>
          <w:color w:val="auto"/>
          <w:sz w:val="28"/>
          <w:szCs w:val="28"/>
          <w:highlight w:val="none"/>
        </w:rPr>
      </w:pPr>
    </w:p>
    <w:p w14:paraId="684FC261">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54B780A4">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34165F5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0E437DF3">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14:paraId="49DF280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1A842F7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22D6A78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14:paraId="18DA5AD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5DDB4961">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0A55292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0878F01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3467927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4342C2D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14:paraId="7338D47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4.为采购项目提供整体设计、规范编制或者项目管理、监理、检测等服务的供应商，不得再参加该采购项目的其他采购活动。(供应商出具声明函)</w:t>
      </w:r>
    </w:p>
    <w:p w14:paraId="5100D7E8">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14:paraId="24371966">
      <w:pPr>
        <w:spacing w:line="480" w:lineRule="exact"/>
        <w:rPr>
          <w:rFonts w:hint="eastAsia"/>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eastAsia="zh-CN"/>
        </w:rPr>
        <w:t>.本项目专门面向中小企业采购(供应商出具声明函</w:t>
      </w:r>
      <w:r>
        <w:rPr>
          <w:rFonts w:hint="eastAsia" w:ascii="仿宋" w:hAnsi="仿宋" w:eastAsia="仿宋" w:cs="仿宋"/>
          <w:color w:val="auto"/>
          <w:sz w:val="24"/>
          <w:highlight w:val="none"/>
          <w:lang w:val="en-US" w:eastAsia="zh-CN"/>
        </w:rPr>
        <w:t>,格式自拟)</w:t>
      </w:r>
      <w:r>
        <w:rPr>
          <w:rFonts w:hint="eastAsia" w:ascii="仿宋" w:hAnsi="仿宋" w:eastAsia="仿宋" w:cs="仿宋"/>
          <w:color w:val="auto"/>
          <w:sz w:val="24"/>
          <w:highlight w:val="none"/>
          <w:lang w:val="zh-CN" w:eastAsia="zh-CN"/>
        </w:rPr>
        <w:t>。本项目中小企业。划分标准所属行业为：</w:t>
      </w:r>
      <w:r>
        <w:rPr>
          <w:rFonts w:hint="eastAsia" w:ascii="仿宋" w:hAnsi="仿宋" w:eastAsia="仿宋" w:cs="仿宋"/>
          <w:color w:val="auto"/>
          <w:sz w:val="24"/>
          <w:highlight w:val="none"/>
          <w:lang w:val="en-US" w:eastAsia="zh-CN"/>
        </w:rPr>
        <w:t>软件和信息技术服务业。</w:t>
      </w:r>
    </w:p>
    <w:p w14:paraId="0AFF4DC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.已在招采办报名。</w:t>
      </w:r>
    </w:p>
    <w:p w14:paraId="6584EB7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3925FE27">
      <w:pPr>
        <w:adjustRightInd w:val="0"/>
        <w:snapToGrid w:val="0"/>
        <w:spacing w:line="300" w:lineRule="auto"/>
        <w:rPr>
          <w:rFonts w:hint="eastAsia" w:ascii="仿宋" w:hAnsi="仿宋" w:eastAsia="仿宋" w:cs="仿宋"/>
          <w:color w:val="auto"/>
          <w:sz w:val="24"/>
          <w:highlight w:val="none"/>
        </w:rPr>
      </w:pPr>
    </w:p>
    <w:p w14:paraId="09F465CA">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F02962A">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0CA80BB8">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67215B5">
      <w:pPr>
        <w:pStyle w:val="3"/>
        <w:rPr>
          <w:rFonts w:hint="eastAsia"/>
          <w:color w:val="auto"/>
          <w:sz w:val="24"/>
          <w:szCs w:val="24"/>
          <w:highlight w:val="none"/>
        </w:rPr>
      </w:pPr>
      <w:r>
        <w:rPr>
          <w:color w:val="auto"/>
          <w:sz w:val="24"/>
          <w:highlight w:val="none"/>
        </w:rPr>
        <w:br w:type="page"/>
      </w:r>
      <w:r>
        <w:rPr>
          <w:rFonts w:hint="eastAsia"/>
          <w:color w:val="auto"/>
          <w:highlight w:val="none"/>
        </w:rPr>
        <w:t>4 商务部分</w:t>
      </w:r>
    </w:p>
    <w:p w14:paraId="6C90F54F">
      <w:pPr>
        <w:pStyle w:val="6"/>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14:paraId="1214695F">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7"/>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197"/>
        <w:gridCol w:w="1410"/>
        <w:gridCol w:w="219"/>
        <w:gridCol w:w="1345"/>
        <w:gridCol w:w="247"/>
        <w:gridCol w:w="969"/>
        <w:gridCol w:w="761"/>
        <w:gridCol w:w="282"/>
        <w:gridCol w:w="1313"/>
      </w:tblGrid>
      <w:tr w14:paraId="3BA2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7ABE491E">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743" w:type="dxa"/>
            <w:gridSpan w:val="9"/>
            <w:noWrap w:val="0"/>
            <w:vAlign w:val="center"/>
          </w:tcPr>
          <w:p w14:paraId="32C4513E">
            <w:pPr>
              <w:tabs>
                <w:tab w:val="left" w:pos="540"/>
              </w:tabs>
              <w:ind w:left="-132" w:leftChars="-64" w:right="-105" w:rightChars="-50" w:hanging="2"/>
              <w:jc w:val="center"/>
              <w:rPr>
                <w:rFonts w:hint="eastAsia" w:ascii="仿宋" w:hAnsi="仿宋" w:eastAsia="仿宋" w:cs="仿宋"/>
                <w:color w:val="auto"/>
                <w:szCs w:val="21"/>
                <w:highlight w:val="none"/>
              </w:rPr>
            </w:pPr>
          </w:p>
        </w:tc>
      </w:tr>
      <w:tr w14:paraId="15DD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12F03EE6">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743" w:type="dxa"/>
            <w:gridSpan w:val="9"/>
            <w:noWrap w:val="0"/>
            <w:vAlign w:val="center"/>
          </w:tcPr>
          <w:p w14:paraId="77C9032A">
            <w:pPr>
              <w:tabs>
                <w:tab w:val="left" w:pos="540"/>
              </w:tabs>
              <w:ind w:left="-132" w:leftChars="-64" w:right="-105" w:rightChars="-50" w:hanging="2"/>
              <w:jc w:val="center"/>
              <w:rPr>
                <w:rFonts w:hint="eastAsia" w:ascii="仿宋" w:hAnsi="仿宋" w:eastAsia="仿宋" w:cs="仿宋"/>
                <w:color w:val="auto"/>
                <w:szCs w:val="21"/>
                <w:highlight w:val="none"/>
              </w:rPr>
            </w:pPr>
          </w:p>
        </w:tc>
      </w:tr>
      <w:tr w14:paraId="58DD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1844D80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97" w:type="dxa"/>
            <w:noWrap w:val="0"/>
            <w:vAlign w:val="center"/>
          </w:tcPr>
          <w:p w14:paraId="7798E909">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0A32AE0D">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592" w:type="dxa"/>
            <w:gridSpan w:val="2"/>
            <w:noWrap w:val="0"/>
            <w:vAlign w:val="center"/>
          </w:tcPr>
          <w:p w14:paraId="74B639AC">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11EC6A91">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14:paraId="4ABC36D3">
            <w:pPr>
              <w:tabs>
                <w:tab w:val="left" w:pos="540"/>
              </w:tabs>
              <w:ind w:left="-132" w:leftChars="-64" w:right="-105" w:rightChars="-50" w:hanging="2"/>
              <w:jc w:val="center"/>
              <w:rPr>
                <w:rFonts w:hint="eastAsia" w:ascii="仿宋" w:hAnsi="仿宋" w:eastAsia="仿宋" w:cs="仿宋"/>
                <w:color w:val="auto"/>
                <w:szCs w:val="21"/>
                <w:highlight w:val="none"/>
              </w:rPr>
            </w:pPr>
          </w:p>
        </w:tc>
      </w:tr>
      <w:tr w14:paraId="32C3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65904828">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97" w:type="dxa"/>
            <w:noWrap w:val="0"/>
            <w:vAlign w:val="center"/>
          </w:tcPr>
          <w:p w14:paraId="5B106093">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09AB83FE">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592" w:type="dxa"/>
            <w:gridSpan w:val="2"/>
            <w:noWrap w:val="0"/>
            <w:vAlign w:val="center"/>
          </w:tcPr>
          <w:p w14:paraId="42DBA5C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06A5E89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14:paraId="2A52B292">
            <w:pPr>
              <w:tabs>
                <w:tab w:val="left" w:pos="540"/>
              </w:tabs>
              <w:ind w:left="-132" w:leftChars="-64" w:right="-105" w:rightChars="-50" w:hanging="2"/>
              <w:jc w:val="center"/>
              <w:rPr>
                <w:rFonts w:hint="eastAsia" w:ascii="仿宋" w:hAnsi="仿宋" w:eastAsia="仿宋" w:cs="仿宋"/>
                <w:color w:val="auto"/>
                <w:szCs w:val="21"/>
                <w:highlight w:val="none"/>
              </w:rPr>
            </w:pPr>
          </w:p>
        </w:tc>
      </w:tr>
      <w:tr w14:paraId="4694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5381451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97" w:type="dxa"/>
            <w:noWrap w:val="0"/>
            <w:vAlign w:val="center"/>
          </w:tcPr>
          <w:p w14:paraId="188012C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572EDC3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592" w:type="dxa"/>
            <w:gridSpan w:val="2"/>
            <w:noWrap w:val="0"/>
            <w:vAlign w:val="center"/>
          </w:tcPr>
          <w:p w14:paraId="6090D4C3">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0F7DADAD">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595" w:type="dxa"/>
            <w:gridSpan w:val="2"/>
            <w:noWrap w:val="0"/>
            <w:vAlign w:val="top"/>
          </w:tcPr>
          <w:p w14:paraId="26B6C519">
            <w:pPr>
              <w:tabs>
                <w:tab w:val="left" w:pos="540"/>
              </w:tabs>
              <w:ind w:left="-132" w:leftChars="-64" w:right="-105" w:rightChars="-50" w:hanging="2"/>
              <w:jc w:val="center"/>
              <w:rPr>
                <w:rFonts w:hint="eastAsia" w:ascii="仿宋" w:hAnsi="仿宋" w:eastAsia="仿宋" w:cs="仿宋"/>
                <w:color w:val="auto"/>
                <w:szCs w:val="21"/>
                <w:highlight w:val="none"/>
              </w:rPr>
            </w:pPr>
          </w:p>
        </w:tc>
      </w:tr>
      <w:tr w14:paraId="7F9A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68CCA70B">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743" w:type="dxa"/>
            <w:gridSpan w:val="9"/>
            <w:noWrap w:val="0"/>
            <w:vAlign w:val="top"/>
          </w:tcPr>
          <w:p w14:paraId="696C9EC4">
            <w:pPr>
              <w:tabs>
                <w:tab w:val="left" w:pos="540"/>
              </w:tabs>
              <w:ind w:left="-132" w:leftChars="-64" w:right="-105" w:rightChars="-50" w:hanging="2"/>
              <w:jc w:val="center"/>
              <w:rPr>
                <w:rFonts w:hint="eastAsia" w:ascii="仿宋" w:hAnsi="仿宋" w:eastAsia="仿宋" w:cs="仿宋"/>
                <w:color w:val="auto"/>
                <w:szCs w:val="21"/>
                <w:highlight w:val="none"/>
              </w:rPr>
            </w:pPr>
          </w:p>
        </w:tc>
      </w:tr>
      <w:tr w14:paraId="386C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016" w:type="dxa"/>
            <w:noWrap w:val="0"/>
            <w:vAlign w:val="center"/>
          </w:tcPr>
          <w:p w14:paraId="120C5A4F">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743" w:type="dxa"/>
            <w:gridSpan w:val="9"/>
            <w:noWrap w:val="0"/>
            <w:vAlign w:val="top"/>
          </w:tcPr>
          <w:p w14:paraId="5B35CD63">
            <w:pPr>
              <w:tabs>
                <w:tab w:val="left" w:pos="540"/>
              </w:tabs>
              <w:ind w:left="-132" w:leftChars="-64" w:right="-105" w:rightChars="-50" w:hanging="2"/>
              <w:jc w:val="center"/>
              <w:rPr>
                <w:rFonts w:hint="eastAsia" w:ascii="仿宋" w:hAnsi="仿宋" w:eastAsia="仿宋" w:cs="仿宋"/>
                <w:color w:val="auto"/>
                <w:szCs w:val="21"/>
                <w:highlight w:val="none"/>
              </w:rPr>
            </w:pPr>
          </w:p>
        </w:tc>
      </w:tr>
      <w:tr w14:paraId="1DE8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restart"/>
            <w:noWrap w:val="0"/>
            <w:vAlign w:val="center"/>
          </w:tcPr>
          <w:p w14:paraId="4029417E">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97" w:type="dxa"/>
            <w:noWrap w:val="0"/>
            <w:vAlign w:val="top"/>
          </w:tcPr>
          <w:p w14:paraId="7885EBA8">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410" w:type="dxa"/>
            <w:noWrap w:val="0"/>
            <w:vAlign w:val="top"/>
          </w:tcPr>
          <w:p w14:paraId="0266B211">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top"/>
          </w:tcPr>
          <w:p w14:paraId="232D0229">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572" w:type="dxa"/>
            <w:gridSpan w:val="5"/>
            <w:noWrap w:val="0"/>
            <w:vAlign w:val="top"/>
          </w:tcPr>
          <w:p w14:paraId="054541E4">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253F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219E85E8">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19078B1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410" w:type="dxa"/>
            <w:noWrap w:val="0"/>
            <w:vAlign w:val="top"/>
          </w:tcPr>
          <w:p w14:paraId="0A60F4F7">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564" w:type="dxa"/>
            <w:gridSpan w:val="2"/>
            <w:noWrap w:val="0"/>
            <w:vAlign w:val="top"/>
          </w:tcPr>
          <w:p w14:paraId="1EDC8296">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572" w:type="dxa"/>
            <w:gridSpan w:val="5"/>
            <w:noWrap w:val="0"/>
            <w:vAlign w:val="top"/>
          </w:tcPr>
          <w:p w14:paraId="3C947E49">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1385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0442A23C">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restart"/>
            <w:noWrap w:val="0"/>
            <w:vAlign w:val="center"/>
          </w:tcPr>
          <w:p w14:paraId="0A13D91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410" w:type="dxa"/>
            <w:noWrap w:val="0"/>
            <w:vAlign w:val="top"/>
          </w:tcPr>
          <w:p w14:paraId="1E8201FA">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564" w:type="dxa"/>
            <w:gridSpan w:val="2"/>
            <w:noWrap w:val="0"/>
            <w:vAlign w:val="center"/>
          </w:tcPr>
          <w:p w14:paraId="2A77CA2D">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14:paraId="28FD558C">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14:paraId="43F5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04D2B71A">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continue"/>
            <w:noWrap w:val="0"/>
            <w:vAlign w:val="top"/>
          </w:tcPr>
          <w:p w14:paraId="70223618">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293EE307">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564" w:type="dxa"/>
            <w:gridSpan w:val="2"/>
            <w:noWrap w:val="0"/>
            <w:vAlign w:val="center"/>
          </w:tcPr>
          <w:p w14:paraId="5E7C7D82">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14:paraId="61308F8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14:paraId="17C5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16" w:type="dxa"/>
            <w:vMerge w:val="restart"/>
            <w:noWrap w:val="0"/>
            <w:vAlign w:val="center"/>
          </w:tcPr>
          <w:p w14:paraId="5B03780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97" w:type="dxa"/>
            <w:noWrap w:val="0"/>
            <w:vAlign w:val="top"/>
          </w:tcPr>
          <w:p w14:paraId="7458F45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410" w:type="dxa"/>
            <w:noWrap w:val="0"/>
            <w:vAlign w:val="center"/>
          </w:tcPr>
          <w:p w14:paraId="35073F59">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14:paraId="6A7DD81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center"/>
          </w:tcPr>
          <w:p w14:paraId="04B7092B">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14:paraId="46DA49EC">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216" w:type="dxa"/>
            <w:gridSpan w:val="2"/>
            <w:noWrap w:val="0"/>
            <w:vAlign w:val="top"/>
          </w:tcPr>
          <w:p w14:paraId="79172BCA">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1043" w:type="dxa"/>
            <w:gridSpan w:val="2"/>
            <w:noWrap w:val="0"/>
            <w:vAlign w:val="top"/>
          </w:tcPr>
          <w:p w14:paraId="06D5828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313" w:type="dxa"/>
            <w:noWrap w:val="0"/>
            <w:vAlign w:val="top"/>
          </w:tcPr>
          <w:p w14:paraId="34D8BFF6">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14:paraId="1139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028DEF9C">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34C2AD03">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709C3D4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1E4CBF6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24858F43">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217EDC13">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4FE1F9C6">
            <w:pPr>
              <w:tabs>
                <w:tab w:val="left" w:pos="540"/>
              </w:tabs>
              <w:ind w:left="-132" w:leftChars="-64" w:right="-105" w:rightChars="-50" w:hanging="2"/>
              <w:jc w:val="center"/>
              <w:rPr>
                <w:rFonts w:hint="eastAsia" w:ascii="仿宋" w:hAnsi="仿宋" w:eastAsia="仿宋" w:cs="仿宋"/>
                <w:color w:val="auto"/>
                <w:szCs w:val="21"/>
                <w:highlight w:val="none"/>
              </w:rPr>
            </w:pPr>
          </w:p>
        </w:tc>
      </w:tr>
      <w:tr w14:paraId="248C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73751342">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7F5E908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70ADF7C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671EDE5D">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19517EC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6B000E8C">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015E658C">
            <w:pPr>
              <w:tabs>
                <w:tab w:val="left" w:pos="540"/>
              </w:tabs>
              <w:ind w:left="-132" w:leftChars="-64" w:right="-105" w:rightChars="-50" w:hanging="2"/>
              <w:jc w:val="center"/>
              <w:rPr>
                <w:rFonts w:hint="eastAsia" w:ascii="仿宋" w:hAnsi="仿宋" w:eastAsia="仿宋" w:cs="仿宋"/>
                <w:color w:val="auto"/>
                <w:szCs w:val="21"/>
                <w:highlight w:val="none"/>
              </w:rPr>
            </w:pPr>
          </w:p>
        </w:tc>
      </w:tr>
      <w:tr w14:paraId="02A7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16" w:type="dxa"/>
            <w:vMerge w:val="continue"/>
            <w:noWrap w:val="0"/>
            <w:vAlign w:val="top"/>
          </w:tcPr>
          <w:p w14:paraId="10AE7332">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27A6ED7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6C4F4999">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14503DEA">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39AEA26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6070E68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6913A8DC">
            <w:pPr>
              <w:tabs>
                <w:tab w:val="left" w:pos="540"/>
              </w:tabs>
              <w:ind w:left="-132" w:leftChars="-64" w:right="-105" w:rightChars="-50" w:hanging="2"/>
              <w:jc w:val="center"/>
              <w:rPr>
                <w:rFonts w:hint="eastAsia" w:ascii="仿宋" w:hAnsi="仿宋" w:eastAsia="仿宋" w:cs="仿宋"/>
                <w:color w:val="auto"/>
                <w:szCs w:val="21"/>
                <w:highlight w:val="none"/>
              </w:rPr>
            </w:pPr>
          </w:p>
        </w:tc>
      </w:tr>
    </w:tbl>
    <w:p w14:paraId="56857B4D">
      <w:pPr>
        <w:pStyle w:val="21"/>
        <w:spacing w:line="360" w:lineRule="auto"/>
        <w:ind w:left="960" w:hanging="960"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14:paraId="42E5231F">
      <w:pPr>
        <w:pStyle w:val="21"/>
        <w:ind w:firstLine="480"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14:paraId="223AB218">
      <w:pPr>
        <w:pStyle w:val="21"/>
        <w:rPr>
          <w:rFonts w:hint="eastAsia" w:ascii="仿宋" w:hAnsi="仿宋" w:eastAsia="仿宋" w:cs="仿宋"/>
          <w:color w:val="auto"/>
          <w:kern w:val="2"/>
          <w:szCs w:val="24"/>
          <w:highlight w:val="none"/>
          <w:lang w:val="en-GB"/>
        </w:rPr>
      </w:pPr>
    </w:p>
    <w:p w14:paraId="34577648">
      <w:pPr>
        <w:pStyle w:val="21"/>
        <w:ind w:firstLine="520" w:firstLineChars="200"/>
        <w:rPr>
          <w:rFonts w:hint="eastAsia" w:ascii="仿宋" w:hAnsi="仿宋" w:eastAsia="仿宋" w:cs="仿宋"/>
          <w:color w:val="auto"/>
          <w:kern w:val="2"/>
          <w:szCs w:val="24"/>
          <w:highlight w:val="none"/>
          <w:lang w:val="en-GB"/>
        </w:rPr>
      </w:pPr>
    </w:p>
    <w:p w14:paraId="1C6122E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9C0CDA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28F2DB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32FA223B">
      <w:pPr>
        <w:pStyle w:val="21"/>
        <w:ind w:firstLine="520" w:firstLineChars="200"/>
        <w:rPr>
          <w:rFonts w:hint="eastAsia" w:ascii="仿宋" w:hAnsi="仿宋" w:eastAsia="仿宋" w:cs="仿宋"/>
          <w:color w:val="auto"/>
          <w:kern w:val="2"/>
          <w:szCs w:val="24"/>
          <w:highlight w:val="none"/>
          <w:lang w:val="en-GB"/>
        </w:rPr>
      </w:pPr>
    </w:p>
    <w:p w14:paraId="5C09A327">
      <w:pPr>
        <w:pStyle w:val="21"/>
        <w:rPr>
          <w:rFonts w:ascii="仿宋" w:hAnsi="仿宋" w:eastAsia="仿宋" w:cs="仿宋"/>
          <w:b/>
          <w:color w:val="auto"/>
          <w:highlight w:val="none"/>
        </w:rPr>
      </w:pPr>
    </w:p>
    <w:p w14:paraId="49410952">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14:paraId="1C973F0A">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14:paraId="6410A9AA">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5BB7BE5D">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1611CC9D">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14:paraId="0D321E46">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1102BAF5">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5F378F98">
      <w:pPr>
        <w:adjustRightInd w:val="0"/>
        <w:snapToGrid w:val="0"/>
        <w:spacing w:line="400" w:lineRule="exact"/>
        <w:ind w:firstLine="555"/>
        <w:rPr>
          <w:rFonts w:hint="eastAsia" w:ascii="仿宋" w:hAnsi="仿宋" w:eastAsia="仿宋" w:cs="仿宋"/>
          <w:color w:val="auto"/>
          <w:sz w:val="24"/>
          <w:highlight w:val="none"/>
        </w:rPr>
      </w:pPr>
    </w:p>
    <w:p w14:paraId="516592E0">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EDCAED0">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0139A30E">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3EDA65E">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14:paraId="0F5EE158">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6534F51F">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36077E25">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07A2D565">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27451B40">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74D1A480">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5EDED2BC">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0B0E01AF">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4A4270F9">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14FA9F6C">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6B62F855">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34F5F42">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1C23CC8D">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403A1E14">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5CB93FD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B835EA7">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48EA1BD3">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7227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33B464B8">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14:paraId="1317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5103ED8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14:paraId="136BA30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14:paraId="2023810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14:paraId="05960D7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14:paraId="7CB26F3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14:paraId="3849B72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1D3F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596" w:type="dxa"/>
            <w:noWrap w:val="0"/>
            <w:vAlign w:val="center"/>
          </w:tcPr>
          <w:p w14:paraId="4C89527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7" w:type="dxa"/>
            <w:noWrap w:val="0"/>
            <w:vAlign w:val="center"/>
          </w:tcPr>
          <w:p w14:paraId="16C4418B">
            <w:pPr>
              <w:spacing w:line="380" w:lineRule="exact"/>
              <w:ind w:left="40" w:leftChars="19"/>
              <w:jc w:val="left"/>
              <w:rPr>
                <w:rFonts w:hint="eastAsia" w:ascii="仿宋" w:hAnsi="仿宋" w:eastAsia="仿宋" w:cs="仿宋"/>
                <w:color w:val="auto"/>
                <w:szCs w:val="21"/>
                <w:highlight w:val="none"/>
                <w:lang w:val="en-US" w:eastAsia="zh-CN"/>
              </w:rPr>
            </w:pPr>
          </w:p>
        </w:tc>
        <w:tc>
          <w:tcPr>
            <w:tcW w:w="3651" w:type="dxa"/>
            <w:noWrap w:val="0"/>
            <w:vAlign w:val="top"/>
          </w:tcPr>
          <w:p w14:paraId="0B7F2430">
            <w:pPr>
              <w:spacing w:line="380" w:lineRule="exact"/>
              <w:ind w:left="40" w:leftChars="19"/>
              <w:jc w:val="left"/>
              <w:rPr>
                <w:rFonts w:hint="eastAsia" w:ascii="仿宋" w:hAnsi="仿宋" w:eastAsia="仿宋" w:cs="仿宋"/>
                <w:color w:val="auto"/>
                <w:szCs w:val="21"/>
                <w:highlight w:val="none"/>
                <w:lang w:val="en-US" w:eastAsia="zh-CN"/>
              </w:rPr>
            </w:pPr>
          </w:p>
        </w:tc>
        <w:tc>
          <w:tcPr>
            <w:tcW w:w="736" w:type="dxa"/>
            <w:noWrap w:val="0"/>
            <w:vAlign w:val="center"/>
          </w:tcPr>
          <w:p w14:paraId="0322ECEC">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14:paraId="58709ECC">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14:paraId="764E54C0">
            <w:pPr>
              <w:spacing w:line="380" w:lineRule="exact"/>
              <w:ind w:left="40" w:leftChars="19"/>
              <w:jc w:val="left"/>
              <w:rPr>
                <w:rFonts w:hint="eastAsia" w:ascii="仿宋" w:hAnsi="仿宋" w:eastAsia="仿宋" w:cs="仿宋"/>
                <w:color w:val="auto"/>
                <w:szCs w:val="21"/>
                <w:highlight w:val="none"/>
                <w:lang w:val="zh-CN"/>
              </w:rPr>
            </w:pPr>
          </w:p>
        </w:tc>
      </w:tr>
      <w:tr w14:paraId="579A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14:paraId="40317FC9">
            <w:pPr>
              <w:rPr>
                <w:rFonts w:hint="eastAsia" w:ascii="仿宋" w:hAnsi="仿宋" w:eastAsia="仿宋" w:cs="仿宋"/>
                <w:color w:val="auto"/>
                <w:szCs w:val="21"/>
                <w:highlight w:val="none"/>
              </w:rPr>
            </w:pPr>
          </w:p>
        </w:tc>
        <w:tc>
          <w:tcPr>
            <w:tcW w:w="1077" w:type="dxa"/>
            <w:noWrap w:val="0"/>
            <w:vAlign w:val="center"/>
          </w:tcPr>
          <w:p w14:paraId="0460EDF4">
            <w:pPr>
              <w:jc w:val="center"/>
              <w:rPr>
                <w:rFonts w:hint="eastAsia" w:ascii="仿宋" w:hAnsi="仿宋" w:eastAsia="仿宋" w:cs="仿宋"/>
                <w:color w:val="auto"/>
                <w:szCs w:val="21"/>
                <w:highlight w:val="none"/>
              </w:rPr>
            </w:pPr>
          </w:p>
        </w:tc>
        <w:tc>
          <w:tcPr>
            <w:tcW w:w="3651" w:type="dxa"/>
            <w:noWrap w:val="0"/>
            <w:vAlign w:val="top"/>
          </w:tcPr>
          <w:p w14:paraId="44ED184C">
            <w:pPr>
              <w:jc w:val="left"/>
              <w:rPr>
                <w:rFonts w:hint="eastAsia" w:ascii="仿宋" w:hAnsi="仿宋" w:eastAsia="仿宋" w:cs="仿宋"/>
                <w:color w:val="auto"/>
                <w:szCs w:val="21"/>
                <w:highlight w:val="none"/>
              </w:rPr>
            </w:pPr>
          </w:p>
        </w:tc>
        <w:tc>
          <w:tcPr>
            <w:tcW w:w="736" w:type="dxa"/>
            <w:noWrap w:val="0"/>
            <w:vAlign w:val="top"/>
          </w:tcPr>
          <w:p w14:paraId="03C4AF38">
            <w:pPr>
              <w:rPr>
                <w:rFonts w:hint="eastAsia" w:ascii="仿宋" w:hAnsi="仿宋" w:eastAsia="仿宋" w:cs="仿宋"/>
                <w:color w:val="auto"/>
                <w:szCs w:val="21"/>
                <w:highlight w:val="none"/>
              </w:rPr>
            </w:pPr>
          </w:p>
        </w:tc>
        <w:tc>
          <w:tcPr>
            <w:tcW w:w="1430" w:type="dxa"/>
            <w:noWrap w:val="0"/>
            <w:vAlign w:val="top"/>
          </w:tcPr>
          <w:p w14:paraId="253C2A4B">
            <w:pPr>
              <w:rPr>
                <w:rFonts w:hint="eastAsia" w:ascii="仿宋" w:hAnsi="仿宋" w:eastAsia="仿宋" w:cs="仿宋"/>
                <w:color w:val="auto"/>
                <w:szCs w:val="21"/>
                <w:highlight w:val="none"/>
              </w:rPr>
            </w:pPr>
          </w:p>
        </w:tc>
        <w:tc>
          <w:tcPr>
            <w:tcW w:w="1030" w:type="dxa"/>
            <w:noWrap w:val="0"/>
            <w:vAlign w:val="top"/>
          </w:tcPr>
          <w:p w14:paraId="04943FC5">
            <w:pPr>
              <w:rPr>
                <w:rFonts w:hint="eastAsia" w:ascii="仿宋" w:hAnsi="仿宋" w:eastAsia="仿宋" w:cs="仿宋"/>
                <w:color w:val="auto"/>
                <w:szCs w:val="21"/>
                <w:highlight w:val="none"/>
              </w:rPr>
            </w:pPr>
          </w:p>
        </w:tc>
      </w:tr>
      <w:tr w14:paraId="3A6C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14:paraId="4EB356C8">
            <w:pPr>
              <w:rPr>
                <w:rFonts w:hint="eastAsia" w:ascii="仿宋" w:hAnsi="仿宋" w:eastAsia="仿宋" w:cs="仿宋"/>
                <w:color w:val="auto"/>
                <w:szCs w:val="21"/>
                <w:highlight w:val="none"/>
              </w:rPr>
            </w:pPr>
          </w:p>
        </w:tc>
        <w:tc>
          <w:tcPr>
            <w:tcW w:w="1077" w:type="dxa"/>
            <w:noWrap w:val="0"/>
            <w:vAlign w:val="center"/>
          </w:tcPr>
          <w:p w14:paraId="45D682B2">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14:paraId="36353CD6">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14:paraId="45C705FE">
            <w:pPr>
              <w:rPr>
                <w:rFonts w:hint="eastAsia" w:ascii="仿宋" w:hAnsi="仿宋" w:eastAsia="仿宋" w:cs="仿宋"/>
                <w:color w:val="auto"/>
                <w:szCs w:val="21"/>
                <w:highlight w:val="none"/>
              </w:rPr>
            </w:pPr>
          </w:p>
        </w:tc>
        <w:tc>
          <w:tcPr>
            <w:tcW w:w="1430" w:type="dxa"/>
            <w:noWrap w:val="0"/>
            <w:vAlign w:val="top"/>
          </w:tcPr>
          <w:p w14:paraId="37FD1CD4">
            <w:pPr>
              <w:rPr>
                <w:rFonts w:hint="eastAsia" w:ascii="仿宋" w:hAnsi="仿宋" w:eastAsia="仿宋" w:cs="仿宋"/>
                <w:color w:val="auto"/>
                <w:szCs w:val="21"/>
                <w:highlight w:val="none"/>
              </w:rPr>
            </w:pPr>
          </w:p>
        </w:tc>
        <w:tc>
          <w:tcPr>
            <w:tcW w:w="1030" w:type="dxa"/>
            <w:noWrap w:val="0"/>
            <w:vAlign w:val="top"/>
          </w:tcPr>
          <w:p w14:paraId="26BAA19F">
            <w:pPr>
              <w:rPr>
                <w:rFonts w:hint="eastAsia" w:ascii="仿宋" w:hAnsi="仿宋" w:eastAsia="仿宋" w:cs="仿宋"/>
                <w:color w:val="auto"/>
                <w:szCs w:val="21"/>
                <w:highlight w:val="none"/>
              </w:rPr>
            </w:pPr>
          </w:p>
        </w:tc>
      </w:tr>
    </w:tbl>
    <w:p w14:paraId="06AC8ECE">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14:paraId="542BFE8E">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14:paraId="60DD1666">
      <w:pPr>
        <w:adjustRightInd w:val="0"/>
        <w:snapToGrid w:val="0"/>
        <w:spacing w:line="300" w:lineRule="auto"/>
        <w:rPr>
          <w:rFonts w:hint="eastAsia" w:ascii="仿宋" w:hAnsi="仿宋" w:eastAsia="仿宋" w:cs="仿宋"/>
          <w:color w:val="auto"/>
          <w:sz w:val="24"/>
          <w:highlight w:val="none"/>
        </w:rPr>
      </w:pPr>
    </w:p>
    <w:p w14:paraId="35EC1D7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36EEB16">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18163B6A">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75D875B1">
      <w:pPr>
        <w:adjustRightInd w:val="0"/>
        <w:snapToGrid w:val="0"/>
        <w:spacing w:line="300" w:lineRule="auto"/>
        <w:rPr>
          <w:rFonts w:hint="eastAsia" w:ascii="仿宋" w:hAnsi="仿宋" w:eastAsia="仿宋" w:cs="仿宋"/>
          <w:color w:val="auto"/>
          <w:sz w:val="24"/>
          <w:highlight w:val="none"/>
        </w:rPr>
      </w:pPr>
    </w:p>
    <w:p w14:paraId="59A62F2C">
      <w:pPr>
        <w:pStyle w:val="6"/>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26E6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57065E9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628A8F8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197A0CF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6A24C74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7F2A5A2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648A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5334C2C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33FC405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1F32B66A">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2AE7A1D2">
            <w:pPr>
              <w:jc w:val="center"/>
              <w:rPr>
                <w:rFonts w:hint="eastAsia" w:ascii="仿宋" w:hAnsi="仿宋" w:eastAsia="仿宋" w:cs="仿宋"/>
                <w:color w:val="auto"/>
                <w:szCs w:val="21"/>
                <w:highlight w:val="none"/>
              </w:rPr>
            </w:pPr>
          </w:p>
        </w:tc>
        <w:tc>
          <w:tcPr>
            <w:tcW w:w="1391" w:type="dxa"/>
            <w:noWrap w:val="0"/>
            <w:vAlign w:val="center"/>
          </w:tcPr>
          <w:p w14:paraId="21CE96E2">
            <w:pPr>
              <w:jc w:val="center"/>
              <w:rPr>
                <w:rFonts w:hint="eastAsia" w:ascii="仿宋" w:hAnsi="仿宋" w:eastAsia="仿宋" w:cs="仿宋"/>
                <w:color w:val="auto"/>
                <w:szCs w:val="21"/>
                <w:highlight w:val="none"/>
              </w:rPr>
            </w:pPr>
          </w:p>
        </w:tc>
      </w:tr>
      <w:tr w14:paraId="2415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07D39AB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7A8D169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46DDB6C3">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3FC809E5">
            <w:pPr>
              <w:jc w:val="center"/>
              <w:rPr>
                <w:rFonts w:hint="eastAsia" w:ascii="仿宋" w:hAnsi="仿宋" w:eastAsia="仿宋" w:cs="仿宋"/>
                <w:color w:val="auto"/>
                <w:szCs w:val="21"/>
                <w:highlight w:val="none"/>
              </w:rPr>
            </w:pPr>
          </w:p>
        </w:tc>
        <w:tc>
          <w:tcPr>
            <w:tcW w:w="1391" w:type="dxa"/>
            <w:noWrap w:val="0"/>
            <w:vAlign w:val="center"/>
          </w:tcPr>
          <w:p w14:paraId="00B1BE03">
            <w:pPr>
              <w:jc w:val="center"/>
              <w:rPr>
                <w:rFonts w:hint="eastAsia" w:ascii="仿宋" w:hAnsi="仿宋" w:eastAsia="仿宋" w:cs="仿宋"/>
                <w:color w:val="auto"/>
                <w:szCs w:val="21"/>
                <w:highlight w:val="none"/>
              </w:rPr>
            </w:pPr>
          </w:p>
        </w:tc>
      </w:tr>
      <w:tr w14:paraId="4339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7F43CD8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43CC62E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0740BB49">
            <w:pPr>
              <w:jc w:val="center"/>
              <w:rPr>
                <w:rFonts w:hint="eastAsia" w:ascii="仿宋" w:hAnsi="仿宋" w:eastAsia="仿宋" w:cs="仿宋"/>
                <w:color w:val="auto"/>
                <w:szCs w:val="21"/>
                <w:highlight w:val="none"/>
              </w:rPr>
            </w:pPr>
          </w:p>
        </w:tc>
        <w:tc>
          <w:tcPr>
            <w:tcW w:w="1322" w:type="dxa"/>
            <w:noWrap w:val="0"/>
            <w:vAlign w:val="center"/>
          </w:tcPr>
          <w:p w14:paraId="2BB1439C">
            <w:pPr>
              <w:ind w:right="-35"/>
              <w:jc w:val="center"/>
              <w:rPr>
                <w:rFonts w:hint="eastAsia" w:ascii="仿宋" w:hAnsi="仿宋" w:eastAsia="仿宋" w:cs="仿宋"/>
                <w:color w:val="auto"/>
                <w:szCs w:val="21"/>
                <w:highlight w:val="none"/>
              </w:rPr>
            </w:pPr>
          </w:p>
        </w:tc>
        <w:tc>
          <w:tcPr>
            <w:tcW w:w="1391" w:type="dxa"/>
            <w:noWrap w:val="0"/>
            <w:vAlign w:val="center"/>
          </w:tcPr>
          <w:p w14:paraId="137419FA">
            <w:pPr>
              <w:ind w:right="-35"/>
              <w:jc w:val="center"/>
              <w:rPr>
                <w:rFonts w:hint="eastAsia" w:ascii="仿宋" w:hAnsi="仿宋" w:eastAsia="仿宋" w:cs="仿宋"/>
                <w:color w:val="auto"/>
                <w:szCs w:val="21"/>
                <w:highlight w:val="none"/>
              </w:rPr>
            </w:pPr>
          </w:p>
        </w:tc>
      </w:tr>
      <w:tr w14:paraId="20C1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6933697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1E9BD05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250B70D9">
            <w:pPr>
              <w:jc w:val="center"/>
              <w:rPr>
                <w:rFonts w:hint="eastAsia" w:ascii="仿宋" w:hAnsi="仿宋" w:eastAsia="仿宋" w:cs="仿宋"/>
                <w:color w:val="auto"/>
                <w:szCs w:val="21"/>
                <w:highlight w:val="none"/>
              </w:rPr>
            </w:pPr>
          </w:p>
        </w:tc>
        <w:tc>
          <w:tcPr>
            <w:tcW w:w="1322" w:type="dxa"/>
            <w:noWrap w:val="0"/>
            <w:vAlign w:val="center"/>
          </w:tcPr>
          <w:p w14:paraId="591F627C">
            <w:pPr>
              <w:ind w:right="-35"/>
              <w:jc w:val="center"/>
              <w:rPr>
                <w:rFonts w:hint="eastAsia" w:ascii="仿宋" w:hAnsi="仿宋" w:eastAsia="仿宋" w:cs="仿宋"/>
                <w:color w:val="auto"/>
                <w:szCs w:val="21"/>
                <w:highlight w:val="none"/>
              </w:rPr>
            </w:pPr>
          </w:p>
        </w:tc>
        <w:tc>
          <w:tcPr>
            <w:tcW w:w="1391" w:type="dxa"/>
            <w:noWrap w:val="0"/>
            <w:vAlign w:val="center"/>
          </w:tcPr>
          <w:p w14:paraId="60F93BD9">
            <w:pPr>
              <w:ind w:right="-35"/>
              <w:jc w:val="center"/>
              <w:rPr>
                <w:rFonts w:hint="eastAsia" w:ascii="仿宋" w:hAnsi="仿宋" w:eastAsia="仿宋" w:cs="仿宋"/>
                <w:color w:val="auto"/>
                <w:szCs w:val="21"/>
                <w:highlight w:val="none"/>
              </w:rPr>
            </w:pPr>
          </w:p>
        </w:tc>
      </w:tr>
      <w:tr w14:paraId="29B8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57A34FC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5A0A322A">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4AF87EA2">
            <w:pPr>
              <w:jc w:val="center"/>
              <w:rPr>
                <w:rFonts w:hint="eastAsia" w:ascii="仿宋" w:hAnsi="仿宋" w:eastAsia="仿宋" w:cs="仿宋"/>
                <w:color w:val="auto"/>
                <w:szCs w:val="21"/>
                <w:highlight w:val="none"/>
              </w:rPr>
            </w:pPr>
          </w:p>
        </w:tc>
        <w:tc>
          <w:tcPr>
            <w:tcW w:w="1322" w:type="dxa"/>
            <w:noWrap w:val="0"/>
            <w:vAlign w:val="center"/>
          </w:tcPr>
          <w:p w14:paraId="4B4EDB80">
            <w:pPr>
              <w:ind w:right="-35"/>
              <w:jc w:val="center"/>
              <w:rPr>
                <w:rFonts w:hint="eastAsia" w:ascii="仿宋" w:hAnsi="仿宋" w:eastAsia="仿宋" w:cs="仿宋"/>
                <w:color w:val="auto"/>
                <w:szCs w:val="21"/>
                <w:highlight w:val="none"/>
              </w:rPr>
            </w:pPr>
          </w:p>
        </w:tc>
        <w:tc>
          <w:tcPr>
            <w:tcW w:w="1391" w:type="dxa"/>
            <w:noWrap w:val="0"/>
            <w:vAlign w:val="center"/>
          </w:tcPr>
          <w:p w14:paraId="48413B96">
            <w:pPr>
              <w:ind w:right="-35"/>
              <w:jc w:val="center"/>
              <w:rPr>
                <w:rFonts w:hint="eastAsia" w:ascii="仿宋" w:hAnsi="仿宋" w:eastAsia="仿宋" w:cs="仿宋"/>
                <w:color w:val="auto"/>
                <w:szCs w:val="21"/>
                <w:highlight w:val="none"/>
              </w:rPr>
            </w:pPr>
          </w:p>
        </w:tc>
      </w:tr>
      <w:tr w14:paraId="25F8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DE298E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367FBA0B">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14:paraId="00B4A8C9">
            <w:pPr>
              <w:jc w:val="center"/>
              <w:rPr>
                <w:rFonts w:hint="eastAsia" w:ascii="仿宋" w:hAnsi="仿宋" w:eastAsia="仿宋" w:cs="仿宋"/>
                <w:color w:val="auto"/>
                <w:szCs w:val="21"/>
                <w:highlight w:val="none"/>
              </w:rPr>
            </w:pPr>
          </w:p>
        </w:tc>
        <w:tc>
          <w:tcPr>
            <w:tcW w:w="1322" w:type="dxa"/>
            <w:noWrap w:val="0"/>
            <w:vAlign w:val="center"/>
          </w:tcPr>
          <w:p w14:paraId="1E183833">
            <w:pPr>
              <w:ind w:right="-35"/>
              <w:jc w:val="center"/>
              <w:rPr>
                <w:rFonts w:hint="eastAsia" w:ascii="仿宋" w:hAnsi="仿宋" w:eastAsia="仿宋" w:cs="仿宋"/>
                <w:color w:val="auto"/>
                <w:szCs w:val="21"/>
                <w:highlight w:val="none"/>
              </w:rPr>
            </w:pPr>
          </w:p>
        </w:tc>
        <w:tc>
          <w:tcPr>
            <w:tcW w:w="1391" w:type="dxa"/>
            <w:noWrap w:val="0"/>
            <w:vAlign w:val="center"/>
          </w:tcPr>
          <w:p w14:paraId="6B40CA37">
            <w:pPr>
              <w:ind w:right="-35"/>
              <w:jc w:val="center"/>
              <w:rPr>
                <w:rFonts w:hint="eastAsia" w:ascii="仿宋" w:hAnsi="仿宋" w:eastAsia="仿宋" w:cs="仿宋"/>
                <w:color w:val="auto"/>
                <w:szCs w:val="21"/>
                <w:highlight w:val="none"/>
              </w:rPr>
            </w:pPr>
          </w:p>
        </w:tc>
      </w:tr>
      <w:tr w14:paraId="13D1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6B92151D">
            <w:pPr>
              <w:jc w:val="center"/>
              <w:rPr>
                <w:rFonts w:hint="eastAsia" w:ascii="仿宋" w:hAnsi="仿宋" w:eastAsia="仿宋" w:cs="仿宋"/>
                <w:color w:val="auto"/>
                <w:szCs w:val="21"/>
                <w:highlight w:val="none"/>
                <w:lang w:val="en-US" w:eastAsia="zh-CN"/>
              </w:rPr>
            </w:pPr>
          </w:p>
        </w:tc>
        <w:tc>
          <w:tcPr>
            <w:tcW w:w="3947" w:type="dxa"/>
            <w:noWrap w:val="0"/>
            <w:vAlign w:val="center"/>
          </w:tcPr>
          <w:p w14:paraId="723290B2">
            <w:pPr>
              <w:rPr>
                <w:rFonts w:hint="eastAsia" w:ascii="仿宋" w:hAnsi="仿宋" w:eastAsia="仿宋" w:cs="仿宋"/>
                <w:color w:val="auto"/>
                <w:szCs w:val="21"/>
                <w:highlight w:val="none"/>
                <w:lang w:val="en-GB"/>
              </w:rPr>
            </w:pPr>
          </w:p>
        </w:tc>
        <w:tc>
          <w:tcPr>
            <w:tcW w:w="1381" w:type="dxa"/>
            <w:noWrap w:val="0"/>
            <w:vAlign w:val="center"/>
          </w:tcPr>
          <w:p w14:paraId="097AAE63">
            <w:pPr>
              <w:jc w:val="center"/>
              <w:rPr>
                <w:rFonts w:hint="eastAsia" w:ascii="仿宋" w:hAnsi="仿宋" w:eastAsia="仿宋" w:cs="仿宋"/>
                <w:color w:val="auto"/>
                <w:szCs w:val="21"/>
                <w:highlight w:val="none"/>
              </w:rPr>
            </w:pPr>
          </w:p>
        </w:tc>
        <w:tc>
          <w:tcPr>
            <w:tcW w:w="1322" w:type="dxa"/>
            <w:noWrap w:val="0"/>
            <w:vAlign w:val="center"/>
          </w:tcPr>
          <w:p w14:paraId="6F935B24">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11B11389">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6637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0DD61C6C">
            <w:pPr>
              <w:jc w:val="center"/>
              <w:rPr>
                <w:rFonts w:hint="eastAsia" w:ascii="仿宋" w:hAnsi="仿宋" w:eastAsia="仿宋" w:cs="仿宋"/>
                <w:color w:val="auto"/>
                <w:szCs w:val="21"/>
                <w:highlight w:val="none"/>
                <w:lang w:val="en-US" w:eastAsia="zh-CN"/>
              </w:rPr>
            </w:pPr>
          </w:p>
        </w:tc>
        <w:tc>
          <w:tcPr>
            <w:tcW w:w="3947" w:type="dxa"/>
            <w:noWrap w:val="0"/>
            <w:vAlign w:val="center"/>
          </w:tcPr>
          <w:p w14:paraId="37A3F796">
            <w:pPr>
              <w:rPr>
                <w:rFonts w:hint="eastAsia" w:ascii="仿宋" w:hAnsi="仿宋" w:eastAsia="仿宋" w:cs="仿宋"/>
                <w:color w:val="auto"/>
                <w:szCs w:val="21"/>
                <w:highlight w:val="none"/>
                <w:lang w:val="en-GB"/>
              </w:rPr>
            </w:pPr>
          </w:p>
        </w:tc>
        <w:tc>
          <w:tcPr>
            <w:tcW w:w="1381" w:type="dxa"/>
            <w:noWrap w:val="0"/>
            <w:vAlign w:val="center"/>
          </w:tcPr>
          <w:p w14:paraId="03027B7A">
            <w:pPr>
              <w:jc w:val="center"/>
              <w:rPr>
                <w:rFonts w:hint="eastAsia" w:ascii="仿宋" w:hAnsi="仿宋" w:eastAsia="仿宋" w:cs="仿宋"/>
                <w:color w:val="auto"/>
                <w:szCs w:val="21"/>
                <w:highlight w:val="none"/>
              </w:rPr>
            </w:pPr>
          </w:p>
        </w:tc>
        <w:tc>
          <w:tcPr>
            <w:tcW w:w="1322" w:type="dxa"/>
            <w:noWrap w:val="0"/>
            <w:vAlign w:val="center"/>
          </w:tcPr>
          <w:p w14:paraId="55168B96">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344DD1B8">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7155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5781B5CE">
            <w:pPr>
              <w:jc w:val="center"/>
              <w:rPr>
                <w:rFonts w:hint="eastAsia" w:ascii="仿宋" w:hAnsi="仿宋" w:eastAsia="仿宋" w:cs="仿宋"/>
                <w:color w:val="auto"/>
                <w:szCs w:val="21"/>
                <w:highlight w:val="none"/>
              </w:rPr>
            </w:pPr>
          </w:p>
        </w:tc>
        <w:tc>
          <w:tcPr>
            <w:tcW w:w="6650" w:type="dxa"/>
            <w:gridSpan w:val="3"/>
            <w:noWrap w:val="0"/>
            <w:vAlign w:val="center"/>
          </w:tcPr>
          <w:p w14:paraId="26E2768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3A04396B">
            <w:pPr>
              <w:rPr>
                <w:rFonts w:hint="eastAsia" w:ascii="仿宋" w:hAnsi="仿宋" w:eastAsia="仿宋" w:cs="仿宋"/>
                <w:color w:val="auto"/>
                <w:szCs w:val="21"/>
                <w:highlight w:val="none"/>
              </w:rPr>
            </w:pPr>
          </w:p>
        </w:tc>
      </w:tr>
    </w:tbl>
    <w:p w14:paraId="2C1E9586">
      <w:pPr>
        <w:rPr>
          <w:rFonts w:hint="eastAsia" w:ascii="仿宋" w:hAnsi="仿宋" w:eastAsia="仿宋" w:cs="仿宋"/>
          <w:color w:val="auto"/>
          <w:sz w:val="24"/>
          <w:highlight w:val="none"/>
        </w:rPr>
      </w:pPr>
    </w:p>
    <w:p w14:paraId="359A6124">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5AB7EAE5">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0CA97F75">
      <w:pPr>
        <w:rPr>
          <w:rFonts w:hint="eastAsia" w:ascii="仿宋" w:hAnsi="仿宋" w:eastAsia="仿宋" w:cs="仿宋"/>
          <w:color w:val="auto"/>
          <w:szCs w:val="21"/>
          <w:highlight w:val="none"/>
          <w:lang w:val="en-GB"/>
        </w:rPr>
      </w:pPr>
    </w:p>
    <w:p w14:paraId="12A1DB71">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C9E2AE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26CD19C">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r>
        <w:rPr>
          <w:rFonts w:hint="eastAsia"/>
          <w:color w:val="auto"/>
          <w:highlight w:val="none"/>
        </w:rPr>
        <w:br w:type="page"/>
      </w:r>
      <w:r>
        <w:rPr>
          <w:rFonts w:hint="eastAsia" w:ascii="仿宋" w:hAnsi="仿宋" w:eastAsia="仿宋" w:cs="仿宋"/>
          <w:color w:val="auto"/>
          <w:sz w:val="24"/>
          <w:highlight w:val="none"/>
        </w:rPr>
        <w:t>5 服务部分</w:t>
      </w:r>
    </w:p>
    <w:p w14:paraId="3ABBF013">
      <w:pPr>
        <w:pStyle w:val="12"/>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服务要求响应表（单页填写）</w:t>
      </w:r>
    </w:p>
    <w:p w14:paraId="7D7C20E7">
      <w:pPr>
        <w:pStyle w:val="12"/>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7"/>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14:paraId="68F0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0052953A">
            <w:pPr>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3B85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7262B47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14:paraId="6ABF4746">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14:paraId="1BC663F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服务要求</w:t>
            </w:r>
          </w:p>
        </w:tc>
        <w:tc>
          <w:tcPr>
            <w:tcW w:w="1701" w:type="dxa"/>
            <w:shd w:val="clear" w:color="auto" w:fill="F1F1F1"/>
            <w:noWrap w:val="0"/>
            <w:vAlign w:val="center"/>
          </w:tcPr>
          <w:p w14:paraId="62A264F3">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1C91B7A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67F6EDDF">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38DF242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6ECE616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498C6406">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03555D0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523C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2" w:type="dxa"/>
            <w:noWrap w:val="0"/>
            <w:vAlign w:val="center"/>
          </w:tcPr>
          <w:p w14:paraId="680BD88F">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14:paraId="30E2A628">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tc>
        <w:tc>
          <w:tcPr>
            <w:tcW w:w="1897" w:type="dxa"/>
            <w:noWrap w:val="0"/>
            <w:vAlign w:val="center"/>
          </w:tcPr>
          <w:p w14:paraId="16BC42FF">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14:paraId="5C6BEDA0">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6DAB482E">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7D4143BE">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27C29476">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0313200C">
            <w:pPr>
              <w:spacing w:line="380" w:lineRule="exact"/>
              <w:ind w:left="40" w:leftChars="19"/>
              <w:jc w:val="left"/>
              <w:rPr>
                <w:rFonts w:hint="eastAsia" w:ascii="仿宋" w:hAnsi="仿宋" w:eastAsia="仿宋" w:cs="仿宋"/>
                <w:color w:val="auto"/>
                <w:szCs w:val="21"/>
                <w:highlight w:val="none"/>
                <w:lang w:val="zh-CN"/>
              </w:rPr>
            </w:pPr>
          </w:p>
        </w:tc>
      </w:tr>
      <w:tr w14:paraId="7F8F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2" w:type="dxa"/>
            <w:noWrap w:val="0"/>
            <w:vAlign w:val="center"/>
          </w:tcPr>
          <w:p w14:paraId="0B92086C">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14:paraId="2615C7F1">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14:paraId="3E269806">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14:paraId="7B663AD5">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4C6036A0">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28B32460">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24FAFF96">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232F59F0">
            <w:pPr>
              <w:spacing w:line="380" w:lineRule="exact"/>
              <w:ind w:left="40" w:leftChars="19"/>
              <w:jc w:val="left"/>
              <w:rPr>
                <w:rFonts w:hint="eastAsia" w:ascii="仿宋" w:hAnsi="仿宋" w:eastAsia="仿宋" w:cs="仿宋"/>
                <w:color w:val="auto"/>
                <w:szCs w:val="21"/>
                <w:highlight w:val="none"/>
                <w:lang w:val="zh-CN"/>
              </w:rPr>
            </w:pPr>
          </w:p>
        </w:tc>
      </w:tr>
      <w:tr w14:paraId="70EF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noWrap w:val="0"/>
            <w:vAlign w:val="top"/>
          </w:tcPr>
          <w:p w14:paraId="5DFFC45C">
            <w:pPr>
              <w:spacing w:line="20" w:lineRule="atLeast"/>
              <w:rPr>
                <w:rFonts w:hint="eastAsia" w:ascii="仿宋" w:hAnsi="仿宋" w:eastAsia="仿宋" w:cs="仿宋"/>
                <w:color w:val="auto"/>
                <w:sz w:val="24"/>
                <w:highlight w:val="none"/>
              </w:rPr>
            </w:pPr>
          </w:p>
        </w:tc>
        <w:tc>
          <w:tcPr>
            <w:tcW w:w="1241" w:type="dxa"/>
            <w:noWrap w:val="0"/>
            <w:vAlign w:val="top"/>
          </w:tcPr>
          <w:p w14:paraId="4835FA89">
            <w:pPr>
              <w:spacing w:line="20" w:lineRule="atLeast"/>
              <w:rPr>
                <w:rFonts w:hint="eastAsia" w:ascii="仿宋" w:hAnsi="仿宋" w:eastAsia="仿宋" w:cs="仿宋"/>
                <w:color w:val="auto"/>
                <w:sz w:val="24"/>
                <w:highlight w:val="none"/>
              </w:rPr>
            </w:pPr>
          </w:p>
        </w:tc>
        <w:tc>
          <w:tcPr>
            <w:tcW w:w="1897" w:type="dxa"/>
            <w:noWrap w:val="0"/>
            <w:vAlign w:val="top"/>
          </w:tcPr>
          <w:p w14:paraId="0E8881E6">
            <w:pPr>
              <w:spacing w:line="20" w:lineRule="atLeast"/>
              <w:rPr>
                <w:rFonts w:hint="eastAsia" w:ascii="仿宋" w:hAnsi="仿宋" w:eastAsia="仿宋" w:cs="仿宋"/>
                <w:color w:val="auto"/>
                <w:sz w:val="24"/>
                <w:highlight w:val="none"/>
              </w:rPr>
            </w:pPr>
          </w:p>
        </w:tc>
        <w:tc>
          <w:tcPr>
            <w:tcW w:w="1701" w:type="dxa"/>
            <w:noWrap w:val="0"/>
            <w:vAlign w:val="top"/>
          </w:tcPr>
          <w:p w14:paraId="2CA98726">
            <w:pPr>
              <w:spacing w:line="20" w:lineRule="atLeast"/>
              <w:rPr>
                <w:rFonts w:hint="eastAsia" w:ascii="仿宋" w:hAnsi="仿宋" w:eastAsia="仿宋" w:cs="仿宋"/>
                <w:color w:val="auto"/>
                <w:sz w:val="24"/>
                <w:highlight w:val="none"/>
              </w:rPr>
            </w:pPr>
          </w:p>
        </w:tc>
        <w:tc>
          <w:tcPr>
            <w:tcW w:w="871" w:type="dxa"/>
            <w:noWrap w:val="0"/>
            <w:vAlign w:val="top"/>
          </w:tcPr>
          <w:p w14:paraId="129FA5BD">
            <w:pPr>
              <w:spacing w:line="20" w:lineRule="atLeast"/>
              <w:rPr>
                <w:rFonts w:hint="eastAsia" w:ascii="仿宋" w:hAnsi="仿宋" w:eastAsia="仿宋" w:cs="仿宋"/>
                <w:color w:val="auto"/>
                <w:sz w:val="24"/>
                <w:highlight w:val="none"/>
              </w:rPr>
            </w:pPr>
          </w:p>
        </w:tc>
        <w:tc>
          <w:tcPr>
            <w:tcW w:w="912" w:type="dxa"/>
            <w:noWrap w:val="0"/>
            <w:vAlign w:val="top"/>
          </w:tcPr>
          <w:p w14:paraId="265D419D">
            <w:pPr>
              <w:spacing w:line="20" w:lineRule="atLeast"/>
              <w:rPr>
                <w:rFonts w:hint="eastAsia" w:ascii="仿宋" w:hAnsi="仿宋" w:eastAsia="仿宋" w:cs="仿宋"/>
                <w:color w:val="auto"/>
                <w:sz w:val="24"/>
                <w:highlight w:val="none"/>
              </w:rPr>
            </w:pPr>
          </w:p>
        </w:tc>
        <w:tc>
          <w:tcPr>
            <w:tcW w:w="775" w:type="dxa"/>
            <w:noWrap w:val="0"/>
            <w:vAlign w:val="top"/>
          </w:tcPr>
          <w:p w14:paraId="7F086E5D">
            <w:pPr>
              <w:spacing w:line="20" w:lineRule="atLeast"/>
              <w:rPr>
                <w:rFonts w:hint="eastAsia" w:ascii="仿宋" w:hAnsi="仿宋" w:eastAsia="仿宋" w:cs="仿宋"/>
                <w:color w:val="auto"/>
                <w:sz w:val="24"/>
                <w:highlight w:val="none"/>
              </w:rPr>
            </w:pPr>
          </w:p>
        </w:tc>
        <w:tc>
          <w:tcPr>
            <w:tcW w:w="1141" w:type="dxa"/>
            <w:noWrap w:val="0"/>
            <w:vAlign w:val="top"/>
          </w:tcPr>
          <w:p w14:paraId="23A9CE16">
            <w:pPr>
              <w:spacing w:line="20" w:lineRule="atLeast"/>
              <w:rPr>
                <w:rFonts w:hint="eastAsia" w:ascii="仿宋" w:hAnsi="仿宋" w:eastAsia="仿宋" w:cs="仿宋"/>
                <w:color w:val="auto"/>
                <w:sz w:val="24"/>
                <w:highlight w:val="none"/>
              </w:rPr>
            </w:pPr>
          </w:p>
        </w:tc>
      </w:tr>
      <w:tr w14:paraId="682C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noWrap w:val="0"/>
            <w:vAlign w:val="top"/>
          </w:tcPr>
          <w:p w14:paraId="4770FAEC">
            <w:pPr>
              <w:spacing w:line="20" w:lineRule="atLeast"/>
              <w:rPr>
                <w:rFonts w:hint="eastAsia" w:ascii="仿宋" w:hAnsi="仿宋" w:eastAsia="仿宋" w:cs="仿宋"/>
                <w:color w:val="auto"/>
                <w:sz w:val="24"/>
                <w:highlight w:val="none"/>
              </w:rPr>
            </w:pPr>
          </w:p>
        </w:tc>
        <w:tc>
          <w:tcPr>
            <w:tcW w:w="1241" w:type="dxa"/>
            <w:noWrap w:val="0"/>
            <w:vAlign w:val="top"/>
          </w:tcPr>
          <w:p w14:paraId="21B4BE69">
            <w:pPr>
              <w:spacing w:line="20" w:lineRule="atLeast"/>
              <w:rPr>
                <w:rFonts w:hint="eastAsia" w:ascii="仿宋" w:hAnsi="仿宋" w:eastAsia="仿宋" w:cs="仿宋"/>
                <w:color w:val="auto"/>
                <w:sz w:val="24"/>
                <w:highlight w:val="none"/>
              </w:rPr>
            </w:pPr>
          </w:p>
        </w:tc>
        <w:tc>
          <w:tcPr>
            <w:tcW w:w="1897" w:type="dxa"/>
            <w:noWrap w:val="0"/>
            <w:vAlign w:val="top"/>
          </w:tcPr>
          <w:p w14:paraId="3C0919AC">
            <w:pPr>
              <w:spacing w:line="20" w:lineRule="atLeast"/>
              <w:rPr>
                <w:rFonts w:hint="eastAsia" w:ascii="仿宋" w:hAnsi="仿宋" w:eastAsia="仿宋" w:cs="仿宋"/>
                <w:color w:val="auto"/>
                <w:sz w:val="24"/>
                <w:highlight w:val="none"/>
              </w:rPr>
            </w:pPr>
          </w:p>
        </w:tc>
        <w:tc>
          <w:tcPr>
            <w:tcW w:w="1701" w:type="dxa"/>
            <w:noWrap w:val="0"/>
            <w:vAlign w:val="top"/>
          </w:tcPr>
          <w:p w14:paraId="6A6866A3">
            <w:pPr>
              <w:spacing w:line="20" w:lineRule="atLeast"/>
              <w:rPr>
                <w:rFonts w:hint="eastAsia" w:ascii="仿宋" w:hAnsi="仿宋" w:eastAsia="仿宋" w:cs="仿宋"/>
                <w:color w:val="auto"/>
                <w:sz w:val="24"/>
                <w:highlight w:val="none"/>
              </w:rPr>
            </w:pPr>
          </w:p>
        </w:tc>
        <w:tc>
          <w:tcPr>
            <w:tcW w:w="871" w:type="dxa"/>
            <w:noWrap w:val="0"/>
            <w:vAlign w:val="top"/>
          </w:tcPr>
          <w:p w14:paraId="528E3BA6">
            <w:pPr>
              <w:spacing w:line="20" w:lineRule="atLeast"/>
              <w:rPr>
                <w:rFonts w:hint="eastAsia" w:ascii="仿宋" w:hAnsi="仿宋" w:eastAsia="仿宋" w:cs="仿宋"/>
                <w:color w:val="auto"/>
                <w:sz w:val="24"/>
                <w:highlight w:val="none"/>
              </w:rPr>
            </w:pPr>
          </w:p>
        </w:tc>
        <w:tc>
          <w:tcPr>
            <w:tcW w:w="912" w:type="dxa"/>
            <w:noWrap w:val="0"/>
            <w:vAlign w:val="top"/>
          </w:tcPr>
          <w:p w14:paraId="14B496F7">
            <w:pPr>
              <w:spacing w:line="20" w:lineRule="atLeast"/>
              <w:rPr>
                <w:rFonts w:hint="eastAsia" w:ascii="仿宋" w:hAnsi="仿宋" w:eastAsia="仿宋" w:cs="仿宋"/>
                <w:color w:val="auto"/>
                <w:sz w:val="24"/>
                <w:highlight w:val="none"/>
              </w:rPr>
            </w:pPr>
          </w:p>
        </w:tc>
        <w:tc>
          <w:tcPr>
            <w:tcW w:w="775" w:type="dxa"/>
            <w:noWrap w:val="0"/>
            <w:vAlign w:val="top"/>
          </w:tcPr>
          <w:p w14:paraId="2F47EE63">
            <w:pPr>
              <w:spacing w:line="20" w:lineRule="atLeast"/>
              <w:rPr>
                <w:rFonts w:hint="eastAsia" w:ascii="仿宋" w:hAnsi="仿宋" w:eastAsia="仿宋" w:cs="仿宋"/>
                <w:color w:val="auto"/>
                <w:sz w:val="24"/>
                <w:highlight w:val="none"/>
              </w:rPr>
            </w:pPr>
          </w:p>
        </w:tc>
        <w:tc>
          <w:tcPr>
            <w:tcW w:w="1141" w:type="dxa"/>
            <w:noWrap w:val="0"/>
            <w:vAlign w:val="top"/>
          </w:tcPr>
          <w:p w14:paraId="6EFA64EC">
            <w:pPr>
              <w:spacing w:line="20" w:lineRule="atLeast"/>
              <w:rPr>
                <w:rFonts w:hint="eastAsia" w:ascii="仿宋" w:hAnsi="仿宋" w:eastAsia="仿宋" w:cs="仿宋"/>
                <w:color w:val="auto"/>
                <w:sz w:val="24"/>
                <w:highlight w:val="none"/>
              </w:rPr>
            </w:pPr>
          </w:p>
        </w:tc>
      </w:tr>
    </w:tbl>
    <w:p w14:paraId="70D27FAB">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735F19D3">
      <w:pPr>
        <w:pStyle w:val="12"/>
        <w:adjustRightInd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6A046681">
      <w:pPr>
        <w:pStyle w:val="12"/>
        <w:adjustRightInd w:val="0"/>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66822F88">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48D3BB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7A7D8F93">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72EAA39">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.2非实质性服务要求条款响应表</w:t>
      </w:r>
    </w:p>
    <w:tbl>
      <w:tblPr>
        <w:tblStyle w:val="17"/>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5912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gridSpan w:val="8"/>
            <w:noWrap w:val="0"/>
            <w:vAlign w:val="top"/>
          </w:tcPr>
          <w:p w14:paraId="609A444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3841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55BF190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4287045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1B2B18F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服务要求</w:t>
            </w:r>
          </w:p>
        </w:tc>
        <w:tc>
          <w:tcPr>
            <w:tcW w:w="1620" w:type="dxa"/>
            <w:shd w:val="clear" w:color="auto" w:fill="F1F1F1"/>
            <w:noWrap w:val="0"/>
            <w:vAlign w:val="center"/>
          </w:tcPr>
          <w:p w14:paraId="47FF06B5">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18551DB4">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20915D1B">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596A4D6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7645AB03">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381176D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7E6F0B4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4915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95EB0CB">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22CA5B4A">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25E89D23">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065939D6">
            <w:pPr>
              <w:spacing w:line="20" w:lineRule="atLeast"/>
              <w:rPr>
                <w:rFonts w:hint="eastAsia" w:ascii="仿宋" w:hAnsi="仿宋" w:eastAsia="仿宋" w:cs="仿宋"/>
                <w:color w:val="auto"/>
                <w:sz w:val="24"/>
                <w:highlight w:val="none"/>
              </w:rPr>
            </w:pPr>
          </w:p>
        </w:tc>
        <w:tc>
          <w:tcPr>
            <w:tcW w:w="744" w:type="dxa"/>
            <w:noWrap w:val="0"/>
            <w:vAlign w:val="top"/>
          </w:tcPr>
          <w:p w14:paraId="5C3A95E9">
            <w:pPr>
              <w:spacing w:line="20" w:lineRule="atLeast"/>
              <w:rPr>
                <w:rFonts w:hint="eastAsia" w:ascii="仿宋" w:hAnsi="仿宋" w:eastAsia="仿宋" w:cs="仿宋"/>
                <w:color w:val="auto"/>
                <w:sz w:val="24"/>
                <w:highlight w:val="none"/>
              </w:rPr>
            </w:pPr>
          </w:p>
        </w:tc>
        <w:tc>
          <w:tcPr>
            <w:tcW w:w="826" w:type="dxa"/>
            <w:noWrap w:val="0"/>
            <w:vAlign w:val="top"/>
          </w:tcPr>
          <w:p w14:paraId="778BDB87">
            <w:pPr>
              <w:spacing w:line="20" w:lineRule="atLeast"/>
              <w:rPr>
                <w:rFonts w:hint="eastAsia" w:ascii="仿宋" w:hAnsi="仿宋" w:eastAsia="仿宋" w:cs="仿宋"/>
                <w:color w:val="auto"/>
                <w:sz w:val="24"/>
                <w:highlight w:val="none"/>
              </w:rPr>
            </w:pPr>
          </w:p>
        </w:tc>
        <w:tc>
          <w:tcPr>
            <w:tcW w:w="660" w:type="dxa"/>
            <w:noWrap w:val="0"/>
            <w:vAlign w:val="top"/>
          </w:tcPr>
          <w:p w14:paraId="2E062C46">
            <w:pPr>
              <w:spacing w:line="20" w:lineRule="atLeast"/>
              <w:rPr>
                <w:rFonts w:hint="eastAsia" w:ascii="仿宋" w:hAnsi="仿宋" w:eastAsia="仿宋" w:cs="仿宋"/>
                <w:color w:val="auto"/>
                <w:sz w:val="24"/>
                <w:highlight w:val="none"/>
              </w:rPr>
            </w:pPr>
          </w:p>
        </w:tc>
        <w:tc>
          <w:tcPr>
            <w:tcW w:w="1350" w:type="dxa"/>
            <w:noWrap w:val="0"/>
            <w:vAlign w:val="top"/>
          </w:tcPr>
          <w:p w14:paraId="3A16079A">
            <w:pPr>
              <w:spacing w:line="20" w:lineRule="atLeast"/>
              <w:rPr>
                <w:rFonts w:hint="eastAsia" w:ascii="仿宋" w:hAnsi="仿宋" w:eastAsia="仿宋" w:cs="仿宋"/>
                <w:color w:val="auto"/>
                <w:sz w:val="24"/>
                <w:highlight w:val="none"/>
              </w:rPr>
            </w:pPr>
          </w:p>
        </w:tc>
      </w:tr>
      <w:tr w14:paraId="0128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CCCC676">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3EC5AA3F">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BAC2C17">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14AE67E">
            <w:pPr>
              <w:spacing w:line="20" w:lineRule="atLeast"/>
              <w:rPr>
                <w:rFonts w:hint="eastAsia" w:ascii="仿宋" w:hAnsi="仿宋" w:eastAsia="仿宋" w:cs="仿宋"/>
                <w:color w:val="auto"/>
                <w:sz w:val="24"/>
                <w:highlight w:val="none"/>
              </w:rPr>
            </w:pPr>
          </w:p>
        </w:tc>
        <w:tc>
          <w:tcPr>
            <w:tcW w:w="744" w:type="dxa"/>
            <w:noWrap w:val="0"/>
            <w:vAlign w:val="top"/>
          </w:tcPr>
          <w:p w14:paraId="5568D3C1">
            <w:pPr>
              <w:spacing w:line="20" w:lineRule="atLeast"/>
              <w:rPr>
                <w:rFonts w:hint="eastAsia" w:ascii="仿宋" w:hAnsi="仿宋" w:eastAsia="仿宋" w:cs="仿宋"/>
                <w:color w:val="auto"/>
                <w:sz w:val="24"/>
                <w:highlight w:val="none"/>
              </w:rPr>
            </w:pPr>
          </w:p>
        </w:tc>
        <w:tc>
          <w:tcPr>
            <w:tcW w:w="826" w:type="dxa"/>
            <w:noWrap w:val="0"/>
            <w:vAlign w:val="top"/>
          </w:tcPr>
          <w:p w14:paraId="183B080A">
            <w:pPr>
              <w:spacing w:line="20" w:lineRule="atLeast"/>
              <w:rPr>
                <w:rFonts w:hint="eastAsia" w:ascii="仿宋" w:hAnsi="仿宋" w:eastAsia="仿宋" w:cs="仿宋"/>
                <w:color w:val="auto"/>
                <w:sz w:val="24"/>
                <w:highlight w:val="none"/>
              </w:rPr>
            </w:pPr>
          </w:p>
        </w:tc>
        <w:tc>
          <w:tcPr>
            <w:tcW w:w="660" w:type="dxa"/>
            <w:noWrap w:val="0"/>
            <w:vAlign w:val="top"/>
          </w:tcPr>
          <w:p w14:paraId="202C16E9">
            <w:pPr>
              <w:spacing w:line="20" w:lineRule="atLeast"/>
              <w:rPr>
                <w:rFonts w:hint="eastAsia" w:ascii="仿宋" w:hAnsi="仿宋" w:eastAsia="仿宋" w:cs="仿宋"/>
                <w:color w:val="auto"/>
                <w:sz w:val="24"/>
                <w:highlight w:val="none"/>
              </w:rPr>
            </w:pPr>
          </w:p>
        </w:tc>
        <w:tc>
          <w:tcPr>
            <w:tcW w:w="1350" w:type="dxa"/>
            <w:noWrap w:val="0"/>
            <w:vAlign w:val="top"/>
          </w:tcPr>
          <w:p w14:paraId="64F56F61">
            <w:pPr>
              <w:spacing w:line="20" w:lineRule="atLeast"/>
              <w:rPr>
                <w:rFonts w:hint="eastAsia" w:ascii="仿宋" w:hAnsi="仿宋" w:eastAsia="仿宋" w:cs="仿宋"/>
                <w:color w:val="auto"/>
                <w:sz w:val="24"/>
                <w:highlight w:val="none"/>
              </w:rPr>
            </w:pPr>
          </w:p>
        </w:tc>
      </w:tr>
      <w:tr w14:paraId="065F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9661F9B">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548F97F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59F872B">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0881D7D">
            <w:pPr>
              <w:spacing w:line="20" w:lineRule="atLeast"/>
              <w:rPr>
                <w:rFonts w:hint="eastAsia" w:ascii="仿宋" w:hAnsi="仿宋" w:eastAsia="仿宋" w:cs="仿宋"/>
                <w:color w:val="auto"/>
                <w:sz w:val="24"/>
                <w:highlight w:val="none"/>
              </w:rPr>
            </w:pPr>
          </w:p>
        </w:tc>
        <w:tc>
          <w:tcPr>
            <w:tcW w:w="744" w:type="dxa"/>
            <w:noWrap w:val="0"/>
            <w:vAlign w:val="top"/>
          </w:tcPr>
          <w:p w14:paraId="1A08085C">
            <w:pPr>
              <w:spacing w:line="20" w:lineRule="atLeast"/>
              <w:rPr>
                <w:rFonts w:hint="eastAsia" w:ascii="仿宋" w:hAnsi="仿宋" w:eastAsia="仿宋" w:cs="仿宋"/>
                <w:color w:val="auto"/>
                <w:sz w:val="24"/>
                <w:highlight w:val="none"/>
              </w:rPr>
            </w:pPr>
          </w:p>
        </w:tc>
        <w:tc>
          <w:tcPr>
            <w:tcW w:w="826" w:type="dxa"/>
            <w:noWrap w:val="0"/>
            <w:vAlign w:val="top"/>
          </w:tcPr>
          <w:p w14:paraId="53DA99E2">
            <w:pPr>
              <w:spacing w:line="20" w:lineRule="atLeast"/>
              <w:rPr>
                <w:rFonts w:hint="eastAsia" w:ascii="仿宋" w:hAnsi="仿宋" w:eastAsia="仿宋" w:cs="仿宋"/>
                <w:color w:val="auto"/>
                <w:sz w:val="24"/>
                <w:highlight w:val="none"/>
              </w:rPr>
            </w:pPr>
          </w:p>
        </w:tc>
        <w:tc>
          <w:tcPr>
            <w:tcW w:w="660" w:type="dxa"/>
            <w:noWrap w:val="0"/>
            <w:vAlign w:val="top"/>
          </w:tcPr>
          <w:p w14:paraId="11A8D979">
            <w:pPr>
              <w:spacing w:line="20" w:lineRule="atLeast"/>
              <w:rPr>
                <w:rFonts w:hint="eastAsia" w:ascii="仿宋" w:hAnsi="仿宋" w:eastAsia="仿宋" w:cs="仿宋"/>
                <w:color w:val="auto"/>
                <w:sz w:val="24"/>
                <w:highlight w:val="none"/>
              </w:rPr>
            </w:pPr>
          </w:p>
        </w:tc>
        <w:tc>
          <w:tcPr>
            <w:tcW w:w="1350" w:type="dxa"/>
            <w:noWrap w:val="0"/>
            <w:vAlign w:val="top"/>
          </w:tcPr>
          <w:p w14:paraId="28444BDA">
            <w:pPr>
              <w:spacing w:line="20" w:lineRule="atLeast"/>
              <w:rPr>
                <w:rFonts w:hint="eastAsia" w:ascii="仿宋" w:hAnsi="仿宋" w:eastAsia="仿宋" w:cs="仿宋"/>
                <w:color w:val="auto"/>
                <w:sz w:val="24"/>
                <w:highlight w:val="none"/>
              </w:rPr>
            </w:pPr>
          </w:p>
        </w:tc>
      </w:tr>
      <w:tr w14:paraId="7DFA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37FB201">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376C25E9">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C8CC837">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8126DAF">
            <w:pPr>
              <w:spacing w:line="20" w:lineRule="atLeast"/>
              <w:rPr>
                <w:rFonts w:hint="eastAsia" w:ascii="仿宋" w:hAnsi="仿宋" w:eastAsia="仿宋" w:cs="仿宋"/>
                <w:color w:val="auto"/>
                <w:sz w:val="24"/>
                <w:highlight w:val="none"/>
              </w:rPr>
            </w:pPr>
          </w:p>
        </w:tc>
        <w:tc>
          <w:tcPr>
            <w:tcW w:w="744" w:type="dxa"/>
            <w:noWrap w:val="0"/>
            <w:vAlign w:val="top"/>
          </w:tcPr>
          <w:p w14:paraId="22AE4CF1">
            <w:pPr>
              <w:spacing w:line="20" w:lineRule="atLeast"/>
              <w:rPr>
                <w:rFonts w:hint="eastAsia" w:ascii="仿宋" w:hAnsi="仿宋" w:eastAsia="仿宋" w:cs="仿宋"/>
                <w:color w:val="auto"/>
                <w:sz w:val="24"/>
                <w:highlight w:val="none"/>
              </w:rPr>
            </w:pPr>
          </w:p>
        </w:tc>
        <w:tc>
          <w:tcPr>
            <w:tcW w:w="826" w:type="dxa"/>
            <w:noWrap w:val="0"/>
            <w:vAlign w:val="top"/>
          </w:tcPr>
          <w:p w14:paraId="1B415564">
            <w:pPr>
              <w:spacing w:line="20" w:lineRule="atLeast"/>
              <w:rPr>
                <w:rFonts w:hint="eastAsia" w:ascii="仿宋" w:hAnsi="仿宋" w:eastAsia="仿宋" w:cs="仿宋"/>
                <w:color w:val="auto"/>
                <w:sz w:val="24"/>
                <w:highlight w:val="none"/>
              </w:rPr>
            </w:pPr>
          </w:p>
        </w:tc>
        <w:tc>
          <w:tcPr>
            <w:tcW w:w="660" w:type="dxa"/>
            <w:noWrap w:val="0"/>
            <w:vAlign w:val="top"/>
          </w:tcPr>
          <w:p w14:paraId="208224B7">
            <w:pPr>
              <w:spacing w:line="20" w:lineRule="atLeast"/>
              <w:rPr>
                <w:rFonts w:hint="eastAsia" w:ascii="仿宋" w:hAnsi="仿宋" w:eastAsia="仿宋" w:cs="仿宋"/>
                <w:color w:val="auto"/>
                <w:sz w:val="24"/>
                <w:highlight w:val="none"/>
              </w:rPr>
            </w:pPr>
          </w:p>
        </w:tc>
        <w:tc>
          <w:tcPr>
            <w:tcW w:w="1350" w:type="dxa"/>
            <w:noWrap w:val="0"/>
            <w:vAlign w:val="top"/>
          </w:tcPr>
          <w:p w14:paraId="6AE19C0A">
            <w:pPr>
              <w:spacing w:line="20" w:lineRule="atLeast"/>
              <w:rPr>
                <w:rFonts w:hint="eastAsia" w:ascii="仿宋" w:hAnsi="仿宋" w:eastAsia="仿宋" w:cs="仿宋"/>
                <w:color w:val="auto"/>
                <w:sz w:val="24"/>
                <w:highlight w:val="none"/>
              </w:rPr>
            </w:pPr>
          </w:p>
        </w:tc>
      </w:tr>
      <w:tr w14:paraId="0310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CEBB82E">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41576F1B">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DE9A558">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2E516BCC">
            <w:pPr>
              <w:spacing w:line="20" w:lineRule="atLeast"/>
              <w:rPr>
                <w:rFonts w:hint="eastAsia" w:ascii="仿宋" w:hAnsi="仿宋" w:eastAsia="仿宋" w:cs="仿宋"/>
                <w:color w:val="auto"/>
                <w:sz w:val="24"/>
                <w:highlight w:val="none"/>
              </w:rPr>
            </w:pPr>
          </w:p>
        </w:tc>
        <w:tc>
          <w:tcPr>
            <w:tcW w:w="744" w:type="dxa"/>
            <w:noWrap w:val="0"/>
            <w:vAlign w:val="top"/>
          </w:tcPr>
          <w:p w14:paraId="1D7F9771">
            <w:pPr>
              <w:spacing w:line="20" w:lineRule="atLeast"/>
              <w:rPr>
                <w:rFonts w:hint="eastAsia" w:ascii="仿宋" w:hAnsi="仿宋" w:eastAsia="仿宋" w:cs="仿宋"/>
                <w:color w:val="auto"/>
                <w:sz w:val="24"/>
                <w:highlight w:val="none"/>
              </w:rPr>
            </w:pPr>
          </w:p>
        </w:tc>
        <w:tc>
          <w:tcPr>
            <w:tcW w:w="826" w:type="dxa"/>
            <w:noWrap w:val="0"/>
            <w:vAlign w:val="top"/>
          </w:tcPr>
          <w:p w14:paraId="3F4599FD">
            <w:pPr>
              <w:spacing w:line="20" w:lineRule="atLeast"/>
              <w:rPr>
                <w:rFonts w:hint="eastAsia" w:ascii="仿宋" w:hAnsi="仿宋" w:eastAsia="仿宋" w:cs="仿宋"/>
                <w:color w:val="auto"/>
                <w:sz w:val="24"/>
                <w:highlight w:val="none"/>
              </w:rPr>
            </w:pPr>
          </w:p>
        </w:tc>
        <w:tc>
          <w:tcPr>
            <w:tcW w:w="660" w:type="dxa"/>
            <w:noWrap w:val="0"/>
            <w:vAlign w:val="top"/>
          </w:tcPr>
          <w:p w14:paraId="75BEEA96">
            <w:pPr>
              <w:spacing w:line="20" w:lineRule="atLeast"/>
              <w:rPr>
                <w:rFonts w:hint="eastAsia" w:ascii="仿宋" w:hAnsi="仿宋" w:eastAsia="仿宋" w:cs="仿宋"/>
                <w:color w:val="auto"/>
                <w:sz w:val="24"/>
                <w:highlight w:val="none"/>
              </w:rPr>
            </w:pPr>
          </w:p>
        </w:tc>
        <w:tc>
          <w:tcPr>
            <w:tcW w:w="1350" w:type="dxa"/>
            <w:noWrap w:val="0"/>
            <w:vAlign w:val="top"/>
          </w:tcPr>
          <w:p w14:paraId="21A08BB5">
            <w:pPr>
              <w:spacing w:line="20" w:lineRule="atLeast"/>
              <w:rPr>
                <w:rFonts w:hint="eastAsia" w:ascii="仿宋" w:hAnsi="仿宋" w:eastAsia="仿宋" w:cs="仿宋"/>
                <w:color w:val="auto"/>
                <w:sz w:val="24"/>
                <w:highlight w:val="none"/>
              </w:rPr>
            </w:pPr>
          </w:p>
        </w:tc>
      </w:tr>
      <w:tr w14:paraId="405B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37A8EEA">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0C29CA7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7AC768FB">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607CDDBF">
            <w:pPr>
              <w:spacing w:line="20" w:lineRule="atLeast"/>
              <w:rPr>
                <w:rFonts w:hint="eastAsia" w:ascii="仿宋" w:hAnsi="仿宋" w:eastAsia="仿宋" w:cs="仿宋"/>
                <w:color w:val="auto"/>
                <w:sz w:val="24"/>
                <w:highlight w:val="none"/>
              </w:rPr>
            </w:pPr>
          </w:p>
        </w:tc>
        <w:tc>
          <w:tcPr>
            <w:tcW w:w="744" w:type="dxa"/>
            <w:noWrap w:val="0"/>
            <w:vAlign w:val="top"/>
          </w:tcPr>
          <w:p w14:paraId="32A5717D">
            <w:pPr>
              <w:spacing w:line="20" w:lineRule="atLeast"/>
              <w:rPr>
                <w:rFonts w:hint="eastAsia" w:ascii="仿宋" w:hAnsi="仿宋" w:eastAsia="仿宋" w:cs="仿宋"/>
                <w:color w:val="auto"/>
                <w:sz w:val="24"/>
                <w:highlight w:val="none"/>
              </w:rPr>
            </w:pPr>
          </w:p>
        </w:tc>
        <w:tc>
          <w:tcPr>
            <w:tcW w:w="826" w:type="dxa"/>
            <w:noWrap w:val="0"/>
            <w:vAlign w:val="top"/>
          </w:tcPr>
          <w:p w14:paraId="4C39E409">
            <w:pPr>
              <w:spacing w:line="20" w:lineRule="atLeast"/>
              <w:rPr>
                <w:rFonts w:hint="eastAsia" w:ascii="仿宋" w:hAnsi="仿宋" w:eastAsia="仿宋" w:cs="仿宋"/>
                <w:color w:val="auto"/>
                <w:sz w:val="24"/>
                <w:highlight w:val="none"/>
              </w:rPr>
            </w:pPr>
          </w:p>
        </w:tc>
        <w:tc>
          <w:tcPr>
            <w:tcW w:w="660" w:type="dxa"/>
            <w:noWrap w:val="0"/>
            <w:vAlign w:val="top"/>
          </w:tcPr>
          <w:p w14:paraId="55BF2891">
            <w:pPr>
              <w:spacing w:line="20" w:lineRule="atLeast"/>
              <w:rPr>
                <w:rFonts w:hint="eastAsia" w:ascii="仿宋" w:hAnsi="仿宋" w:eastAsia="仿宋" w:cs="仿宋"/>
                <w:color w:val="auto"/>
                <w:sz w:val="24"/>
                <w:highlight w:val="none"/>
              </w:rPr>
            </w:pPr>
          </w:p>
        </w:tc>
        <w:tc>
          <w:tcPr>
            <w:tcW w:w="1350" w:type="dxa"/>
            <w:noWrap w:val="0"/>
            <w:vAlign w:val="top"/>
          </w:tcPr>
          <w:p w14:paraId="5DB3E0A9">
            <w:pPr>
              <w:spacing w:line="20" w:lineRule="atLeast"/>
              <w:rPr>
                <w:rFonts w:hint="eastAsia" w:ascii="仿宋" w:hAnsi="仿宋" w:eastAsia="仿宋" w:cs="仿宋"/>
                <w:color w:val="auto"/>
                <w:sz w:val="24"/>
                <w:highlight w:val="none"/>
              </w:rPr>
            </w:pPr>
          </w:p>
        </w:tc>
      </w:tr>
      <w:tr w14:paraId="6456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BAA06D2">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7C466BFB">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9739034">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5CD0B83">
            <w:pPr>
              <w:spacing w:line="20" w:lineRule="atLeast"/>
              <w:rPr>
                <w:rFonts w:hint="eastAsia" w:ascii="仿宋" w:hAnsi="仿宋" w:eastAsia="仿宋" w:cs="仿宋"/>
                <w:color w:val="auto"/>
                <w:sz w:val="24"/>
                <w:highlight w:val="none"/>
              </w:rPr>
            </w:pPr>
          </w:p>
        </w:tc>
        <w:tc>
          <w:tcPr>
            <w:tcW w:w="744" w:type="dxa"/>
            <w:noWrap w:val="0"/>
            <w:vAlign w:val="top"/>
          </w:tcPr>
          <w:p w14:paraId="6BA4DE8E">
            <w:pPr>
              <w:spacing w:line="20" w:lineRule="atLeast"/>
              <w:rPr>
                <w:rFonts w:hint="eastAsia" w:ascii="仿宋" w:hAnsi="仿宋" w:eastAsia="仿宋" w:cs="仿宋"/>
                <w:color w:val="auto"/>
                <w:sz w:val="24"/>
                <w:highlight w:val="none"/>
              </w:rPr>
            </w:pPr>
          </w:p>
        </w:tc>
        <w:tc>
          <w:tcPr>
            <w:tcW w:w="826" w:type="dxa"/>
            <w:noWrap w:val="0"/>
            <w:vAlign w:val="top"/>
          </w:tcPr>
          <w:p w14:paraId="302CB7F6">
            <w:pPr>
              <w:spacing w:line="20" w:lineRule="atLeast"/>
              <w:rPr>
                <w:rFonts w:hint="eastAsia" w:ascii="仿宋" w:hAnsi="仿宋" w:eastAsia="仿宋" w:cs="仿宋"/>
                <w:color w:val="auto"/>
                <w:sz w:val="24"/>
                <w:highlight w:val="none"/>
              </w:rPr>
            </w:pPr>
          </w:p>
        </w:tc>
        <w:tc>
          <w:tcPr>
            <w:tcW w:w="660" w:type="dxa"/>
            <w:noWrap w:val="0"/>
            <w:vAlign w:val="top"/>
          </w:tcPr>
          <w:p w14:paraId="234E80A6">
            <w:pPr>
              <w:spacing w:line="20" w:lineRule="atLeast"/>
              <w:rPr>
                <w:rFonts w:hint="eastAsia" w:ascii="仿宋" w:hAnsi="仿宋" w:eastAsia="仿宋" w:cs="仿宋"/>
                <w:color w:val="auto"/>
                <w:sz w:val="24"/>
                <w:highlight w:val="none"/>
              </w:rPr>
            </w:pPr>
          </w:p>
        </w:tc>
        <w:tc>
          <w:tcPr>
            <w:tcW w:w="1350" w:type="dxa"/>
            <w:noWrap w:val="0"/>
            <w:vAlign w:val="top"/>
          </w:tcPr>
          <w:p w14:paraId="5BA69939">
            <w:pPr>
              <w:spacing w:line="20" w:lineRule="atLeast"/>
              <w:rPr>
                <w:rFonts w:hint="eastAsia" w:ascii="仿宋" w:hAnsi="仿宋" w:eastAsia="仿宋" w:cs="仿宋"/>
                <w:color w:val="auto"/>
                <w:sz w:val="24"/>
                <w:highlight w:val="none"/>
              </w:rPr>
            </w:pPr>
          </w:p>
        </w:tc>
      </w:tr>
      <w:tr w14:paraId="5AF8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D1C10DE">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01C6267D">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F5BEC9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7434079">
            <w:pPr>
              <w:spacing w:line="20" w:lineRule="atLeast"/>
              <w:rPr>
                <w:rFonts w:hint="eastAsia" w:ascii="仿宋" w:hAnsi="仿宋" w:eastAsia="仿宋" w:cs="仿宋"/>
                <w:color w:val="auto"/>
                <w:sz w:val="24"/>
                <w:highlight w:val="none"/>
              </w:rPr>
            </w:pPr>
          </w:p>
        </w:tc>
        <w:tc>
          <w:tcPr>
            <w:tcW w:w="744" w:type="dxa"/>
            <w:noWrap w:val="0"/>
            <w:vAlign w:val="top"/>
          </w:tcPr>
          <w:p w14:paraId="3C779642">
            <w:pPr>
              <w:spacing w:line="20" w:lineRule="atLeast"/>
              <w:rPr>
                <w:rFonts w:hint="eastAsia" w:ascii="仿宋" w:hAnsi="仿宋" w:eastAsia="仿宋" w:cs="仿宋"/>
                <w:color w:val="auto"/>
                <w:sz w:val="24"/>
                <w:highlight w:val="none"/>
              </w:rPr>
            </w:pPr>
          </w:p>
        </w:tc>
        <w:tc>
          <w:tcPr>
            <w:tcW w:w="826" w:type="dxa"/>
            <w:noWrap w:val="0"/>
            <w:vAlign w:val="top"/>
          </w:tcPr>
          <w:p w14:paraId="23CFF920">
            <w:pPr>
              <w:spacing w:line="20" w:lineRule="atLeast"/>
              <w:rPr>
                <w:rFonts w:hint="eastAsia" w:ascii="仿宋" w:hAnsi="仿宋" w:eastAsia="仿宋" w:cs="仿宋"/>
                <w:color w:val="auto"/>
                <w:sz w:val="24"/>
                <w:highlight w:val="none"/>
              </w:rPr>
            </w:pPr>
          </w:p>
        </w:tc>
        <w:tc>
          <w:tcPr>
            <w:tcW w:w="660" w:type="dxa"/>
            <w:noWrap w:val="0"/>
            <w:vAlign w:val="top"/>
          </w:tcPr>
          <w:p w14:paraId="2B52A818">
            <w:pPr>
              <w:spacing w:line="20" w:lineRule="atLeast"/>
              <w:rPr>
                <w:rFonts w:hint="eastAsia" w:ascii="仿宋" w:hAnsi="仿宋" w:eastAsia="仿宋" w:cs="仿宋"/>
                <w:color w:val="auto"/>
                <w:sz w:val="24"/>
                <w:highlight w:val="none"/>
              </w:rPr>
            </w:pPr>
          </w:p>
        </w:tc>
        <w:tc>
          <w:tcPr>
            <w:tcW w:w="1350" w:type="dxa"/>
            <w:noWrap w:val="0"/>
            <w:vAlign w:val="top"/>
          </w:tcPr>
          <w:p w14:paraId="1CADF3FA">
            <w:pPr>
              <w:spacing w:line="20" w:lineRule="atLeast"/>
              <w:rPr>
                <w:rFonts w:hint="eastAsia" w:ascii="仿宋" w:hAnsi="仿宋" w:eastAsia="仿宋" w:cs="仿宋"/>
                <w:color w:val="auto"/>
                <w:sz w:val="24"/>
                <w:highlight w:val="none"/>
              </w:rPr>
            </w:pPr>
          </w:p>
        </w:tc>
      </w:tr>
      <w:tr w14:paraId="32A5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D4FF30F">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1025" w:type="dxa"/>
            <w:noWrap w:val="0"/>
            <w:vAlign w:val="center"/>
          </w:tcPr>
          <w:p w14:paraId="45D170C6">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3840A427">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116B876F">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26DB0CD4">
            <w:pPr>
              <w:spacing w:line="20" w:lineRule="atLeast"/>
              <w:rPr>
                <w:rFonts w:hint="eastAsia" w:ascii="仿宋" w:hAnsi="仿宋" w:eastAsia="仿宋" w:cs="仿宋"/>
                <w:color w:val="auto"/>
                <w:sz w:val="24"/>
                <w:highlight w:val="none"/>
              </w:rPr>
            </w:pPr>
          </w:p>
        </w:tc>
        <w:tc>
          <w:tcPr>
            <w:tcW w:w="744" w:type="dxa"/>
            <w:noWrap w:val="0"/>
            <w:vAlign w:val="top"/>
          </w:tcPr>
          <w:p w14:paraId="7C014170">
            <w:pPr>
              <w:spacing w:line="20" w:lineRule="atLeast"/>
              <w:rPr>
                <w:rFonts w:hint="eastAsia" w:ascii="仿宋" w:hAnsi="仿宋" w:eastAsia="仿宋" w:cs="仿宋"/>
                <w:color w:val="auto"/>
                <w:sz w:val="24"/>
                <w:highlight w:val="none"/>
              </w:rPr>
            </w:pPr>
          </w:p>
        </w:tc>
        <w:tc>
          <w:tcPr>
            <w:tcW w:w="826" w:type="dxa"/>
            <w:noWrap w:val="0"/>
            <w:vAlign w:val="top"/>
          </w:tcPr>
          <w:p w14:paraId="04251F7A">
            <w:pPr>
              <w:spacing w:line="20" w:lineRule="atLeast"/>
              <w:rPr>
                <w:rFonts w:hint="eastAsia" w:ascii="仿宋" w:hAnsi="仿宋" w:eastAsia="仿宋" w:cs="仿宋"/>
                <w:color w:val="auto"/>
                <w:sz w:val="24"/>
                <w:highlight w:val="none"/>
              </w:rPr>
            </w:pPr>
          </w:p>
        </w:tc>
        <w:tc>
          <w:tcPr>
            <w:tcW w:w="660" w:type="dxa"/>
            <w:noWrap w:val="0"/>
            <w:vAlign w:val="top"/>
          </w:tcPr>
          <w:p w14:paraId="396D906E">
            <w:pPr>
              <w:spacing w:line="20" w:lineRule="atLeast"/>
              <w:rPr>
                <w:rFonts w:hint="eastAsia" w:ascii="仿宋" w:hAnsi="仿宋" w:eastAsia="仿宋" w:cs="仿宋"/>
                <w:color w:val="auto"/>
                <w:sz w:val="24"/>
                <w:highlight w:val="none"/>
              </w:rPr>
            </w:pPr>
          </w:p>
        </w:tc>
        <w:tc>
          <w:tcPr>
            <w:tcW w:w="1350" w:type="dxa"/>
            <w:noWrap w:val="0"/>
            <w:vAlign w:val="top"/>
          </w:tcPr>
          <w:p w14:paraId="54CED7B8">
            <w:pPr>
              <w:spacing w:line="20" w:lineRule="atLeast"/>
              <w:rPr>
                <w:rFonts w:hint="eastAsia" w:ascii="仿宋" w:hAnsi="仿宋" w:eastAsia="仿宋" w:cs="仿宋"/>
                <w:color w:val="auto"/>
                <w:sz w:val="24"/>
                <w:highlight w:val="none"/>
              </w:rPr>
            </w:pPr>
          </w:p>
        </w:tc>
      </w:tr>
    </w:tbl>
    <w:p w14:paraId="50BF6D55">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14:paraId="23CA30C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7209C982">
      <w:pPr>
        <w:adjustRightInd w:val="0"/>
        <w:snapToGrid w:val="0"/>
        <w:spacing w:line="300" w:lineRule="auto"/>
        <w:rPr>
          <w:rFonts w:ascii="仿宋" w:hAnsi="仿宋" w:eastAsia="仿宋" w:cs="仿宋"/>
          <w:b/>
          <w:color w:val="auto"/>
          <w:sz w:val="24"/>
          <w:highlight w:val="none"/>
        </w:rPr>
      </w:pPr>
    </w:p>
    <w:p w14:paraId="0AAB64F2">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4455EB1">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7B7A7045">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A02E741">
      <w:pPr>
        <w:rPr>
          <w:rFonts w:hint="eastAsia" w:ascii="仿宋" w:hAnsi="仿宋" w:eastAsia="仿宋" w:cs="仿宋"/>
          <w:color w:val="auto"/>
          <w:sz w:val="24"/>
          <w:highlight w:val="none"/>
        </w:rPr>
      </w:pPr>
    </w:p>
    <w:p w14:paraId="6E823AE2">
      <w:pPr>
        <w:pStyle w:val="10"/>
        <w:rPr>
          <w:rFonts w:hint="eastAsia" w:ascii="仿宋" w:hAnsi="仿宋" w:eastAsia="仿宋" w:cs="仿宋"/>
          <w:color w:val="auto"/>
          <w:sz w:val="24"/>
          <w:highlight w:val="none"/>
        </w:rPr>
      </w:pPr>
    </w:p>
    <w:p w14:paraId="21CFAB79">
      <w:pPr>
        <w:rPr>
          <w:rFonts w:hint="eastAsia" w:ascii="仿宋" w:hAnsi="仿宋" w:eastAsia="仿宋" w:cs="仿宋"/>
          <w:color w:val="auto"/>
          <w:sz w:val="24"/>
          <w:highlight w:val="none"/>
        </w:rPr>
      </w:pPr>
    </w:p>
    <w:p w14:paraId="6547FD6C">
      <w:pPr>
        <w:pStyle w:val="10"/>
        <w:rPr>
          <w:rFonts w:hint="eastAsia" w:ascii="仿宋" w:hAnsi="仿宋" w:eastAsia="仿宋" w:cs="仿宋"/>
          <w:color w:val="auto"/>
          <w:sz w:val="24"/>
          <w:highlight w:val="none"/>
        </w:rPr>
      </w:pPr>
    </w:p>
    <w:p w14:paraId="6F56195F">
      <w:pPr>
        <w:rPr>
          <w:rFonts w:hint="eastAsia" w:ascii="仿宋" w:hAnsi="仿宋" w:eastAsia="仿宋" w:cs="仿宋"/>
          <w:color w:val="auto"/>
          <w:sz w:val="24"/>
          <w:highlight w:val="none"/>
        </w:rPr>
      </w:pPr>
    </w:p>
    <w:p w14:paraId="4D05C327">
      <w:pPr>
        <w:pStyle w:val="10"/>
        <w:rPr>
          <w:rFonts w:hint="eastAsia" w:ascii="仿宋" w:hAnsi="仿宋" w:eastAsia="仿宋" w:cs="仿宋"/>
          <w:color w:val="auto"/>
          <w:sz w:val="24"/>
          <w:highlight w:val="none"/>
        </w:rPr>
      </w:pPr>
    </w:p>
    <w:p w14:paraId="1DF7E3EE">
      <w:pPr>
        <w:rPr>
          <w:rFonts w:hint="eastAsia" w:ascii="仿宋" w:hAnsi="仿宋" w:eastAsia="仿宋" w:cs="仿宋"/>
          <w:color w:val="auto"/>
          <w:sz w:val="24"/>
          <w:highlight w:val="none"/>
        </w:rPr>
      </w:pPr>
    </w:p>
    <w:p w14:paraId="36142FDC">
      <w:pPr>
        <w:pStyle w:val="10"/>
        <w:rPr>
          <w:rFonts w:hint="eastAsia" w:ascii="仿宋" w:hAnsi="仿宋" w:eastAsia="仿宋" w:cs="仿宋"/>
          <w:color w:val="auto"/>
          <w:sz w:val="24"/>
          <w:highlight w:val="none"/>
        </w:rPr>
      </w:pPr>
    </w:p>
    <w:p w14:paraId="07206469">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2CB05217">
      <w:pPr>
        <w:numPr>
          <w:ilvl w:val="0"/>
          <w:numId w:val="20"/>
        </w:num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价格部分</w:t>
      </w:r>
    </w:p>
    <w:p w14:paraId="525D1A9E">
      <w:pPr>
        <w:numPr>
          <w:ilvl w:val="0"/>
          <w:numId w:val="0"/>
        </w:numPr>
        <w:rPr>
          <w:rFonts w:hint="eastAsia" w:ascii="仿宋" w:hAnsi="仿宋" w:eastAsia="仿宋" w:cs="仿宋"/>
          <w:b/>
          <w:bCs/>
          <w:color w:val="auto"/>
          <w:kern w:val="2"/>
          <w:sz w:val="28"/>
          <w:szCs w:val="28"/>
          <w:highlight w:val="none"/>
          <w:lang w:val="en-US" w:eastAsia="zh-CN" w:bidi="ar-SA"/>
        </w:rPr>
      </w:pPr>
    </w:p>
    <w:p w14:paraId="48BED5A7">
      <w:pPr>
        <w:spacing w:line="312" w:lineRule="auto"/>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6.1</w:t>
      </w:r>
      <w:r>
        <w:rPr>
          <w:rFonts w:hint="eastAsia" w:ascii="仿宋" w:hAnsi="仿宋" w:eastAsia="仿宋" w:cs="仿宋"/>
          <w:b/>
          <w:bCs w:val="0"/>
          <w:color w:val="auto"/>
          <w:sz w:val="24"/>
          <w:szCs w:val="24"/>
          <w:highlight w:val="none"/>
        </w:rPr>
        <w:t>报价单</w:t>
      </w:r>
    </w:p>
    <w:p w14:paraId="02950900">
      <w:pPr>
        <w:numPr>
          <w:ilvl w:val="0"/>
          <w:numId w:val="0"/>
        </w:numPr>
        <w:rPr>
          <w:rFonts w:hint="eastAsia" w:ascii="仿宋" w:hAnsi="仿宋" w:eastAsia="仿宋" w:cs="仿宋"/>
          <w:b/>
          <w:bCs/>
          <w:color w:val="auto"/>
          <w:kern w:val="2"/>
          <w:sz w:val="28"/>
          <w:szCs w:val="28"/>
          <w:highlight w:val="none"/>
          <w:lang w:val="en-US" w:eastAsia="zh-CN" w:bidi="ar-SA"/>
        </w:rPr>
      </w:pPr>
    </w:p>
    <w:p w14:paraId="584739F9">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20A9142F">
      <w:pPr>
        <w:jc w:val="center"/>
        <w:rPr>
          <w:rFonts w:hint="eastAsia" w:ascii="仿宋" w:hAnsi="仿宋" w:eastAsia="仿宋" w:cs="仿宋"/>
          <w:b/>
          <w:bCs/>
          <w:color w:val="auto"/>
          <w:sz w:val="32"/>
          <w:szCs w:val="32"/>
          <w:highlight w:val="none"/>
        </w:rPr>
      </w:pPr>
    </w:p>
    <w:tbl>
      <w:tblPr>
        <w:tblStyle w:val="1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0264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129A5998">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14:paraId="5EB3CB59">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14:paraId="2A45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643B8919">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14:paraId="63064FAF">
            <w:pPr>
              <w:pStyle w:val="24"/>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14:paraId="16B1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480DADF6">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14:paraId="227E91DA">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14:paraId="069567E1">
      <w:pPr>
        <w:pStyle w:val="10"/>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26EC3A24">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F11DEBD">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须按要求完整填写所有信息，不得随意更改本表格式，否则作无效标处理。</w:t>
      </w:r>
    </w:p>
    <w:p w14:paraId="74541E7C">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保留两位小数。中文大写金额用汉字，如壹、贰、叁、肆、伍、陆、柒、捌、玖、拾、佰、仟、万、亿、元、角、分、零、整（正）等。小写：1234567.89元，大写：壹佰贰拾叁万肆仟伍佰陆拾柒元捌角玖分。</w:t>
      </w:r>
    </w:p>
    <w:p w14:paraId="70CCC249">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3.此表是投标文件的必要文件，是投标文件的组成部分。</w:t>
      </w:r>
    </w:p>
    <w:p w14:paraId="6979346E">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4.除招标文件另有规定外，投标文件内不得含有任何对本报价进行价格折扣的说明或资料，否则为无效投标。</w:t>
      </w:r>
    </w:p>
    <w:p w14:paraId="14D6C091">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5.合同履行期限详见招标文件要求，合同履行期限超过招标文件规定的期限为无效投标。</w:t>
      </w:r>
    </w:p>
    <w:p w14:paraId="40218C99">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6.投标报价要求详见招标文件要求，本项目不接受有选</w:t>
      </w:r>
      <w:r>
        <w:rPr>
          <w:rFonts w:hint="eastAsia" w:ascii="仿宋" w:hAnsi="仿宋" w:eastAsia="仿宋" w:cs="仿宋"/>
          <w:color w:val="auto"/>
          <w:sz w:val="24"/>
          <w:szCs w:val="24"/>
          <w:highlight w:val="none"/>
          <w:lang w:eastAsia="zh-CN"/>
        </w:rPr>
        <w:t>择性地投标</w:t>
      </w:r>
      <w:r>
        <w:rPr>
          <w:rFonts w:hint="eastAsia" w:ascii="仿宋" w:hAnsi="仿宋" w:eastAsia="仿宋" w:cs="仿宋"/>
          <w:color w:val="auto"/>
          <w:sz w:val="24"/>
          <w:szCs w:val="24"/>
          <w:highlight w:val="none"/>
        </w:rPr>
        <w:t>报价。</w:t>
      </w:r>
    </w:p>
    <w:p w14:paraId="05C53304">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14:paraId="53E6F0AC">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0928A4BE">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0406E117">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FAB1D70">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5B860FBE">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081CF5D2">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2ADB6A37">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74BD4E79">
      <w:pPr>
        <w:keepNext w:val="0"/>
        <w:keepLines w:val="0"/>
        <w:kinsoku/>
        <w:overflowPunct/>
        <w:topLinePunct w:val="0"/>
        <w:bidi w:val="0"/>
        <w:spacing w:line="312"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分项报价表</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如需</w:t>
      </w:r>
      <w:r>
        <w:rPr>
          <w:rFonts w:hint="eastAsia" w:ascii="仿宋" w:hAnsi="仿宋" w:eastAsia="仿宋" w:cs="仿宋"/>
          <w:b/>
          <w:color w:val="auto"/>
          <w:sz w:val="24"/>
          <w:szCs w:val="24"/>
          <w:highlight w:val="none"/>
          <w:lang w:eastAsia="zh-CN"/>
        </w:rPr>
        <w:t>）</w:t>
      </w:r>
    </w:p>
    <w:p w14:paraId="539B02D7">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3AC4212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w:t>
      </w:r>
    </w:p>
    <w:p w14:paraId="41066E6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0ECE9E7">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w:t>
      </w:r>
    </w:p>
    <w:p w14:paraId="4F24272F">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p w14:paraId="366D068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货币及单位：人民币/元</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2"/>
        <w:gridCol w:w="912"/>
        <w:gridCol w:w="912"/>
        <w:gridCol w:w="912"/>
        <w:gridCol w:w="912"/>
        <w:gridCol w:w="912"/>
        <w:gridCol w:w="912"/>
        <w:gridCol w:w="912"/>
        <w:gridCol w:w="912"/>
        <w:gridCol w:w="912"/>
      </w:tblGrid>
      <w:tr w14:paraId="7E6ED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1" w:hRule="atLeast"/>
        </w:trPr>
        <w:tc>
          <w:tcPr>
            <w:tcW w:w="912" w:type="dxa"/>
            <w:noWrap w:val="0"/>
            <w:vAlign w:val="top"/>
          </w:tcPr>
          <w:p w14:paraId="47BF984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12" w:type="dxa"/>
            <w:noWrap w:val="0"/>
            <w:vAlign w:val="top"/>
          </w:tcPr>
          <w:p w14:paraId="63EA942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12" w:type="dxa"/>
            <w:noWrap w:val="0"/>
            <w:vAlign w:val="top"/>
          </w:tcPr>
          <w:p w14:paraId="681D241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12" w:type="dxa"/>
            <w:noWrap w:val="0"/>
            <w:vAlign w:val="top"/>
          </w:tcPr>
          <w:p w14:paraId="080A379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12" w:type="dxa"/>
            <w:noWrap w:val="0"/>
            <w:vAlign w:val="top"/>
          </w:tcPr>
          <w:p w14:paraId="7E41FEC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912" w:type="dxa"/>
            <w:noWrap w:val="0"/>
            <w:vAlign w:val="top"/>
          </w:tcPr>
          <w:p w14:paraId="0C86565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12" w:type="dxa"/>
            <w:noWrap w:val="0"/>
            <w:vAlign w:val="top"/>
          </w:tcPr>
          <w:p w14:paraId="21E0A07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制造商名称</w:t>
            </w:r>
          </w:p>
        </w:tc>
        <w:tc>
          <w:tcPr>
            <w:tcW w:w="912" w:type="dxa"/>
            <w:noWrap w:val="0"/>
            <w:vAlign w:val="top"/>
          </w:tcPr>
          <w:p w14:paraId="1FF6B2C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12" w:type="dxa"/>
            <w:noWrap w:val="0"/>
            <w:vAlign w:val="top"/>
          </w:tcPr>
          <w:p w14:paraId="3D660B6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12" w:type="dxa"/>
            <w:noWrap w:val="0"/>
            <w:vAlign w:val="top"/>
          </w:tcPr>
          <w:p w14:paraId="475FCDB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105F2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trPr>
        <w:tc>
          <w:tcPr>
            <w:tcW w:w="912" w:type="dxa"/>
            <w:noWrap w:val="0"/>
            <w:vAlign w:val="top"/>
          </w:tcPr>
          <w:p w14:paraId="3AF0C64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2" w:type="dxa"/>
            <w:noWrap w:val="0"/>
            <w:vAlign w:val="top"/>
          </w:tcPr>
          <w:p w14:paraId="7373135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5D15571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16080F7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203E241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0442FF1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26C96ED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2B19859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754BC4E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5C1BD7B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7939137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p w14:paraId="7646FECF">
      <w:pPr>
        <w:pStyle w:val="16"/>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908"/>
        <w:gridCol w:w="908"/>
        <w:gridCol w:w="908"/>
        <w:gridCol w:w="908"/>
        <w:gridCol w:w="908"/>
        <w:gridCol w:w="908"/>
        <w:gridCol w:w="908"/>
        <w:gridCol w:w="908"/>
        <w:gridCol w:w="908"/>
      </w:tblGrid>
      <w:tr w14:paraId="3A3A5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4" w:hRule="atLeast"/>
        </w:trPr>
        <w:tc>
          <w:tcPr>
            <w:tcW w:w="908" w:type="dxa"/>
            <w:noWrap w:val="0"/>
            <w:vAlign w:val="top"/>
          </w:tcPr>
          <w:p w14:paraId="267EC42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08" w:type="dxa"/>
            <w:noWrap w:val="0"/>
            <w:vAlign w:val="top"/>
          </w:tcPr>
          <w:p w14:paraId="227D4E1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8" w:type="dxa"/>
            <w:noWrap w:val="0"/>
            <w:vAlign w:val="top"/>
          </w:tcPr>
          <w:p w14:paraId="3A806C6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908" w:type="dxa"/>
            <w:noWrap w:val="0"/>
            <w:vAlign w:val="top"/>
          </w:tcPr>
          <w:p w14:paraId="60A796E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908" w:type="dxa"/>
            <w:noWrap w:val="0"/>
            <w:vAlign w:val="top"/>
          </w:tcPr>
          <w:p w14:paraId="2EF93EA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tc>
        <w:tc>
          <w:tcPr>
            <w:tcW w:w="908" w:type="dxa"/>
            <w:noWrap w:val="0"/>
            <w:vAlign w:val="top"/>
          </w:tcPr>
          <w:p w14:paraId="3154D27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908" w:type="dxa"/>
            <w:noWrap w:val="0"/>
            <w:vAlign w:val="top"/>
          </w:tcPr>
          <w:p w14:paraId="52C82C2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服务标准</w:t>
            </w:r>
          </w:p>
        </w:tc>
        <w:tc>
          <w:tcPr>
            <w:tcW w:w="908" w:type="dxa"/>
            <w:noWrap w:val="0"/>
            <w:vAlign w:val="top"/>
          </w:tcPr>
          <w:p w14:paraId="4797BD7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08" w:type="dxa"/>
            <w:noWrap w:val="0"/>
            <w:vAlign w:val="top"/>
          </w:tcPr>
          <w:p w14:paraId="387AE7F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08" w:type="dxa"/>
            <w:noWrap w:val="0"/>
            <w:vAlign w:val="top"/>
          </w:tcPr>
          <w:p w14:paraId="0F97533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4F193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908" w:type="dxa"/>
            <w:noWrap w:val="0"/>
            <w:vAlign w:val="top"/>
          </w:tcPr>
          <w:p w14:paraId="062E774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8" w:type="dxa"/>
            <w:noWrap w:val="0"/>
            <w:vAlign w:val="top"/>
          </w:tcPr>
          <w:p w14:paraId="4E3270E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54C907D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6D1620E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1DD68DC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42291DA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3E7BFBC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2AB0B4E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0526016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01E7213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5636CA20">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14:paraId="11067FA5">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14:paraId="73B5198B">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3EAB9240">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49362CAE">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601B311">
      <w:pPr>
        <w:pStyle w:val="11"/>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6C1777CC">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政府采购</w:t>
      </w:r>
      <w:r>
        <w:rPr>
          <w:rFonts w:hint="eastAsia" w:ascii="仿宋" w:hAnsi="仿宋" w:eastAsia="仿宋" w:cs="仿宋"/>
          <w:b/>
          <w:color w:val="auto"/>
          <w:sz w:val="24"/>
          <w:szCs w:val="24"/>
          <w:highlight w:val="none"/>
        </w:rPr>
        <w:t>政策适用性说明</w:t>
      </w:r>
    </w:p>
    <w:p w14:paraId="1A774AE7">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42BF4986">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中小企业声明函（所投产品制造商为中小企业时提交本函，所属行业应符合采购文件中明确的本项目所属行业）</w:t>
      </w:r>
    </w:p>
    <w:p w14:paraId="43D10881">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中小企业声明函（货物）</w:t>
      </w:r>
    </w:p>
    <w:p w14:paraId="7636BA1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10E7DC9D">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3896D961">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0C8E84DB">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451F79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67C870AA">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74D76FD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14:paraId="03C1BD8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9F399B4">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392EFBC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75B9E0B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180D6976">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应当对其出具的《中小企业声明函》真实性负责，</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出具的《中小企业声明函》内容不实的，属于提供虚假材料谋取中标。在实际操作中，</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希望获得中小企业扶持政策支持的，应从制造商处获得充分、准确的信息。对相关制造商信息了解不充分，或者不能确定相关信息真实、准确的，不建议出具《中小企业声明函》。</w:t>
      </w:r>
    </w:p>
    <w:p w14:paraId="3DA934A1">
      <w:pPr>
        <w:keepNext w:val="0"/>
        <w:keepLines w:val="0"/>
        <w:kinsoku/>
        <w:overflowPunct/>
        <w:topLinePunct w:val="0"/>
        <w:bidi w:val="0"/>
        <w:adjustRightInd w:val="0"/>
        <w:snapToGrid w:val="0"/>
        <w:spacing w:before="120" w:beforeLines="50" w:after="120" w:afterLines="50" w:line="312" w:lineRule="auto"/>
        <w:jc w:val="center"/>
        <w:textAlignment w:val="auto"/>
        <w:outlineLvl w:val="9"/>
        <w:rPr>
          <w:rFonts w:hint="eastAsia" w:ascii="仿宋" w:hAnsi="仿宋" w:eastAsia="仿宋" w:cs="仿宋"/>
          <w:b w:val="0"/>
          <w:bCs w:val="0"/>
          <w:color w:val="auto"/>
          <w:sz w:val="24"/>
          <w:szCs w:val="24"/>
          <w:highlight w:val="none"/>
        </w:rPr>
        <w:sectPr>
          <w:footerReference r:id="rId6" w:type="default"/>
          <w:pgSz w:w="11910" w:h="16840"/>
          <w:pgMar w:top="1417" w:right="1417" w:bottom="1417" w:left="1417" w:header="737" w:footer="454" w:gutter="0"/>
          <w:pgNumType w:fmt="decimal"/>
          <w:cols w:space="720" w:num="1"/>
        </w:sectPr>
      </w:pPr>
    </w:p>
    <w:p w14:paraId="1B120974">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中小企业声明函（承建本项目工程为中小企业或者承接本项目服务为中小企业时提交本函，所属行业应符合采购文件中明确的本项目所属行业）</w:t>
      </w:r>
    </w:p>
    <w:p w14:paraId="1FB21F8E">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中小企业声明函（工程、服务）</w:t>
      </w:r>
    </w:p>
    <w:p w14:paraId="667D0167">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86E5FD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08D73A07">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0235F404">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1C2613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0CE701C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19ED1DF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14:paraId="797FFB1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51771602">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63E424A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应当自行核实是否属于小微企业，并认真填写声明函，若有虚假将追究其责任。</w:t>
      </w:r>
    </w:p>
    <w:p w14:paraId="0AEB23AD">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40998D61">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669895DA">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监狱企业</w:t>
      </w:r>
    </w:p>
    <w:p w14:paraId="5A484154">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提供由监狱管理局、戒毒管理局（含新疆生产建设兵团）出具的属于监狱企业的证明文件。</w:t>
      </w:r>
    </w:p>
    <w:p w14:paraId="14698A78">
      <w:pPr>
        <w:keepNext w:val="0"/>
        <w:keepLines w:val="0"/>
        <w:kinsoku/>
        <w:overflowPunct/>
        <w:topLinePunct w:val="0"/>
        <w:bidi w:val="0"/>
        <w:spacing w:line="312" w:lineRule="auto"/>
        <w:textAlignment w:val="auto"/>
        <w:outlineLvl w:val="9"/>
        <w:rPr>
          <w:rFonts w:hint="eastAsia" w:ascii="仿宋" w:hAnsi="仿宋" w:eastAsia="仿宋" w:cs="仿宋"/>
          <w:bCs/>
          <w:color w:val="auto"/>
          <w:sz w:val="24"/>
          <w:szCs w:val="24"/>
          <w:highlight w:val="none"/>
          <w:u w:val="single"/>
        </w:rPr>
      </w:pPr>
    </w:p>
    <w:p w14:paraId="46F9A1B7">
      <w:pPr>
        <w:keepNext w:val="0"/>
        <w:keepLines w:val="0"/>
        <w:kinsoku/>
        <w:overflowPunct/>
        <w:topLinePunct w:val="0"/>
        <w:bidi w:val="0"/>
        <w:spacing w:line="312" w:lineRule="auto"/>
        <w:ind w:firstLine="486" w:firstLineChars="200"/>
        <w:jc w:val="center"/>
        <w:textAlignment w:val="auto"/>
        <w:outlineLvl w:val="9"/>
        <w:rPr>
          <w:rFonts w:hint="eastAsia" w:ascii="仿宋" w:hAnsi="仿宋" w:eastAsia="仿宋" w:cs="仿宋"/>
          <w:bCs/>
          <w:color w:val="auto"/>
          <w:sz w:val="24"/>
          <w:szCs w:val="24"/>
          <w:highlight w:val="none"/>
        </w:rPr>
      </w:pPr>
    </w:p>
    <w:p w14:paraId="11D80933">
      <w:pPr>
        <w:pStyle w:val="11"/>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0FB87651">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7E76C9D1">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残疾人福利性单位声明函</w:t>
      </w:r>
    </w:p>
    <w:p w14:paraId="54DBDCC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A28382">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32096B4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单位名称（盖章）：__________________</w:t>
      </w:r>
    </w:p>
    <w:p w14:paraId="5E66F38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300851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注：本函未填写或未勾选视作未做声明。</w:t>
      </w:r>
    </w:p>
    <w:p w14:paraId="6BA87B4B">
      <w:pPr>
        <w:tabs>
          <w:tab w:val="left" w:pos="420"/>
          <w:tab w:val="left" w:pos="6660"/>
        </w:tabs>
        <w:spacing w:line="1600" w:lineRule="atLeast"/>
        <w:rPr>
          <w:rFonts w:hint="eastAsia" w:ascii="仿宋" w:hAnsi="仿宋" w:eastAsia="仿宋" w:cs="仿宋"/>
          <w:b/>
          <w:color w:val="auto"/>
          <w:sz w:val="72"/>
          <w:szCs w:val="72"/>
          <w:highlight w:val="none"/>
        </w:rPr>
      </w:pPr>
    </w:p>
    <w:p w14:paraId="16940258">
      <w:pPr>
        <w:rPr>
          <w:highlight w:val="none"/>
        </w:rPr>
      </w:pPr>
    </w:p>
    <w:p w14:paraId="56B112A3">
      <w:pPr>
        <w:rPr>
          <w:highlight w:val="none"/>
        </w:rPr>
      </w:pPr>
    </w:p>
    <w:p w14:paraId="59F71BE8">
      <w:pPr>
        <w:rPr>
          <w:highlight w:val="none"/>
        </w:rPr>
      </w:pPr>
    </w:p>
    <w:p w14:paraId="6F3FB2EC">
      <w:pPr>
        <w:rPr>
          <w:rFonts w:hint="eastAsia" w:ascii="仿宋" w:hAnsi="仿宋" w:eastAsia="仿宋" w:cs="仿宋"/>
          <w:color w:val="auto"/>
          <w:highlight w:val="none"/>
        </w:rPr>
      </w:pPr>
    </w:p>
    <w:p w14:paraId="351F326D">
      <w:pPr>
        <w:rPr>
          <w:rFonts w:hint="eastAsia" w:ascii="仿宋" w:hAnsi="仿宋" w:eastAsia="仿宋" w:cs="仿宋"/>
          <w:highlight w:val="none"/>
        </w:rPr>
      </w:pPr>
    </w:p>
    <w:p w14:paraId="1794AE23">
      <w:pPr>
        <w:rPr>
          <w:b/>
          <w:bCs/>
          <w:color w:val="auto"/>
          <w:highlight w:val="none"/>
        </w:rPr>
      </w:pPr>
    </w:p>
    <w:p w14:paraId="721ACFAC">
      <w:pPr>
        <w:rPr>
          <w:highlight w:val="none"/>
        </w:rPr>
      </w:pPr>
    </w:p>
    <w:p w14:paraId="3DC7E9E6">
      <w:pPr>
        <w:rPr>
          <w:highlight w:val="none"/>
        </w:rPr>
      </w:pPr>
    </w:p>
    <w:p w14:paraId="080B5AB3">
      <w:pPr>
        <w:rPr>
          <w:highlight w:val="none"/>
        </w:rPr>
      </w:pPr>
    </w:p>
    <w:p w14:paraId="19BF0BCC">
      <w:pPr>
        <w:rPr>
          <w:highlight w:val="none"/>
        </w:rPr>
      </w:pPr>
    </w:p>
    <w:p w14:paraId="668AE268">
      <w:pPr>
        <w:rPr>
          <w:highlight w:val="none"/>
        </w:rPr>
      </w:pPr>
    </w:p>
    <w:p w14:paraId="7238A27E">
      <w:pPr>
        <w:rPr>
          <w:highlight w:val="none"/>
        </w:rPr>
      </w:pPr>
    </w:p>
    <w:sectPr>
      <w:headerReference r:id="rId7" w:type="default"/>
      <w:footerReference r:id="rId8" w:type="default"/>
      <w:pgSz w:w="11906" w:h="16838"/>
      <w:pgMar w:top="1440" w:right="1797" w:bottom="1440" w:left="1797" w:header="851" w:footer="992" w:gutter="0"/>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CF9C5">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F67DE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3F67DE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E41F">
    <w:pPr>
      <w:pStyle w:val="13"/>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864434">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5864434">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48A5">
    <w:pPr>
      <w:pStyle w:val="10"/>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2607945</wp:posOffset>
              </wp:positionH>
              <wp:positionV relativeFrom="paragraph">
                <wp:posOffset>-266700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C653AA">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5.35pt;margin-top:-21pt;height:144pt;width:144pt;mso-position-horizontal-relative:margin;mso-wrap-style:none;z-index:251663360;mso-width-relative:page;mso-height-relative:page;" filled="f" stroked="f" coordsize="21600,21600" o:gfxdata="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&#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O2MvXAAAACwEAAA8AAAAAAAAAAQAgAAAAIgAAAGRy&#10;cy9kb3ducmV2LnhtbFBLAQIUABQAAAAIAIdO4kBeByCxzQEAAKkDAAAOAAAAAAAAAAEAIAAAACYB&#10;AABkcnMvZTJvRG9jLnhtbFBLBQYAAAAABgAGAFkBAABlBQAAAAA=&#10;">
              <v:fill on="f" focussize="0,0"/>
              <v:stroke on="f"/>
              <v:imagedata o:title=""/>
              <o:lock v:ext="edit" aspectratio="f"/>
              <v:textbox inset="0mm,0mm,0mm,0mm" style="mso-fit-shape-to-text:t;">
                <w:txbxContent>
                  <w:p w14:paraId="0EC653AA">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4DDBF1">
                          <w:pPr>
                            <w:pStyle w:val="13"/>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0E4DDBF1">
                    <w:pPr>
                      <w:pStyle w:val="13"/>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58B5">
    <w:pPr>
      <w:pStyle w:val="1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C3828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AC3828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4646">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C62FA">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3B9E1"/>
    <w:multiLevelType w:val="singleLevel"/>
    <w:tmpl w:val="84A3B9E1"/>
    <w:lvl w:ilvl="0" w:tentative="0">
      <w:start w:val="1"/>
      <w:numFmt w:val="decimal"/>
      <w:suff w:val="nothing"/>
      <w:lvlText w:val="(%1)"/>
      <w:lvlJc w:val="left"/>
      <w:pPr>
        <w:ind w:left="0" w:firstLine="567"/>
      </w:pPr>
      <w:rPr>
        <w:rFonts w:hint="default"/>
      </w:rPr>
    </w:lvl>
  </w:abstractNum>
  <w:abstractNum w:abstractNumId="1">
    <w:nsid w:val="85FA4351"/>
    <w:multiLevelType w:val="singleLevel"/>
    <w:tmpl w:val="85FA4351"/>
    <w:lvl w:ilvl="0" w:tentative="0">
      <w:start w:val="4"/>
      <w:numFmt w:val="decimal"/>
      <w:suff w:val="nothing"/>
      <w:lvlText w:val="（%1）"/>
      <w:lvlJc w:val="left"/>
    </w:lvl>
  </w:abstractNum>
  <w:abstractNum w:abstractNumId="2">
    <w:nsid w:val="9B003A6C"/>
    <w:multiLevelType w:val="singleLevel"/>
    <w:tmpl w:val="9B003A6C"/>
    <w:lvl w:ilvl="0" w:tentative="0">
      <w:start w:val="1"/>
      <w:numFmt w:val="decimal"/>
      <w:suff w:val="nothing"/>
      <w:lvlText w:val="(%1)"/>
      <w:lvlJc w:val="left"/>
      <w:pPr>
        <w:ind w:left="0" w:firstLine="567"/>
      </w:pPr>
      <w:rPr>
        <w:rFonts w:hint="default"/>
      </w:rPr>
    </w:lvl>
  </w:abstractNum>
  <w:abstractNum w:abstractNumId="3">
    <w:nsid w:val="AF902BD3"/>
    <w:multiLevelType w:val="singleLevel"/>
    <w:tmpl w:val="AF902BD3"/>
    <w:lvl w:ilvl="0" w:tentative="0">
      <w:start w:val="1"/>
      <w:numFmt w:val="decimal"/>
      <w:suff w:val="nothing"/>
      <w:lvlText w:val="(%1)"/>
      <w:lvlJc w:val="left"/>
      <w:pPr>
        <w:ind w:left="0" w:firstLine="567"/>
      </w:pPr>
      <w:rPr>
        <w:rFonts w:hint="default"/>
      </w:rPr>
    </w:lvl>
  </w:abstractNum>
  <w:abstractNum w:abstractNumId="4">
    <w:nsid w:val="C140C2CC"/>
    <w:multiLevelType w:val="singleLevel"/>
    <w:tmpl w:val="C140C2CC"/>
    <w:lvl w:ilvl="0" w:tentative="0">
      <w:start w:val="1"/>
      <w:numFmt w:val="chineseCounting"/>
      <w:suff w:val="nothing"/>
      <w:lvlText w:val="%1、"/>
      <w:lvlJc w:val="left"/>
      <w:rPr>
        <w:rFonts w:hint="eastAsia"/>
      </w:rPr>
    </w:lvl>
  </w:abstractNum>
  <w:abstractNum w:abstractNumId="5">
    <w:nsid w:val="C57B1A6D"/>
    <w:multiLevelType w:val="singleLevel"/>
    <w:tmpl w:val="C57B1A6D"/>
    <w:lvl w:ilvl="0" w:tentative="0">
      <w:start w:val="15"/>
      <w:numFmt w:val="chineseCounting"/>
      <w:suff w:val="nothing"/>
      <w:lvlText w:val="%1、"/>
      <w:lvlJc w:val="left"/>
      <w:rPr>
        <w:rFonts w:hint="eastAsia"/>
      </w:rPr>
    </w:lvl>
  </w:abstractNum>
  <w:abstractNum w:abstractNumId="6">
    <w:nsid w:val="D2010C92"/>
    <w:multiLevelType w:val="singleLevel"/>
    <w:tmpl w:val="D2010C92"/>
    <w:lvl w:ilvl="0" w:tentative="0">
      <w:start w:val="6"/>
      <w:numFmt w:val="decimal"/>
      <w:lvlText w:val="%1."/>
      <w:lvlJc w:val="left"/>
      <w:pPr>
        <w:tabs>
          <w:tab w:val="left" w:pos="312"/>
        </w:tabs>
      </w:pPr>
    </w:lvl>
  </w:abstractNum>
  <w:abstractNum w:abstractNumId="7">
    <w:nsid w:val="F037B219"/>
    <w:multiLevelType w:val="singleLevel"/>
    <w:tmpl w:val="F037B219"/>
    <w:lvl w:ilvl="0" w:tentative="0">
      <w:start w:val="1"/>
      <w:numFmt w:val="decimal"/>
      <w:suff w:val="nothing"/>
      <w:lvlText w:val="(%1)"/>
      <w:lvlJc w:val="left"/>
      <w:pPr>
        <w:ind w:left="0" w:firstLine="567"/>
      </w:pPr>
      <w:rPr>
        <w:rFonts w:hint="default"/>
      </w:rPr>
    </w:lvl>
  </w:abstractNum>
  <w:abstractNum w:abstractNumId="8">
    <w:nsid w:val="013C733C"/>
    <w:multiLevelType w:val="singleLevel"/>
    <w:tmpl w:val="013C733C"/>
    <w:lvl w:ilvl="0" w:tentative="0">
      <w:start w:val="1"/>
      <w:numFmt w:val="decimal"/>
      <w:suff w:val="nothing"/>
      <w:lvlText w:val="(%1)"/>
      <w:lvlJc w:val="left"/>
      <w:pPr>
        <w:ind w:left="0" w:firstLine="567"/>
      </w:pPr>
      <w:rPr>
        <w:rFonts w:hint="default"/>
      </w:rPr>
    </w:lvl>
  </w:abstractNum>
  <w:abstractNum w:abstractNumId="9">
    <w:nsid w:val="1512DE7F"/>
    <w:multiLevelType w:val="singleLevel"/>
    <w:tmpl w:val="1512DE7F"/>
    <w:lvl w:ilvl="0" w:tentative="0">
      <w:start w:val="1"/>
      <w:numFmt w:val="decimal"/>
      <w:lvlText w:val="%1."/>
      <w:lvlJc w:val="left"/>
      <w:pPr>
        <w:tabs>
          <w:tab w:val="left" w:pos="312"/>
        </w:tabs>
      </w:pPr>
    </w:lvl>
  </w:abstractNum>
  <w:abstractNum w:abstractNumId="10">
    <w:nsid w:val="2EB02D94"/>
    <w:multiLevelType w:val="singleLevel"/>
    <w:tmpl w:val="2EB02D94"/>
    <w:lvl w:ilvl="0" w:tentative="0">
      <w:start w:val="14"/>
      <w:numFmt w:val="decimal"/>
      <w:suff w:val="nothing"/>
      <w:lvlText w:val="%1、"/>
      <w:lvlJc w:val="left"/>
    </w:lvl>
  </w:abstractNum>
  <w:abstractNum w:abstractNumId="11">
    <w:nsid w:val="3A2B4D8D"/>
    <w:multiLevelType w:val="multilevel"/>
    <w:tmpl w:val="3A2B4D8D"/>
    <w:lvl w:ilvl="0" w:tentative="0">
      <w:start w:val="1"/>
      <w:numFmt w:val="chineseCountingThousand"/>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pStyle w:val="5"/>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suff w:val="space"/>
      <w:lvlText w:val="%3.%4.%5"/>
      <w:lvlJc w:val="left"/>
      <w:pPr>
        <w:ind w:left="426" w:firstLine="0"/>
      </w:pPr>
      <w:rPr>
        <w:rFonts w:hint="eastAsia"/>
      </w:rPr>
    </w:lvl>
    <w:lvl w:ilvl="5" w:tentative="0">
      <w:start w:val="1"/>
      <w:numFmt w:val="decimal"/>
      <w:suff w:val="space"/>
      <w:lvlText w:val="%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2">
    <w:nsid w:val="3E95704F"/>
    <w:multiLevelType w:val="singleLevel"/>
    <w:tmpl w:val="3E95704F"/>
    <w:lvl w:ilvl="0" w:tentative="0">
      <w:start w:val="1"/>
      <w:numFmt w:val="decimal"/>
      <w:suff w:val="nothing"/>
      <w:lvlText w:val="(%1)"/>
      <w:lvlJc w:val="left"/>
      <w:pPr>
        <w:ind w:left="0" w:firstLine="567"/>
      </w:pPr>
      <w:rPr>
        <w:rFonts w:hint="default"/>
      </w:rPr>
    </w:lvl>
  </w:abstractNum>
  <w:abstractNum w:abstractNumId="13">
    <w:nsid w:val="4C801987"/>
    <w:multiLevelType w:val="singleLevel"/>
    <w:tmpl w:val="4C801987"/>
    <w:lvl w:ilvl="0" w:tentative="0">
      <w:start w:val="1"/>
      <w:numFmt w:val="decimal"/>
      <w:suff w:val="nothing"/>
      <w:lvlText w:val="(%1)"/>
      <w:lvlJc w:val="left"/>
      <w:pPr>
        <w:ind w:left="0" w:firstLine="567"/>
      </w:pPr>
      <w:rPr>
        <w:rFonts w:hint="default"/>
      </w:rPr>
    </w:lvl>
  </w:abstractNum>
  <w:abstractNum w:abstractNumId="14">
    <w:nsid w:val="569C8C25"/>
    <w:multiLevelType w:val="singleLevel"/>
    <w:tmpl w:val="569C8C25"/>
    <w:lvl w:ilvl="0" w:tentative="0">
      <w:start w:val="1"/>
      <w:numFmt w:val="chineseCounting"/>
      <w:suff w:val="nothing"/>
      <w:lvlText w:val="%1、"/>
      <w:lvlJc w:val="left"/>
    </w:lvl>
  </w:abstractNum>
  <w:abstractNum w:abstractNumId="15">
    <w:nsid w:val="624AA820"/>
    <w:multiLevelType w:val="singleLevel"/>
    <w:tmpl w:val="624AA820"/>
    <w:lvl w:ilvl="0" w:tentative="0">
      <w:start w:val="1"/>
      <w:numFmt w:val="decimal"/>
      <w:suff w:val="nothing"/>
      <w:lvlText w:val="(%1)"/>
      <w:lvlJc w:val="left"/>
      <w:pPr>
        <w:ind w:left="0" w:firstLine="567"/>
      </w:pPr>
      <w:rPr>
        <w:rFonts w:hint="default"/>
      </w:rPr>
    </w:lvl>
  </w:abstractNum>
  <w:abstractNum w:abstractNumId="16">
    <w:nsid w:val="63CC4498"/>
    <w:multiLevelType w:val="singleLevel"/>
    <w:tmpl w:val="63CC4498"/>
    <w:lvl w:ilvl="0" w:tentative="0">
      <w:start w:val="1"/>
      <w:numFmt w:val="decimal"/>
      <w:suff w:val="nothing"/>
      <w:lvlText w:val="(%1)"/>
      <w:lvlJc w:val="left"/>
      <w:pPr>
        <w:ind w:left="0" w:firstLine="567"/>
      </w:pPr>
      <w:rPr>
        <w:rFonts w:hint="default"/>
      </w:rPr>
    </w:lvl>
  </w:abstractNum>
  <w:abstractNum w:abstractNumId="17">
    <w:nsid w:val="6583536A"/>
    <w:multiLevelType w:val="singleLevel"/>
    <w:tmpl w:val="6583536A"/>
    <w:lvl w:ilvl="0" w:tentative="0">
      <w:start w:val="4"/>
      <w:numFmt w:val="chineseCounting"/>
      <w:suff w:val="nothing"/>
      <w:lvlText w:val="%1、"/>
      <w:lvlJc w:val="left"/>
      <w:rPr>
        <w:rFonts w:hint="eastAsia"/>
      </w:rPr>
    </w:lvl>
  </w:abstractNum>
  <w:abstractNum w:abstractNumId="18">
    <w:nsid w:val="70222339"/>
    <w:multiLevelType w:val="multilevel"/>
    <w:tmpl w:val="70222339"/>
    <w:lvl w:ilvl="0" w:tentative="0">
      <w:start w:val="1"/>
      <w:numFmt w:val="decimal"/>
      <w:pStyle w:val="2"/>
      <w:lvlText w:val="%1."/>
      <w:lvlJc w:val="left"/>
      <w:pPr>
        <w:ind w:left="0" w:firstLine="0"/>
      </w:pPr>
      <w:rPr>
        <w:rFonts w:ascii="宋体" w:hAnsi="宋体" w:eastAsia="宋体"/>
        <w:b/>
        <w:i w:val="0"/>
        <w:iCs w:val="0"/>
        <w:caps w:val="0"/>
        <w:smallCaps w:val="0"/>
        <w:strike w:val="0"/>
        <w:dstrike w:val="0"/>
        <w:vanish w:val="0"/>
        <w:color w:val="000000"/>
        <w:spacing w:val="0"/>
        <w:position w:val="0"/>
        <w:u w:val="none"/>
        <w:vertAlign w:val="baseline"/>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19">
    <w:nsid w:val="7E7DEDB8"/>
    <w:multiLevelType w:val="singleLevel"/>
    <w:tmpl w:val="7E7DEDB8"/>
    <w:lvl w:ilvl="0" w:tentative="0">
      <w:start w:val="1"/>
      <w:numFmt w:val="decimal"/>
      <w:suff w:val="nothing"/>
      <w:lvlText w:val="(%1)"/>
      <w:lvlJc w:val="left"/>
      <w:pPr>
        <w:ind w:left="0" w:firstLine="567"/>
      </w:pPr>
      <w:rPr>
        <w:rFonts w:hint="default"/>
      </w:rPr>
    </w:lvl>
  </w:abstractNum>
  <w:num w:numId="1">
    <w:abstractNumId w:val="18"/>
  </w:num>
  <w:num w:numId="2">
    <w:abstractNumId w:val="11"/>
  </w:num>
  <w:num w:numId="3">
    <w:abstractNumId w:val="17"/>
  </w:num>
  <w:num w:numId="4">
    <w:abstractNumId w:val="14"/>
  </w:num>
  <w:num w:numId="5">
    <w:abstractNumId w:val="15"/>
  </w:num>
  <w:num w:numId="6">
    <w:abstractNumId w:val="2"/>
  </w:num>
  <w:num w:numId="7">
    <w:abstractNumId w:val="0"/>
  </w:num>
  <w:num w:numId="8">
    <w:abstractNumId w:val="12"/>
  </w:num>
  <w:num w:numId="9">
    <w:abstractNumId w:val="7"/>
  </w:num>
  <w:num w:numId="10">
    <w:abstractNumId w:val="8"/>
  </w:num>
  <w:num w:numId="11">
    <w:abstractNumId w:val="16"/>
  </w:num>
  <w:num w:numId="12">
    <w:abstractNumId w:val="19"/>
  </w:num>
  <w:num w:numId="13">
    <w:abstractNumId w:val="13"/>
  </w:num>
  <w:num w:numId="14">
    <w:abstractNumId w:val="3"/>
  </w:num>
  <w:num w:numId="15">
    <w:abstractNumId w:val="9"/>
  </w:num>
  <w:num w:numId="16">
    <w:abstractNumId w:val="10"/>
  </w:num>
  <w:num w:numId="17">
    <w:abstractNumId w:val="1"/>
  </w:num>
  <w:num w:numId="18">
    <w:abstractNumId w:val="4"/>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10446B21"/>
    <w:rsid w:val="0A85459D"/>
    <w:rsid w:val="0F9D2461"/>
    <w:rsid w:val="10446B21"/>
    <w:rsid w:val="161E2FD6"/>
    <w:rsid w:val="349B511E"/>
    <w:rsid w:val="6A9C6CE6"/>
    <w:rsid w:val="6F42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val="0"/>
      <w:numPr>
        <w:ilvl w:val="0"/>
        <w:numId w:val="1"/>
      </w:numPr>
      <w:topLinePunct/>
      <w:spacing w:before="20" w:after="20" w:line="360" w:lineRule="auto"/>
      <w:jc w:val="both"/>
      <w:outlineLvl w:val="0"/>
    </w:pPr>
    <w:rPr>
      <w:rFonts w:ascii="Calibri" w:hAnsi="Calibri" w:eastAsia="宋体" w:cs="Times New Roman"/>
      <w:b/>
      <w:bCs/>
      <w:sz w:val="21"/>
      <w:szCs w:val="44"/>
      <w:lang w:val="en-US" w:eastAsia="zh-CN" w:bidi="ar-SA"/>
    </w:rPr>
  </w:style>
  <w:style w:type="paragraph" w:styleId="3">
    <w:name w:val="heading 2"/>
    <w:basedOn w:val="4"/>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numPr>
        <w:ilvl w:val="2"/>
        <w:numId w:val="2"/>
      </w:numPr>
      <w:ind w:firstLineChars="0"/>
      <w:outlineLvl w:val="2"/>
    </w:pPr>
    <w:rPr>
      <w:rFonts w:ascii="宋体" w:hAnsi="宋体" w:cs="宋体"/>
      <w:b/>
      <w:bCs/>
      <w:sz w:val="28"/>
      <w:szCs w:val="24"/>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pPr>
  </w:style>
  <w:style w:type="paragraph" w:styleId="7">
    <w:name w:val="Normal Indent"/>
    <w:basedOn w:val="1"/>
    <w:qFormat/>
    <w:uiPriority w:val="0"/>
    <w:pPr>
      <w:ind w:firstLine="420" w:firstLineChars="200"/>
    </w:pPr>
    <w:rPr>
      <w:rFonts w:eastAsia="Verdana"/>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qFormat/>
    <w:uiPriority w:val="0"/>
    <w:pPr>
      <w:spacing w:after="120"/>
    </w:p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First Indent"/>
    <w:basedOn w:val="10"/>
    <w:next w:val="1"/>
    <w:qFormat/>
    <w:uiPriority w:val="0"/>
    <w:pPr>
      <w:widowControl/>
      <w:ind w:firstLine="420" w:firstLineChars="100"/>
    </w:pPr>
    <w:rPr>
      <w:rFonts w:ascii="Calibri" w:hAnsi="Calibri"/>
      <w:sz w:val="22"/>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表格文字"/>
    <w:basedOn w:val="1"/>
    <w:qFormat/>
    <w:uiPriority w:val="0"/>
    <w:pPr>
      <w:spacing w:before="25" w:after="25"/>
      <w:jc w:val="left"/>
    </w:pPr>
    <w:rPr>
      <w:bCs/>
      <w:spacing w:val="10"/>
      <w:kern w:val="0"/>
      <w:sz w:val="24"/>
      <w:szCs w:val="20"/>
    </w:rPr>
  </w:style>
  <w:style w:type="paragraph" w:customStyle="1" w:styleId="22">
    <w:name w:val="列出段落1"/>
    <w:basedOn w:val="1"/>
    <w:qFormat/>
    <w:uiPriority w:val="99"/>
    <w:pPr>
      <w:ind w:firstLine="420" w:firstLineChars="200"/>
    </w:p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32902</Words>
  <Characters>34001</Characters>
  <Lines>0</Lines>
  <Paragraphs>0</Paragraphs>
  <TotalTime>0</TotalTime>
  <ScaleCrop>false</ScaleCrop>
  <LinksUpToDate>false</LinksUpToDate>
  <CharactersWithSpaces>36288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2024-09-23T02:00:00Z</dcterms:created>
  <dc:creator>Yeminem</dc:creator>
  <cp:lastModifiedBy>Yeminem</cp:lastModifiedBy>
  <dcterms:modified xsi:type="dcterms:W3CDTF">2024-09-29T00:21:50Z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333F8EDB16004E56B1845925BBB612F7_11</vt:lpwstr>
  </property>
</Properties>
</file>