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ascii="仿宋" w:hAnsi="仿宋" w:eastAsia="仿宋" w:cs="仿宋"/>
          <w:b/>
          <w:color w:val="auto"/>
          <w:sz w:val="72"/>
          <w:szCs w:val="72"/>
          <w:highlight w:val="none"/>
        </w:rPr>
      </w:pPr>
    </w:p>
    <w:p>
      <w:pPr>
        <w:tabs>
          <w:tab w:val="left" w:pos="420"/>
          <w:tab w:val="left" w:pos="6660"/>
        </w:tabs>
        <w:spacing w:line="1600" w:lineRule="atLeast"/>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惠州市第一妇幼保健院</w:t>
      </w:r>
    </w:p>
    <w:p>
      <w:pPr>
        <w:tabs>
          <w:tab w:val="left" w:pos="420"/>
          <w:tab w:val="left" w:pos="6660"/>
        </w:tabs>
        <w:spacing w:line="1600" w:lineRule="atLeast"/>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ascii="仿宋" w:hAnsi="仿宋" w:eastAsia="仿宋" w:cs="仿宋"/>
          <w:bCs/>
          <w:color w:val="auto"/>
          <w:sz w:val="28"/>
          <w:szCs w:val="28"/>
          <w:highlight w:val="none"/>
        </w:rPr>
      </w:pPr>
    </w:p>
    <w:p>
      <w:pPr>
        <w:spacing w:line="500" w:lineRule="exact"/>
        <w:jc w:val="center"/>
        <w:rPr>
          <w:rFonts w:ascii="仿宋" w:hAnsi="仿宋" w:eastAsia="仿宋" w:cs="仿宋"/>
          <w:bCs/>
          <w:color w:val="auto"/>
          <w:sz w:val="28"/>
          <w:szCs w:val="28"/>
          <w:highlight w:val="none"/>
        </w:rPr>
      </w:pPr>
    </w:p>
    <w:p>
      <w:pPr>
        <w:spacing w:line="5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项目编号：ZCB-YN-2024012</w:t>
      </w:r>
    </w:p>
    <w:p>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28"/>
          <w:szCs w:val="28"/>
          <w:highlight w:val="none"/>
        </w:rPr>
        <w:t>项目名称：惠州市第一妇幼保健院</w:t>
      </w:r>
      <w:r>
        <w:rPr>
          <w:rFonts w:hint="eastAsia" w:ascii="仿宋" w:hAnsi="仿宋" w:eastAsia="仿宋" w:cs="仿宋"/>
          <w:b/>
          <w:color w:val="auto"/>
          <w:sz w:val="28"/>
          <w:szCs w:val="28"/>
          <w:highlight w:val="none"/>
          <w:lang w:eastAsia="zh-CN"/>
        </w:rPr>
        <w:t>建设检验科冷库项目（三次）</w:t>
      </w:r>
    </w:p>
    <w:p>
      <w:pPr>
        <w:jc w:val="center"/>
        <w:rPr>
          <w:rFonts w:ascii="仿宋" w:hAnsi="仿宋" w:eastAsia="仿宋" w:cs="仿宋"/>
          <w:b/>
          <w:color w:val="auto"/>
          <w:sz w:val="32"/>
          <w:szCs w:val="32"/>
          <w:highlight w:val="none"/>
        </w:rPr>
      </w:pPr>
    </w:p>
    <w:p>
      <w:pPr>
        <w:jc w:val="center"/>
        <w:rPr>
          <w:rFonts w:ascii="仿宋" w:hAnsi="仿宋" w:eastAsia="仿宋" w:cs="仿宋"/>
          <w:b/>
          <w:color w:val="auto"/>
          <w:sz w:val="32"/>
          <w:szCs w:val="32"/>
          <w:highlight w:val="none"/>
        </w:rPr>
      </w:pPr>
    </w:p>
    <w:p>
      <w:pPr>
        <w:pStyle w:val="2"/>
        <w:rPr>
          <w:rFonts w:ascii="仿宋" w:hAnsi="仿宋" w:eastAsia="仿宋" w:cs="仿宋"/>
          <w:color w:val="auto"/>
          <w:highlight w:val="none"/>
        </w:rPr>
      </w:pPr>
      <w:bookmarkStart w:id="39" w:name="_GoBack"/>
      <w:bookmarkEnd w:id="39"/>
    </w:p>
    <w:p>
      <w:pPr>
        <w:rPr>
          <w:rFonts w:ascii="仿宋" w:hAnsi="仿宋" w:eastAsia="仿宋" w:cs="仿宋"/>
          <w:b/>
          <w:color w:val="auto"/>
          <w:sz w:val="32"/>
          <w:szCs w:val="32"/>
          <w:highlight w:val="none"/>
        </w:rPr>
      </w:pPr>
    </w:p>
    <w:p>
      <w:pPr>
        <w:spacing w:line="360" w:lineRule="auto"/>
        <w:ind w:firstLine="1968" w:firstLineChars="700"/>
        <w:rPr>
          <w:rFonts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pPr>
        <w:jc w:val="center"/>
        <w:rPr>
          <w:rFonts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b/>
          <w:snapToGrid w:val="0"/>
          <w:color w:val="auto"/>
          <w:kern w:val="0"/>
          <w:sz w:val="28"/>
          <w:szCs w:val="28"/>
          <w:highlight w:val="none"/>
        </w:rPr>
        <w:t>二○二四年</w:t>
      </w:r>
      <w:r>
        <w:rPr>
          <w:rFonts w:hint="eastAsia" w:ascii="仿宋" w:hAnsi="仿宋" w:eastAsia="仿宋" w:cs="仿宋"/>
          <w:b/>
          <w:snapToGrid w:val="0"/>
          <w:color w:val="auto"/>
          <w:kern w:val="0"/>
          <w:sz w:val="28"/>
          <w:szCs w:val="28"/>
          <w:highlight w:val="none"/>
          <w:lang w:eastAsia="zh-CN"/>
        </w:rPr>
        <w:t>九</w:t>
      </w:r>
      <w:r>
        <w:rPr>
          <w:rFonts w:hint="eastAsia" w:ascii="仿宋" w:hAnsi="仿宋" w:eastAsia="仿宋" w:cs="仿宋"/>
          <w:b/>
          <w:snapToGrid w:val="0"/>
          <w:color w:val="auto"/>
          <w:kern w:val="0"/>
          <w:sz w:val="28"/>
          <w:szCs w:val="28"/>
          <w:highlight w:val="none"/>
        </w:rPr>
        <w:t>月</w:t>
      </w:r>
    </w:p>
    <w:p>
      <w:pPr>
        <w:jc w:val="center"/>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目      录</w:t>
      </w:r>
    </w:p>
    <w:p>
      <w:pPr>
        <w:pStyle w:val="6"/>
        <w:rPr>
          <w:color w:val="auto"/>
          <w:highlight w:val="none"/>
        </w:rPr>
      </w:pPr>
    </w:p>
    <w:p>
      <w:pPr>
        <w:pStyle w:val="10"/>
        <w:tabs>
          <w:tab w:val="right" w:leader="dot" w:pos="9174"/>
        </w:tabs>
        <w:spacing w:line="360" w:lineRule="auto"/>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cols w:space="720" w:num="1"/>
          <w:docGrid w:type="lines" w:linePitch="312" w:charSpace="0"/>
        </w:sectPr>
      </w:pPr>
    </w:p>
    <w:p>
      <w:pPr>
        <w:spacing w:line="420" w:lineRule="exact"/>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惠州市第一妇幼保健院</w:t>
      </w:r>
      <w:r>
        <w:rPr>
          <w:rFonts w:hint="eastAsia" w:ascii="仿宋" w:hAnsi="仿宋" w:eastAsia="仿宋" w:cs="仿宋"/>
          <w:color w:val="auto"/>
          <w:sz w:val="24"/>
          <w:highlight w:val="none"/>
          <w:lang w:eastAsia="zh-CN"/>
        </w:rPr>
        <w:t>建设检验科冷库项目（三次）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rPr>
        <w:t>ZCB-YN-2024012</w:t>
      </w: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rPr>
        <w:t>惠州市第一妇幼保健院</w:t>
      </w:r>
      <w:r>
        <w:rPr>
          <w:rFonts w:hint="eastAsia" w:ascii="仿宋" w:hAnsi="仿宋" w:eastAsia="仿宋" w:cs="仿宋"/>
          <w:color w:val="auto"/>
          <w:sz w:val="24"/>
          <w:highlight w:val="none"/>
          <w:lang w:eastAsia="zh-CN"/>
        </w:rPr>
        <w:t>建设检验科冷库项目（三次）</w:t>
      </w:r>
    </w:p>
    <w:p>
      <w:pPr>
        <w:spacing w:line="420" w:lineRule="exact"/>
        <w:ind w:firstLine="504" w:firstLineChars="21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r>
        <w:rPr>
          <w:rFonts w:hint="eastAsia" w:ascii="仿宋" w:hAnsi="仿宋" w:eastAsia="仿宋" w:cs="仿宋"/>
          <w:color w:val="auto"/>
          <w:sz w:val="24"/>
          <w:highlight w:val="none"/>
        </w:rPr>
        <w:t>检验科冷库建设位于门诊楼二楼检验科原冰箱室，冷库面积约20㎡（具体按实际为准）；要求采用外彩钢板材质（包安装调试），设计温度：2-8度；具备温度记录、超温报警、故障报警等功能，保证冷库的稳定安全节能运行。</w:t>
      </w:r>
      <w:r>
        <w:rPr>
          <w:rFonts w:hint="eastAsia" w:ascii="仿宋" w:hAnsi="仿宋" w:eastAsia="仿宋" w:cs="仿宋"/>
          <w:b/>
          <w:bCs/>
          <w:color w:val="auto"/>
          <w:sz w:val="24"/>
          <w:highlight w:val="none"/>
          <w:lang w:val="zh-CN"/>
        </w:rPr>
        <w:t>项目总预算金额（最高限价）：人民币</w:t>
      </w:r>
      <w:r>
        <w:rPr>
          <w:rFonts w:hint="eastAsia" w:ascii="仿宋" w:hAnsi="仿宋" w:eastAsia="仿宋" w:cs="仿宋"/>
          <w:b/>
          <w:bCs/>
          <w:color w:val="auto"/>
          <w:sz w:val="24"/>
          <w:highlight w:val="none"/>
        </w:rPr>
        <w:t>6.5万</w:t>
      </w:r>
      <w:r>
        <w:rPr>
          <w:rFonts w:hint="eastAsia" w:ascii="仿宋" w:hAnsi="仿宋" w:eastAsia="仿宋" w:cs="仿宋"/>
          <w:b/>
          <w:bCs/>
          <w:color w:val="auto"/>
          <w:sz w:val="24"/>
          <w:highlight w:val="none"/>
          <w:lang w:val="zh-CN"/>
        </w:rPr>
        <w:t>元。</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响应的供应商应当在2024年9月6日至2024年9月12日（上午08:00-12:00，下午14:30-17:30，法定节假日除外）</w:t>
      </w:r>
      <w:r>
        <w:rPr>
          <w:rFonts w:hint="eastAsia" w:ascii="仿宋" w:hAnsi="仿宋" w:eastAsia="仿宋" w:cs="仿宋"/>
          <w:color w:val="auto"/>
          <w:kern w:val="0"/>
          <w:sz w:val="24"/>
          <w:highlight w:val="none"/>
        </w:rPr>
        <w:t>通过惠州市第一妇幼保健院招标采购办邮箱报名。招标采购办邮箱：dyfyzcb@huizhou.gov.cn</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五、响应文件递交截止时间：2024年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rPr>
        <w:t>5号</w:t>
      </w:r>
      <w:r>
        <w:rPr>
          <w:rFonts w:hint="eastAsia" w:ascii="仿宋" w:hAnsi="仿宋" w:eastAsia="仿宋" w:cs="仿宋"/>
          <w:color w:val="auto"/>
          <w:sz w:val="24"/>
          <w:highlight w:val="none"/>
          <w:lang w:val="zh-CN"/>
        </w:rPr>
        <w:t>惠州市第一妇幼保健院发热门诊二楼开标室</w:t>
      </w:r>
      <w:r>
        <w:rPr>
          <w:rFonts w:hint="eastAsia" w:ascii="仿宋" w:hAnsi="仿宋" w:eastAsia="仿宋" w:cs="仿宋"/>
          <w:color w:val="auto"/>
          <w:sz w:val="24"/>
          <w:highlight w:val="none"/>
        </w:rPr>
        <w:t xml:space="preserve">。 </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七、比选时间：2024年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分（北京时间）</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rPr>
        <w:t>5号</w:t>
      </w:r>
      <w:r>
        <w:rPr>
          <w:rFonts w:hint="eastAsia" w:ascii="仿宋" w:hAnsi="仿宋" w:eastAsia="仿宋" w:cs="仿宋"/>
          <w:color w:val="auto"/>
          <w:sz w:val="24"/>
          <w:highlight w:val="none"/>
          <w:lang w:val="zh-CN"/>
        </w:rPr>
        <w:t>惠州市第一妇幼保健院培训楼发热门诊二楼开标室</w:t>
      </w:r>
      <w:r>
        <w:rPr>
          <w:rFonts w:hint="eastAsia" w:ascii="仿宋" w:hAnsi="仿宋" w:eastAsia="仿宋" w:cs="仿宋"/>
          <w:color w:val="auto"/>
          <w:sz w:val="24"/>
          <w:highlight w:val="none"/>
        </w:rPr>
        <w:t>。</w:t>
      </w:r>
    </w:p>
    <w:p>
      <w:pPr>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采购人：惠州市第一妇幼保健院</w:t>
      </w:r>
    </w:p>
    <w:p>
      <w:pPr>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联系人：郑工                         电话：</w:t>
      </w:r>
      <w:r>
        <w:rPr>
          <w:rFonts w:ascii="仿宋" w:hAnsi="仿宋" w:eastAsia="仿宋" w:cs="仿宋"/>
          <w:color w:val="auto"/>
          <w:sz w:val="24"/>
          <w:highlight w:val="none"/>
        </w:rPr>
        <w:t>0752-</w:t>
      </w:r>
      <w:r>
        <w:rPr>
          <w:rFonts w:hint="eastAsia" w:ascii="仿宋" w:hAnsi="仿宋" w:eastAsia="仿宋" w:cs="仿宋"/>
          <w:color w:val="auto"/>
          <w:sz w:val="24"/>
          <w:highlight w:val="none"/>
        </w:rPr>
        <w:t>7806068</w:t>
      </w:r>
    </w:p>
    <w:p>
      <w:pPr>
        <w:spacing w:line="42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惠州市第一妇幼保健院</w:t>
      </w:r>
    </w:p>
    <w:p>
      <w:pPr>
        <w:spacing w:line="420" w:lineRule="exact"/>
        <w:ind w:firstLine="4800" w:firstLineChars="20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2024年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w:t>
      </w:r>
    </w:p>
    <w:p>
      <w:pPr>
        <w:spacing w:line="360" w:lineRule="auto"/>
        <w:jc w:val="center"/>
        <w:rPr>
          <w:rFonts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响应供应商资格</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w:t>
      </w:r>
    </w:p>
    <w:p>
      <w:pPr>
        <w:tabs>
          <w:tab w:val="left" w:pos="0"/>
        </w:tabs>
        <w:wordWrap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一年内银行出具的资信证明（复印件）；</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rPr>
        <w:t>比选</w:t>
      </w:r>
      <w:r>
        <w:rPr>
          <w:rFonts w:hint="eastAsia" w:ascii="仿宋" w:hAnsi="仿宋" w:eastAsia="仿宋" w:cs="仿宋"/>
          <w:color w:val="auto"/>
          <w:sz w:val="24"/>
          <w:highlight w:val="none"/>
          <w:lang w:val="zh-CN"/>
        </w:rPr>
        <w:t>或者未划分包号的同一采购项目。(供应商出具声明函)</w:t>
      </w:r>
    </w:p>
    <w:p>
      <w:pPr>
        <w:tabs>
          <w:tab w:val="left" w:pos="0"/>
        </w:tabs>
        <w:wordWrap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4.为采购项目提供整体设计、规范编制或者项目管理、监理、检测等服务的供应商，不得再参加该采购项目的其他采购活动。(供应商出具声明函)</w:t>
      </w:r>
    </w:p>
    <w:p>
      <w:pPr>
        <w:tabs>
          <w:tab w:val="left" w:pos="0"/>
        </w:tabs>
        <w:wordWrap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p>
    <w:p>
      <w:pPr>
        <w:tabs>
          <w:tab w:val="left" w:pos="0"/>
        </w:tabs>
        <w:wordWrap w:val="0"/>
        <w:spacing w:line="360" w:lineRule="auto"/>
        <w:ind w:firstLine="480" w:firstLineChars="200"/>
        <w:jc w:val="left"/>
        <w:rPr>
          <w:rFonts w:eastAsia="仿宋"/>
          <w:strike/>
          <w:color w:val="auto"/>
          <w:highlight w:val="none"/>
        </w:rPr>
      </w:pPr>
      <w:r>
        <w:rPr>
          <w:rFonts w:hint="eastAsia" w:ascii="仿宋" w:hAnsi="仿宋" w:eastAsia="仿宋" w:cs="仿宋"/>
          <w:color w:val="auto"/>
          <w:sz w:val="24"/>
          <w:highlight w:val="none"/>
        </w:rPr>
        <w:t>6.本项目是专门面向中小企业采购的项目，本项目</w:t>
      </w:r>
      <w:r>
        <w:rPr>
          <w:rFonts w:hint="eastAsia" w:ascii="仿宋" w:hAnsi="仿宋" w:eastAsia="仿宋" w:cs="仿宋"/>
          <w:b/>
          <w:bCs/>
          <w:color w:val="auto"/>
          <w:sz w:val="24"/>
          <w:highlight w:val="none"/>
        </w:rPr>
        <w:t>所属行业为：工业。</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7.已在招采办报名。</w:t>
      </w:r>
    </w:p>
    <w:p>
      <w:pPr>
        <w:autoSpaceDE w:val="0"/>
        <w:autoSpaceDN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pPr>
        <w:autoSpaceDE w:val="0"/>
        <w:autoSpaceDN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color w:val="auto"/>
          <w:sz w:val="24"/>
          <w:highlight w:val="none"/>
        </w:rPr>
        <w:t>二、采购项目用户需求书</w:t>
      </w:r>
    </w:p>
    <w:p>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（一）响应</w:t>
      </w:r>
      <w:r>
        <w:rPr>
          <w:rFonts w:hint="eastAsia" w:ascii="仿宋" w:hAnsi="仿宋" w:eastAsia="仿宋" w:cs="仿宋"/>
          <w:b/>
          <w:bCs/>
          <w:color w:val="auto"/>
          <w:sz w:val="24"/>
          <w:highlight w:val="none"/>
          <w:lang w:val="zh-CN"/>
        </w:rPr>
        <w:t>基本要求</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1.本项目要求中所出现的产品工艺、材料、设备或参照的型号、品牌仅作为参考建议，不作为限制性要求。“采购项目技术参数要求”中所列参数为最低要求，供应商可以提供相当于或优于比选文件参数的货物，</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ascii="仿宋" w:hAnsi="仿宋" w:eastAsia="仿宋" w:cs="仿宋"/>
          <w:b/>
          <w:color w:val="auto"/>
          <w:sz w:val="24"/>
          <w:highlight w:val="none"/>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本采购项目中标注▲号的内容为择优要求和条件，负偏离或不响应▲号条款的响应供应商将影响综合得分。</w:t>
      </w:r>
    </w:p>
    <w:p>
      <w:pPr>
        <w:autoSpaceDE w:val="0"/>
        <w:autoSpaceDN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4.响应供应商须提供独立密封和装订成册“比选响应文件”一式两份，否则其响应文件将被拒收。</w:t>
      </w:r>
    </w:p>
    <w:p>
      <w:pPr>
        <w:autoSpaceDE w:val="0"/>
        <w:autoSpaceDN w:val="0"/>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三、比选项目概况</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1.项目名称：惠州市第一妇幼保健院</w:t>
      </w:r>
      <w:r>
        <w:rPr>
          <w:rFonts w:hint="eastAsia" w:ascii="仿宋" w:hAnsi="仿宋" w:eastAsia="仿宋" w:cs="仿宋"/>
          <w:color w:val="auto"/>
          <w:sz w:val="24"/>
          <w:highlight w:val="none"/>
          <w:lang w:eastAsia="zh-CN"/>
        </w:rPr>
        <w:t>建设检验科冷库项目（三次）</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项目总预算金额（最高限价）：</w:t>
      </w:r>
      <w:bookmarkStart w:id="0" w:name="_Hlk65744408"/>
      <w:r>
        <w:rPr>
          <w:rFonts w:hint="eastAsia" w:ascii="仿宋" w:hAnsi="仿宋" w:eastAsia="仿宋" w:cs="仿宋"/>
          <w:color w:val="auto"/>
          <w:sz w:val="24"/>
          <w:highlight w:val="none"/>
          <w:lang w:val="zh-CN"/>
        </w:rPr>
        <w:t>人民币</w:t>
      </w:r>
      <w:r>
        <w:rPr>
          <w:rFonts w:hint="eastAsia" w:ascii="仿宋" w:hAnsi="仿宋" w:eastAsia="仿宋" w:cs="仿宋"/>
          <w:color w:val="auto"/>
          <w:sz w:val="24"/>
          <w:highlight w:val="none"/>
        </w:rPr>
        <w:t>6.5万元</w:t>
      </w:r>
    </w:p>
    <w:p>
      <w:pPr>
        <w:pStyle w:val="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3.项目概况：</w:t>
      </w:r>
      <w:r>
        <w:rPr>
          <w:rFonts w:hint="eastAsia" w:ascii="仿宋" w:hAnsi="仿宋" w:eastAsia="仿宋" w:cs="仿宋"/>
          <w:color w:val="auto"/>
          <w:sz w:val="24"/>
          <w:highlight w:val="none"/>
          <w:lang w:val="zh-CN"/>
        </w:rPr>
        <w:t>为充分保障检验科的稳定安全高效运行，综合考虑医院现状及未来的发展规划，我院需新购1间冷库。</w:t>
      </w:r>
    </w:p>
    <w:p>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bCs/>
          <w:color w:val="auto"/>
          <w:sz w:val="24"/>
          <w:highlight w:val="none"/>
        </w:rPr>
        <w:t>详细技术规范请参阅比选文件中的采购项目内容。供应商必须对项目内全部内容进行报价，如有缺漏或超过采购预算，将导致报价无效。</w:t>
      </w:r>
    </w:p>
    <w:bookmarkEnd w:id="0"/>
    <w:p>
      <w:pPr>
        <w:pStyle w:val="6"/>
        <w:numPr>
          <w:ilvl w:val="0"/>
          <w:numId w:val="2"/>
        </w:numPr>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技术要求：</w:t>
      </w:r>
    </w:p>
    <w:tbl>
      <w:tblPr>
        <w:tblStyle w:val="11"/>
        <w:tblW w:w="8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30"/>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230" w:type="dxa"/>
            <w:tcBorders>
              <w:top w:val="single" w:color="auto" w:sz="2" w:space="0"/>
              <w:left w:val="single" w:color="auto" w:sz="2" w:space="0"/>
              <w:bottom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分项清单</w:t>
            </w:r>
          </w:p>
        </w:tc>
        <w:tc>
          <w:tcPr>
            <w:tcW w:w="4974" w:type="dxa"/>
            <w:tcBorders>
              <w:top w:val="single" w:color="auto" w:sz="2" w:space="0"/>
              <w:bottom w:val="single" w:color="auto" w:sz="2" w:space="0"/>
            </w:tcBorders>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230" w:type="dxa"/>
            <w:tcBorders>
              <w:top w:val="single" w:color="auto" w:sz="2" w:space="0"/>
              <w:left w:val="single" w:color="auto" w:sz="2" w:space="0"/>
              <w:bottom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lang w:val="zh-CN"/>
              </w:rPr>
              <w:t>温度2℃-8℃的制冷机组</w:t>
            </w:r>
          </w:p>
        </w:tc>
        <w:tc>
          <w:tcPr>
            <w:tcW w:w="4974" w:type="dxa"/>
            <w:vMerge w:val="restart"/>
            <w:tcBorders>
              <w:top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rPr>
              <w:t>1.检验科</w:t>
            </w:r>
            <w:r>
              <w:rPr>
                <w:rFonts w:hint="eastAsia" w:ascii="仿宋" w:hAnsi="仿宋" w:eastAsia="仿宋" w:cs="仿宋"/>
                <w:color w:val="auto"/>
                <w:sz w:val="24"/>
                <w:highlight w:val="none"/>
                <w:lang w:val="zh-CN"/>
              </w:rPr>
              <w:t>冷库规划建筑位置面积约</w:t>
            </w:r>
            <w:r>
              <w:rPr>
                <w:rFonts w:hint="eastAsia" w:ascii="仿宋" w:hAnsi="仿宋" w:eastAsia="仿宋" w:cs="仿宋"/>
                <w:color w:val="auto"/>
                <w:sz w:val="24"/>
                <w:highlight w:val="none"/>
              </w:rPr>
              <w:t>20平方米，温度2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 xml:space="preserve">-8℃,可调温，温度、湿度实时监控储存数据，超过设定温度、机组故障等报警，系统自动发送短信到通知管理人员，手机、电脑实时监控，机组一备一用。 </w:t>
            </w:r>
          </w:p>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rPr>
              <w:t xml:space="preserve">2.四周围档：采用厚度为100mm聚氨酯发泡保温板、双面彩钢板厚度0.46MM,保温良好。 </w:t>
            </w:r>
          </w:p>
          <w:p>
            <w:pPr>
              <w:spacing w:line="360" w:lineRule="auto"/>
              <w:ind w:right="-101"/>
              <w:rPr>
                <w:rFonts w:ascii="仿宋" w:hAnsi="仿宋" w:eastAsia="仿宋" w:cs="仿宋"/>
                <w:color w:val="auto"/>
                <w:sz w:val="24"/>
                <w:highlight w:val="none"/>
                <w:lang w:val="zh-CN"/>
              </w:rPr>
            </w:pPr>
            <w:r>
              <w:rPr>
                <w:rFonts w:hint="eastAsia" w:ascii="仿宋" w:hAnsi="仿宋" w:eastAsia="仿宋" w:cs="仿宋"/>
                <w:color w:val="auto"/>
                <w:sz w:val="24"/>
                <w:highlight w:val="none"/>
              </w:rPr>
              <w:t>3.安装规格:长5.7M×宽3.2M×高2.4M。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230" w:type="dxa"/>
            <w:tcBorders>
              <w:top w:val="single" w:color="auto" w:sz="2" w:space="0"/>
              <w:left w:val="single" w:color="auto" w:sz="2" w:space="0"/>
              <w:bottom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lang w:val="zh-CN"/>
              </w:rPr>
              <w:t>全密闭的彩钢板材质冷藏库</w:t>
            </w:r>
          </w:p>
        </w:tc>
        <w:tc>
          <w:tcPr>
            <w:tcW w:w="4974" w:type="dxa"/>
            <w:vMerge w:val="continue"/>
            <w:vAlign w:val="center"/>
          </w:tcPr>
          <w:p>
            <w:pPr>
              <w:spacing w:line="360" w:lineRule="auto"/>
              <w:ind w:right="-101"/>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230" w:type="dxa"/>
            <w:tcBorders>
              <w:top w:val="single" w:color="auto" w:sz="2" w:space="0"/>
              <w:left w:val="single" w:color="auto" w:sz="2" w:space="0"/>
              <w:bottom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lang w:val="zh-CN"/>
              </w:rPr>
              <w:t>冷链监测报警系统</w:t>
            </w:r>
          </w:p>
        </w:tc>
        <w:tc>
          <w:tcPr>
            <w:tcW w:w="4974" w:type="dxa"/>
            <w:vMerge w:val="continue"/>
            <w:tcBorders>
              <w:bottom w:val="single" w:color="auto" w:sz="2" w:space="0"/>
            </w:tcBorders>
            <w:vAlign w:val="center"/>
          </w:tcPr>
          <w:p>
            <w:pPr>
              <w:spacing w:line="360" w:lineRule="auto"/>
              <w:ind w:right="-101"/>
              <w:rPr>
                <w:rFonts w:ascii="仿宋" w:hAnsi="仿宋" w:eastAsia="仿宋" w:cs="仿宋"/>
                <w:color w:val="auto"/>
                <w:sz w:val="24"/>
                <w:highlight w:val="none"/>
              </w:rPr>
            </w:pPr>
          </w:p>
        </w:tc>
      </w:tr>
    </w:tbl>
    <w:p>
      <w:pPr>
        <w:autoSpaceDE w:val="0"/>
        <w:autoSpaceDN w:val="0"/>
        <w:spacing w:line="360" w:lineRule="auto"/>
        <w:ind w:firstLine="480" w:firstLineChars="200"/>
        <w:rPr>
          <w:color w:val="auto"/>
          <w:highlight w:val="none"/>
        </w:rPr>
      </w:pPr>
      <w:r>
        <w:rPr>
          <w:rFonts w:hint="eastAsia" w:ascii="仿宋" w:hAnsi="仿宋" w:eastAsia="仿宋" w:cs="仿宋"/>
          <w:color w:val="auto"/>
          <w:sz w:val="24"/>
          <w:highlight w:val="none"/>
        </w:rPr>
        <w:t>4.安装要求：配合医院冷库安装的进度安排，确保后期正常的供冷需求；</w:t>
      </w:r>
      <w:r>
        <w:rPr>
          <w:rFonts w:hint="eastAsia" w:ascii="仿宋" w:hAnsi="仿宋" w:eastAsia="仿宋" w:cs="仿宋"/>
          <w:color w:val="auto"/>
          <w:sz w:val="24"/>
          <w:highlight w:val="none"/>
          <w:lang w:val="zh-CN"/>
        </w:rPr>
        <w:t>严格遵守有关安全规定，制定安全措施，保证设备及建筑物内人员的安全，并保护好环境；遵守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规章制度、遵守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保密规定；服务态度好，职业道德好。</w:t>
      </w:r>
    </w:p>
    <w:p>
      <w:pPr>
        <w:spacing w:line="360" w:lineRule="auto"/>
        <w:ind w:firstLine="506" w:firstLineChars="210"/>
        <w:rPr>
          <w:rFonts w:ascii="仿宋" w:hAnsi="仿宋" w:eastAsia="仿宋" w:cs="仿宋"/>
          <w:b/>
          <w:color w:val="auto"/>
          <w:sz w:val="24"/>
          <w:highlight w:val="none"/>
        </w:rPr>
      </w:pPr>
      <w:r>
        <w:rPr>
          <w:rFonts w:hint="eastAsia" w:ascii="仿宋" w:hAnsi="仿宋" w:eastAsia="仿宋" w:cs="仿宋"/>
          <w:b/>
          <w:color w:val="auto"/>
          <w:sz w:val="24"/>
          <w:highlight w:val="none"/>
        </w:rPr>
        <w:t>五、采购项目商务要求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（1）安装期限：签订合同，收预付款后15个工作日全部完成并交付。</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（2）安装地点：采购人指定地点。</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2.报价方式：总价报价。包含但不限于以下费用：车旅费、踏勘费、耗材费、人工费、场地费、法定税费、货物价款、运输费、质保期售后服务等在实施期间的一切可能产生的费用费用。</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3.付款及结算方式：</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（1）合同签订生效后1个月内，采购人向成交供应商支付合同总额的30%预付款（第一笔）；</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（2）项目验收合格当天计算1个月内，采购人向成交供应商支付合同总额的70（第二笔）%； </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（3）采购人通过银行转账的方式支付给中标人，且成交供应商应向采购人出具合法有效完整的完税发票及凭证进行支付结算。</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4.维保期限：本项目所涉及到的所有货物（含系统）提供为期一年质保。成交供应商在质保期内提供货物三包以及上门提供相应服务。质保期内非人为原因损坏的货物应无偿更换、修复。</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5.维保要求：由于系统本身设备出现的问题,成交供应商提供远程技术支持,确实无法远程辅导解决的,则成交供应商在接到采购人通知的2小时做出响应,48 小时内到达现场,72小时内维修完毕,不能在规定时间内修好的,须在72小时内提供备品(机)备件,确保采购人正常使用。硬件质保期满后货物的维修、部件更换只收取材料成本费用。提供软件终生升级、维护服务，费用由成交供应商负责。</w:t>
      </w:r>
    </w:p>
    <w:p>
      <w:pPr>
        <w:autoSpaceDE w:val="0"/>
        <w:autoSpaceDN w:val="0"/>
        <w:spacing w:line="360" w:lineRule="auto"/>
        <w:ind w:firstLine="480" w:firstLineChars="200"/>
        <w:rPr>
          <w:rFonts w:eastAsia="黑体"/>
          <w:color w:val="auto"/>
          <w:highlight w:val="none"/>
        </w:rPr>
      </w:pPr>
      <w:r>
        <w:rPr>
          <w:rFonts w:hint="eastAsia" w:ascii="仿宋" w:hAnsi="仿宋" w:eastAsia="仿宋" w:cs="仿宋"/>
          <w:color w:val="auto"/>
          <w:sz w:val="24"/>
          <w:highlight w:val="none"/>
        </w:rPr>
        <w:t>6.验收方式：由项目归口部门牵头组织验收小组对照项目内容要求进行验收，检查设备设施功能的完整性，各项功能运行。验收标准：根据采购人冷库安装要求，实现冷库正常运行</w:t>
      </w:r>
      <w:r>
        <w:rPr>
          <w:rFonts w:hint="eastAsia"/>
          <w:color w:val="auto"/>
          <w:highlight w:val="none"/>
        </w:rPr>
        <w:t>。</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其他要求：</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需按时间要求，合理组织，因</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原因延误交付时间，每延迟一天扣罚人民币2000元。项目确因不可抗力需要延期的，双方应通过友好协商尽快解决。</w:t>
      </w:r>
    </w:p>
    <w:p>
      <w:pPr>
        <w:autoSpaceDE w:val="0"/>
        <w:autoSpaceDN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六、评审细则要求：</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1.提供</w:t>
      </w:r>
      <w:r>
        <w:rPr>
          <w:rFonts w:hint="eastAsia" w:ascii="仿宋" w:hAnsi="仿宋" w:eastAsia="仿宋" w:cs="仿宋"/>
          <w:color w:val="auto"/>
          <w:sz w:val="24"/>
          <w:highlight w:val="none"/>
        </w:rPr>
        <w:t>技术商务响应</w:t>
      </w:r>
      <w:r>
        <w:rPr>
          <w:rFonts w:hint="eastAsia" w:ascii="仿宋" w:hAnsi="仿宋" w:eastAsia="仿宋" w:cs="仿宋"/>
          <w:color w:val="auto"/>
          <w:sz w:val="24"/>
          <w:highlight w:val="none"/>
          <w:lang w:eastAsia="zh-CN"/>
        </w:rPr>
        <w:t>情况；</w:t>
      </w:r>
    </w:p>
    <w:p>
      <w:p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2.提供</w:t>
      </w:r>
      <w:r>
        <w:rPr>
          <w:rFonts w:hint="eastAsia" w:ascii="仿宋" w:hAnsi="仿宋" w:eastAsia="仿宋" w:cs="仿宋"/>
          <w:color w:val="auto"/>
          <w:sz w:val="24"/>
          <w:highlight w:val="none"/>
        </w:rPr>
        <w:t>服务方案</w:t>
      </w:r>
      <w:r>
        <w:rPr>
          <w:rFonts w:hint="eastAsia" w:ascii="仿宋" w:hAnsi="仿宋" w:eastAsia="仿宋" w:cs="仿宋"/>
          <w:color w:val="auto"/>
          <w:sz w:val="24"/>
          <w:highlight w:val="none"/>
          <w:lang w:val="en-US" w:eastAsia="zh-CN"/>
        </w:rPr>
        <w:t>:服务方案（包括人力投入、进度计划、具体操作等情况）;</w:t>
      </w:r>
    </w:p>
    <w:p>
      <w:p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3.提供</w:t>
      </w:r>
      <w:r>
        <w:rPr>
          <w:rFonts w:hint="eastAsia" w:ascii="仿宋" w:hAnsi="仿宋" w:eastAsia="仿宋" w:cs="仿宋"/>
          <w:color w:val="auto"/>
          <w:sz w:val="24"/>
          <w:highlight w:val="none"/>
        </w:rPr>
        <w:t>管理方案</w:t>
      </w:r>
      <w:r>
        <w:rPr>
          <w:rFonts w:hint="eastAsia" w:ascii="仿宋" w:hAnsi="仿宋" w:eastAsia="仿宋" w:cs="仿宋"/>
          <w:color w:val="auto"/>
          <w:sz w:val="24"/>
          <w:highlight w:val="none"/>
          <w:lang w:eastAsia="zh-CN"/>
        </w:rPr>
        <w:t>：管理方案、实施细则等情况</w:t>
      </w:r>
      <w:r>
        <w:rPr>
          <w:rFonts w:hint="eastAsia" w:ascii="仿宋" w:hAnsi="仿宋" w:eastAsia="仿宋" w:cs="仿宋"/>
          <w:color w:val="auto"/>
          <w:sz w:val="24"/>
          <w:highlight w:val="none"/>
          <w:lang w:val="en-US" w:eastAsia="zh-CN"/>
        </w:rPr>
        <w:t>;</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4.提供</w:t>
      </w:r>
      <w:r>
        <w:rPr>
          <w:rFonts w:hint="eastAsia" w:ascii="仿宋" w:hAnsi="仿宋" w:eastAsia="仿宋" w:cs="仿宋"/>
          <w:color w:val="auto"/>
          <w:sz w:val="24"/>
          <w:highlight w:val="none"/>
        </w:rPr>
        <w:t>突发事件处理</w:t>
      </w:r>
      <w:r>
        <w:rPr>
          <w:rFonts w:hint="eastAsia" w:ascii="仿宋" w:hAnsi="仿宋" w:eastAsia="仿宋" w:cs="仿宋"/>
          <w:color w:val="auto"/>
          <w:sz w:val="24"/>
          <w:highlight w:val="none"/>
          <w:lang w:eastAsia="zh-CN"/>
        </w:rPr>
        <w:t>：突发事件处理方案（包括人员到位时间、处置措施等情况）；</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5.提供</w:t>
      </w:r>
      <w:r>
        <w:rPr>
          <w:rFonts w:hint="eastAsia" w:ascii="仿宋" w:hAnsi="仿宋" w:eastAsia="仿宋" w:cs="仿宋"/>
          <w:color w:val="auto"/>
          <w:sz w:val="24"/>
          <w:highlight w:val="none"/>
        </w:rPr>
        <w:t>拟派负责人员</w:t>
      </w:r>
      <w:r>
        <w:rPr>
          <w:rFonts w:hint="eastAsia" w:ascii="仿宋" w:hAnsi="仿宋" w:eastAsia="仿宋" w:cs="仿宋"/>
          <w:color w:val="auto"/>
          <w:sz w:val="24"/>
          <w:highlight w:val="none"/>
          <w:lang w:eastAsia="zh-CN"/>
        </w:rPr>
        <w:t>情况；</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6.提供</w:t>
      </w:r>
      <w:r>
        <w:rPr>
          <w:rFonts w:hint="eastAsia" w:ascii="仿宋" w:hAnsi="仿宋" w:eastAsia="仿宋" w:cs="仿宋"/>
          <w:color w:val="auto"/>
          <w:sz w:val="24"/>
          <w:highlight w:val="none"/>
        </w:rPr>
        <w:t>同类业绩情况</w:t>
      </w:r>
      <w:r>
        <w:rPr>
          <w:rFonts w:hint="eastAsia" w:ascii="仿宋" w:hAnsi="仿宋" w:eastAsia="仿宋" w:cs="仿宋"/>
          <w:color w:val="auto"/>
          <w:sz w:val="24"/>
          <w:highlight w:val="none"/>
          <w:lang w:eastAsia="zh-CN"/>
        </w:rPr>
        <w:t>。</w:t>
      </w: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响应供应商须知</w:t>
      </w:r>
    </w:p>
    <w:p>
      <w:pPr>
        <w:pStyle w:val="7"/>
        <w:adjustRightInd w:val="0"/>
        <w:snapToGrid w:val="0"/>
        <w:spacing w:line="380" w:lineRule="exact"/>
        <w:rPr>
          <w:rFonts w:ascii="仿宋" w:hAnsi="仿宋" w:eastAsia="仿宋" w:cs="仿宋"/>
          <w:color w:val="auto"/>
          <w:sz w:val="28"/>
          <w:szCs w:val="28"/>
          <w:highlight w:val="none"/>
        </w:rPr>
      </w:pP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1、适用范围：本比选文件适用于本比选邀请中所述项目的采购项目。</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2、定义</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（1）“采购人”是指：</w:t>
      </w:r>
      <w:r>
        <w:rPr>
          <w:rFonts w:hint="eastAsia" w:ascii="仿宋" w:hAnsi="仿宋" w:eastAsia="仿宋" w:cs="仿宋"/>
          <w:color w:val="auto"/>
          <w:sz w:val="24"/>
          <w:szCs w:val="24"/>
          <w:highlight w:val="none"/>
          <w:u w:val="single"/>
        </w:rPr>
        <w:t>惠州市第一妇幼保健院</w:t>
      </w:r>
      <w:r>
        <w:rPr>
          <w:rFonts w:hint="eastAsia" w:ascii="仿宋" w:hAnsi="仿宋" w:eastAsia="仿宋" w:cs="仿宋"/>
          <w:color w:val="auto"/>
          <w:sz w:val="24"/>
          <w:szCs w:val="24"/>
          <w:highlight w:val="none"/>
        </w:rPr>
        <w:t>。</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（2）“监管部门”是指：采购项目监督管理部门。</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（3）“响应供应商”是指响应本文件要求，参加比选的法人或者其他组织、自然人。</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（4）合格的响应公司是指符合以下条件的：</w:t>
      </w:r>
    </w:p>
    <w:p>
      <w:pPr>
        <w:pStyle w:val="7"/>
        <w:adjustRightInd w:val="0"/>
        <w:snapToGrid w:val="0"/>
        <w:spacing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snapToGrid w:val="0"/>
          <w:color w:val="auto"/>
          <w:kern w:val="0"/>
          <w:sz w:val="24"/>
          <w:szCs w:val="24"/>
          <w:highlight w:val="none"/>
        </w:rPr>
        <w:t>符合《政府采购法》第二十二条规定的供应商。</w:t>
      </w:r>
    </w:p>
    <w:p>
      <w:pPr>
        <w:pStyle w:val="7"/>
        <w:adjustRightInd w:val="0"/>
        <w:snapToGrid w:val="0"/>
        <w:spacing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2）符合比选文件“供应商资格”规定要求；</w:t>
      </w:r>
    </w:p>
    <w:p>
      <w:pPr>
        <w:pStyle w:val="7"/>
        <w:adjustRightInd w:val="0"/>
        <w:snapToGrid w:val="0"/>
        <w:spacing w:line="360" w:lineRule="auto"/>
        <w:ind w:firstLine="720" w:firstLineChars="3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hr-HR"/>
        </w:rPr>
        <w:t>按要求进行资格</w:t>
      </w:r>
      <w:r>
        <w:rPr>
          <w:rFonts w:hint="eastAsia" w:ascii="仿宋" w:hAnsi="仿宋" w:eastAsia="仿宋" w:cs="仿宋"/>
          <w:color w:val="auto"/>
          <w:sz w:val="24"/>
          <w:szCs w:val="24"/>
          <w:highlight w:val="none"/>
        </w:rPr>
        <w:t>审查（即满足采购条件和要求）</w:t>
      </w:r>
      <w:r>
        <w:rPr>
          <w:rFonts w:hint="eastAsia" w:ascii="仿宋" w:hAnsi="仿宋" w:eastAsia="仿宋" w:cs="仿宋"/>
          <w:color w:val="auto"/>
          <w:sz w:val="24"/>
          <w:szCs w:val="24"/>
          <w:highlight w:val="none"/>
          <w:lang w:val="hr-HR"/>
        </w:rPr>
        <w:t>并通过；</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（5）“成交供应商”是指经法定程序确定并授予合同的供应商；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（6）“响应文件”是指：供应商根据本文件要求，编制包含报价、技术和服务等所有内容的实质性响应文件。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（7）合格的货物和服务：</w:t>
      </w:r>
    </w:p>
    <w:p>
      <w:pPr>
        <w:pStyle w:val="7"/>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“货物”是指投标人制造或组织符合比选文件要求的货物等。比选文件中没有提及采购货物来源地的，根据《政府采购法》的相关规定均应是本国货物。</w:t>
      </w:r>
      <w:r>
        <w:rPr>
          <w:rFonts w:hint="eastAsia" w:ascii="仿宋" w:hAnsi="仿宋" w:eastAsia="仿宋" w:cs="仿宋"/>
          <w:snapToGrid w:val="0"/>
          <w:color w:val="auto"/>
          <w:kern w:val="0"/>
          <w:sz w:val="24"/>
          <w:highlight w:val="none"/>
        </w:rPr>
        <w:t>投标的货物必须是其合法生产的符合国家有关标准要求的货物，并满足我院比选文件规定的规格、参数、质量、价格、有效期、售后服务等要求。</w:t>
      </w:r>
    </w:p>
    <w:p>
      <w:pPr>
        <w:pStyle w:val="7"/>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“服务”是指除货物和工程以外的采购对象，其中包括：投标人需承担的运输、安装、技术支持、培训以及比选文件规定的其他服务。</w:t>
      </w:r>
    </w:p>
    <w:p>
      <w:pPr>
        <w:autoSpaceDE w:val="0"/>
        <w:autoSpaceDN w:val="0"/>
        <w:spacing w:line="360" w:lineRule="auto"/>
        <w:ind w:firstLine="480" w:firstLineChars="200"/>
        <w:rPr>
          <w:rFonts w:ascii="仿宋" w:hAnsi="仿宋" w:eastAsia="仿宋" w:cs="仿宋"/>
          <w:strike/>
          <w:color w:val="auto"/>
          <w:sz w:val="24"/>
          <w:highlight w:val="none"/>
          <w:lang w:val="hr-HR"/>
        </w:rPr>
      </w:pPr>
      <w:r>
        <w:rPr>
          <w:rFonts w:hint="eastAsia" w:ascii="仿宋" w:hAnsi="仿宋" w:eastAsia="仿宋" w:cs="仿宋"/>
          <w:snapToGrid w:val="0"/>
          <w:color w:val="auto"/>
          <w:kern w:val="0"/>
          <w:sz w:val="24"/>
          <w:szCs w:val="21"/>
          <w:highlight w:val="none"/>
        </w:rPr>
        <w:t>3、</w:t>
      </w:r>
      <w:r>
        <w:rPr>
          <w:rFonts w:hint="eastAsia" w:ascii="仿宋" w:hAnsi="仿宋" w:eastAsia="仿宋" w:cs="仿宋"/>
          <w:snapToGrid w:val="0"/>
          <w:color w:val="auto"/>
          <w:kern w:val="0"/>
          <w:sz w:val="24"/>
          <w:szCs w:val="21"/>
          <w:highlight w:val="none"/>
          <w:lang w:val="hr-HR"/>
        </w:rPr>
        <w:t>响应文件必须经法定代表人</w:t>
      </w:r>
      <w:r>
        <w:rPr>
          <w:rFonts w:hint="eastAsia" w:ascii="仿宋" w:hAnsi="仿宋" w:eastAsia="仿宋" w:cs="仿宋"/>
          <w:snapToGrid w:val="0"/>
          <w:color w:val="auto"/>
          <w:kern w:val="0"/>
          <w:sz w:val="24"/>
          <w:szCs w:val="21"/>
          <w:highlight w:val="none"/>
        </w:rPr>
        <w:t>/负责人</w:t>
      </w:r>
      <w:r>
        <w:rPr>
          <w:rFonts w:hint="eastAsia" w:ascii="仿宋" w:hAnsi="仿宋" w:eastAsia="仿宋" w:cs="仿宋"/>
          <w:snapToGrid w:val="0"/>
          <w:color w:val="auto"/>
          <w:kern w:val="0"/>
          <w:sz w:val="24"/>
          <w:szCs w:val="21"/>
          <w:highlight w:val="none"/>
          <w:lang w:val="hr-HR"/>
        </w:rPr>
        <w:t>或法定代表人</w:t>
      </w:r>
      <w:r>
        <w:rPr>
          <w:rFonts w:hint="eastAsia" w:ascii="仿宋" w:hAnsi="仿宋" w:eastAsia="仿宋" w:cs="仿宋"/>
          <w:snapToGrid w:val="0"/>
          <w:color w:val="auto"/>
          <w:kern w:val="0"/>
          <w:sz w:val="24"/>
          <w:szCs w:val="21"/>
          <w:highlight w:val="none"/>
        </w:rPr>
        <w:t>/负责人</w:t>
      </w:r>
      <w:r>
        <w:rPr>
          <w:rFonts w:hint="eastAsia" w:ascii="仿宋" w:hAnsi="仿宋" w:eastAsia="仿宋" w:cs="仿宋"/>
          <w:snapToGrid w:val="0"/>
          <w:color w:val="auto"/>
          <w:kern w:val="0"/>
          <w:sz w:val="24"/>
          <w:szCs w:val="21"/>
          <w:highlight w:val="none"/>
          <w:lang w:val="hr-HR"/>
        </w:rPr>
        <w:t>授权代表签署；</w:t>
      </w:r>
      <w:r>
        <w:rPr>
          <w:rFonts w:hint="eastAsia" w:ascii="仿宋" w:hAnsi="仿宋" w:eastAsia="仿宋" w:cs="仿宋"/>
          <w:color w:val="auto"/>
          <w:sz w:val="24"/>
          <w:highlight w:val="none"/>
          <w:lang w:val="hr-HR"/>
        </w:rPr>
        <w:t>响应供应商在现场应出示身份证，以备核对，如响应供应商与文件中的法人或被授权人不一致将导致废标。</w:t>
      </w:r>
    </w:p>
    <w:p>
      <w:pPr>
        <w:autoSpaceDE w:val="0"/>
        <w:autoSpaceDN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4、响应费用：响应供应商应承担所有与准备和参加响应有关的费用。</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响应供应商不得恶意竞价，对于报价差异巨大的，比选小组有权要求响应供应商在规定的时间内提供相关证明材料，在规定时间内不能提供材料或者无法证明的,比选小组有权裁定该报价是否为恶意报价。恶意竞价的响应供应商将被取消成交资格，并列入黑名单，在此后五年内不得参与我院任何采买活动。</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6、无效的报价认定</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7"/>
        <w:adjustRightInd w:val="0"/>
        <w:snapToGrid w:val="0"/>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7、有以下情形的，将视为响应供应商互相串通响应，不得报名或响应无效：</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pPr>
        <w:pStyle w:val="7"/>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8、响应供应商有下列弄虚作假的行为的，不得报名或响应无效：</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9、“</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10、响应文件自响应文件接收截止时点起，三个月内有效。</w:t>
      </w:r>
    </w:p>
    <w:p>
      <w:pPr>
        <w:pStyle w:val="7"/>
        <w:adjustRightInd w:val="0"/>
        <w:snapToGrid w:val="0"/>
        <w:spacing w:line="360" w:lineRule="auto"/>
        <w:ind w:firstLine="480"/>
        <w:rPr>
          <w:rFonts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rPr>
        <w:t>1、以下情形，采购人有权拒收响应文件：</w:t>
      </w:r>
    </w:p>
    <w:p>
      <w:pPr>
        <w:pStyle w:val="7"/>
        <w:adjustRightInd w:val="0"/>
        <w:snapToGrid w:val="0"/>
        <w:spacing w:line="360" w:lineRule="auto"/>
        <w:ind w:firstLine="48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12、有下列情形，评审小组将否决其响应：</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7"/>
        <w:adjustRightInd w:val="0"/>
        <w:snapToGrid w:val="0"/>
        <w:spacing w:line="360" w:lineRule="auto"/>
        <w:ind w:firstLine="48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13、供应商在参加比选过程中出现的以下不良行为的，将列入我院黑名单管理，在此后的三年内不得参与我院任何采买活动：</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7"/>
        <w:numPr>
          <w:ilvl w:val="0"/>
          <w:numId w:val="3"/>
        </w:numPr>
        <w:adjustRightInd w:val="0"/>
        <w:snapToGrid w:val="0"/>
        <w:spacing w:line="360" w:lineRule="auto"/>
        <w:ind w:firstLine="48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15、关于中小微企业投标</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响应产品中仅有部分小型和微型企业产品的，则此部分按所投小型和微型企业产品的价格予以扣除。</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（2）根据财库〔2014〕68号《财政部</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7"/>
        <w:adjustRightInd w:val="0"/>
        <w:snapToGrid w:val="0"/>
        <w:spacing w:line="360" w:lineRule="auto"/>
        <w:ind w:left="420" w:left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监狱企业视同小型、微型企业，享受评审中价格扣除。</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7"/>
        <w:adjustRightInd w:val="0"/>
        <w:snapToGrid w:val="0"/>
        <w:spacing w:line="360" w:lineRule="auto"/>
        <w:ind w:left="420" w:left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残疾人福利性单位视</w:t>
      </w:r>
      <w:bookmarkStart w:id="1" w:name="_Toc14923_WPSOffice_Level1"/>
      <w:r>
        <w:rPr>
          <w:rFonts w:hint="eastAsia" w:ascii="仿宋" w:hAnsi="仿宋" w:eastAsia="仿宋" w:cs="仿宋"/>
          <w:bCs/>
          <w:color w:val="auto"/>
          <w:sz w:val="24"/>
          <w:szCs w:val="24"/>
          <w:highlight w:val="none"/>
        </w:rPr>
        <w:t>同小型、微型</w:t>
      </w:r>
      <w:bookmarkEnd w:id="1"/>
      <w:r>
        <w:rPr>
          <w:rFonts w:hint="eastAsia" w:ascii="仿宋" w:hAnsi="仿宋" w:eastAsia="仿宋" w:cs="仿宋"/>
          <w:bCs/>
          <w:color w:val="auto"/>
          <w:sz w:val="24"/>
          <w:szCs w:val="24"/>
          <w:highlight w:val="none"/>
        </w:rPr>
        <w:t>企业，享受评审中价格扣除。</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（4）同时为小型、微型企业、监狱企业、残疾人福利性单位任两种或以上情况的，评审中只享受一次价格扣除，不重复进行价格扣除。</w:t>
      </w:r>
    </w:p>
    <w:p>
      <w:pPr>
        <w:pStyle w:val="7"/>
        <w:adjustRightInd w:val="0"/>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pPr>
        <w:pStyle w:val="7"/>
        <w:adjustRightInd w:val="0"/>
        <w:snapToGrid w:val="0"/>
        <w:spacing w:line="360" w:lineRule="auto"/>
        <w:ind w:firstLine="480" w:firstLineChars="200"/>
        <w:rPr>
          <w:rFonts w:ascii="仿宋" w:hAnsi="仿宋" w:eastAsia="仿宋" w:cs="仿宋"/>
          <w:color w:val="auto"/>
          <w:sz w:val="24"/>
          <w:highlight w:val="none"/>
        </w:rPr>
      </w:pPr>
      <w:bookmarkStart w:id="2" w:name="OLE_LINK11"/>
      <w:r>
        <w:rPr>
          <w:rFonts w:hint="eastAsia" w:ascii="仿宋" w:hAnsi="仿宋" w:eastAsia="仿宋" w:cs="仿宋"/>
          <w:color w:val="auto"/>
          <w:sz w:val="24"/>
          <w:highlight w:val="none"/>
        </w:rPr>
        <w:t>3、比选文件的澄清或修改</w:t>
      </w:r>
    </w:p>
    <w:bookmarkEnd w:id="2"/>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（1）比选文件的澄清是指医院招采办对比选文件中的遗漏、错误、词义表达不清或对比较复杂的事项进行说明，回答供应商提出的各种问题。比选文件的修改是指采购人对比选文件中出现的错误进行修订。</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招采办，招采办对其收到的书面的对比选文件的澄清要求均以书面形式予以答复，同时将书面形式答复发给每个提交资格预审文件潜在供应商（答复中不包括问题的来源）。供应商在收到上述答复后，应立即向招采办回函确认。不足3日的，顺延提交资格预审文件或响应文件的截止时间。该答复作为比选文件的一部分，对供应商有约束力。</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（3）比选文件的修改将在比选文件规定的响应文件递交截止时间3日之前由招采办以书面形式通知所有潜在（报名成功的）供应商，并对其具有约束力。供应商在收到上述通知后，应立即向招采办回函确认。</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pPr>
        <w:pStyle w:val="7"/>
        <w:adjustRightInd w:val="0"/>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pPr>
        <w:pStyle w:val="7"/>
        <w:adjustRightInd w:val="0"/>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5、要求供应商报名后应参加比选，报名后不参加比选的应在提交响应文件截止时间前一天前致函我院招采办说明情况。如未致函说明者，将记不良行为一次，2年累计达两次者将被列入黑名单。</w:t>
      </w:r>
    </w:p>
    <w:p>
      <w:pPr>
        <w:pStyle w:val="7"/>
        <w:adjustRightInd w:val="0"/>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7"/>
        <w:adjustRightInd w:val="0"/>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招采办和监督管理小组等对其中任何资料进行核实的要求。供应商必须对响应文件所提供的全部资料的真实性承担法律责任。</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pPr>
        <w:pStyle w:val="7"/>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pPr>
        <w:pStyle w:val="7"/>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两份，其中正本一份和副本一份，响应文件的副本可采用正本的复印件。每本响应文件须清楚地标明“正本”、“副本”，否则响应无效。若副本与正本不符，以正本为准。响应文件密封在同一个文件袋内，响应的截止时点为2024年</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18</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val="en-US" w:eastAsia="zh-CN"/>
        </w:rPr>
        <w:t>00</w:t>
      </w:r>
      <w:r>
        <w:rPr>
          <w:rFonts w:hint="eastAsia" w:ascii="仿宋" w:hAnsi="仿宋" w:eastAsia="仿宋" w:cs="仿宋"/>
          <w:bCs/>
          <w:color w:val="auto"/>
          <w:sz w:val="24"/>
          <w:szCs w:val="24"/>
          <w:highlight w:val="none"/>
        </w:rPr>
        <w:t>分（北京时间），超过截止时点后的响应视为响应无效。</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pPr>
        <w:pStyle w:val="7"/>
        <w:adjustRightInd w:val="0"/>
        <w:snapToGrid w:val="0"/>
        <w:spacing w:line="360" w:lineRule="auto"/>
        <w:ind w:right="32"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招采办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2、医院招标采购工作监督小组选派监督代表参加比选现场监督，只负责监督不负责评审工作。</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3、在响应供应商见证下、医院监督代表验证文件的密封性，并由招采办工作人员现场宣读响应供应商名称、响应价格等实质内容。</w:t>
      </w:r>
    </w:p>
    <w:p>
      <w:pPr>
        <w:pStyle w:val="7"/>
        <w:adjustRightInd w:val="0"/>
        <w:snapToGrid w:val="0"/>
        <w:spacing w:line="360" w:lineRule="auto"/>
        <w:ind w:right="32"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w:t>
      </w:r>
      <w:bookmarkStart w:id="3" w:name="OLE_LINK6"/>
      <w:r>
        <w:rPr>
          <w:rFonts w:hint="eastAsia" w:ascii="仿宋" w:hAnsi="仿宋" w:eastAsia="仿宋" w:cs="仿宋"/>
          <w:color w:val="auto"/>
          <w:sz w:val="24"/>
          <w:szCs w:val="24"/>
          <w:highlight w:val="none"/>
        </w:rPr>
        <w:t>审</w:t>
      </w:r>
      <w:bookmarkEnd w:id="3"/>
      <w:r>
        <w:rPr>
          <w:rFonts w:hint="eastAsia" w:ascii="仿宋" w:hAnsi="仿宋" w:eastAsia="仿宋" w:cs="仿宋"/>
          <w:color w:val="auto"/>
          <w:sz w:val="24"/>
          <w:szCs w:val="24"/>
          <w:highlight w:val="none"/>
        </w:rPr>
        <w:t>小组</w:t>
      </w:r>
      <w:bookmarkStart w:id="4" w:name="OLE_LINK9"/>
      <w:r>
        <w:rPr>
          <w:rFonts w:hint="eastAsia" w:ascii="仿宋" w:hAnsi="仿宋" w:eastAsia="仿宋" w:cs="仿宋"/>
          <w:color w:val="auto"/>
          <w:sz w:val="24"/>
          <w:szCs w:val="24"/>
          <w:highlight w:val="none"/>
        </w:rPr>
        <w:t>按医院规定从专家库中随机抽取三名专家组成。</w:t>
      </w:r>
      <w:bookmarkEnd w:id="4"/>
      <w:r>
        <w:rPr>
          <w:rFonts w:hint="eastAsia" w:ascii="仿宋" w:hAnsi="仿宋" w:eastAsia="仿宋" w:cs="仿宋"/>
          <w:color w:val="auto"/>
          <w:sz w:val="24"/>
          <w:szCs w:val="24"/>
          <w:highlight w:val="none"/>
        </w:rPr>
        <w:t>评审小组将本着公平、公正、科学、择优的原则，严格按照医院的医院招标采购工作实施细则和比选文件的要求进行评审及推荐成交人。</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1、评审小组认为比选文件的内容存在违反国家有关强制性规定的，应当停止评审并向招采办说明情况。</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5" w:name="_Hlk66179688"/>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5"/>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招采办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6" w:name="_Hlk66179802"/>
      <w:r>
        <w:rPr>
          <w:rFonts w:hint="eastAsia" w:ascii="仿宋" w:hAnsi="仿宋" w:eastAsia="仿宋" w:cs="仿宋"/>
          <w:color w:val="auto"/>
          <w:sz w:val="24"/>
          <w:szCs w:val="24"/>
          <w:highlight w:val="none"/>
        </w:rPr>
        <w:t>凡发现成交供应商有下列行为之一的，将移交涉监管部门依法处理。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6"/>
    </w:p>
    <w:p>
      <w:pPr>
        <w:pStyle w:val="7"/>
        <w:adjustRightInd w:val="0"/>
        <w:snapToGrid w:val="0"/>
        <w:spacing w:line="360" w:lineRule="auto"/>
        <w:ind w:firstLine="482" w:firstLineChars="200"/>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pPr>
        <w:pStyle w:val="7"/>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7"/>
        <w:adjustRightInd w:val="0"/>
        <w:snapToGrid w:val="0"/>
        <w:spacing w:line="360" w:lineRule="auto"/>
        <w:ind w:right="32" w:firstLine="463" w:firstLineChars="19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pPr>
        <w:pStyle w:val="7"/>
        <w:adjustRightInd w:val="0"/>
        <w:snapToGrid w:val="0"/>
        <w:spacing w:line="360" w:lineRule="auto"/>
        <w:ind w:firstLine="460" w:firstLineChars="19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评审专家签到，监督代表核对评审专家与随机抽取的专家名单，监督代表核对无误后，招采办在评审开始前宣读评审纪律及比选文件说明。</w:t>
      </w:r>
    </w:p>
    <w:p>
      <w:pPr>
        <w:autoSpaceDE w:val="0"/>
        <w:autoSpaceDN w:val="0"/>
        <w:adjustRightInd w:val="0"/>
        <w:snapToGrid w:val="0"/>
        <w:spacing w:line="360" w:lineRule="auto"/>
        <w:ind w:right="32" w:firstLine="460" w:firstLineChars="192"/>
        <w:rPr>
          <w:rFonts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firstLine="463" w:firstLineChars="192"/>
        <w:rPr>
          <w:rFonts w:ascii="仿宋" w:hAnsi="仿宋" w:eastAsia="仿宋" w:cs="仿宋"/>
          <w:b/>
          <w:color w:val="auto"/>
          <w:sz w:val="24"/>
          <w:highlight w:val="none"/>
        </w:rPr>
      </w:pPr>
    </w:p>
    <w:p>
      <w:pPr>
        <w:autoSpaceDE w:val="0"/>
        <w:autoSpaceDN w:val="0"/>
        <w:adjustRightInd w:val="0"/>
        <w:snapToGrid w:val="0"/>
        <w:spacing w:line="360" w:lineRule="auto"/>
        <w:ind w:right="32" w:firstLine="463" w:firstLineChars="192"/>
        <w:rPr>
          <w:rFonts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bookmarkStart w:id="7"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pPr>
        <w:pStyle w:val="7"/>
        <w:adjustRightInd w:val="0"/>
        <w:snapToGrid w:val="0"/>
        <w:spacing w:line="360" w:lineRule="auto"/>
        <w:ind w:right="32" w:firstLine="458" w:firstLineChars="19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pPr>
        <w:pStyle w:val="7"/>
        <w:adjustRightInd w:val="0"/>
        <w:snapToGrid w:val="0"/>
        <w:spacing w:line="360" w:lineRule="auto"/>
        <w:ind w:right="32" w:firstLine="458" w:firstLineChars="19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7"/>
    <w:tbl>
      <w:tblPr>
        <w:tblStyle w:val="11"/>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tcPr>
          <w:p>
            <w:pPr>
              <w:spacing w:line="380" w:lineRule="exact"/>
              <w:jc w:val="center"/>
              <w:rPr>
                <w:color w:val="auto"/>
                <w:highlight w:val="none"/>
              </w:rPr>
            </w:pPr>
            <w:r>
              <w:rPr>
                <w:rFonts w:hint="eastAsia" w:ascii="仿宋" w:hAnsi="仿宋" w:eastAsia="仿宋" w:cs="仿宋"/>
                <w:b/>
                <w:bCs/>
                <w:color w:val="auto"/>
                <w:szCs w:val="21"/>
                <w:highlight w:val="none"/>
              </w:rPr>
              <w:t>评审内容</w:t>
            </w:r>
          </w:p>
        </w:tc>
        <w:tc>
          <w:tcPr>
            <w:tcW w:w="5760" w:type="dxa"/>
            <w:vAlign w:val="center"/>
          </w:tcPr>
          <w:p>
            <w:pPr>
              <w:spacing w:line="380" w:lineRule="exact"/>
              <w:ind w:left="-171"/>
              <w:jc w:val="center"/>
              <w:rPr>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80" w:lineRule="exact"/>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vAlign w:val="center"/>
          </w:tcPr>
          <w:p>
            <w:pPr>
              <w:spacing w:line="380" w:lineRule="exact"/>
              <w:ind w:left="40" w:leftChars="19"/>
              <w:jc w:val="center"/>
              <w:rPr>
                <w:color w:val="auto"/>
                <w:highlight w:val="none"/>
              </w:rPr>
            </w:pPr>
            <w:r>
              <w:rPr>
                <w:rFonts w:hint="eastAsia" w:ascii="仿宋" w:hAnsi="仿宋" w:eastAsia="仿宋" w:cs="仿宋"/>
                <w:color w:val="auto"/>
                <w:szCs w:val="21"/>
                <w:highlight w:val="none"/>
              </w:rPr>
              <w:t>响应函</w:t>
            </w:r>
          </w:p>
        </w:tc>
        <w:tc>
          <w:tcPr>
            <w:tcW w:w="5760" w:type="dxa"/>
            <w:vAlign w:val="center"/>
          </w:tcPr>
          <w:p>
            <w:pPr>
              <w:spacing w:line="380" w:lineRule="exact"/>
              <w:ind w:left="40" w:leftChars="19"/>
              <w:jc w:val="left"/>
              <w:rPr>
                <w:color w:val="auto"/>
                <w:highlight w:val="none"/>
              </w:rPr>
            </w:pPr>
            <w:r>
              <w:rPr>
                <w:rFonts w:hint="eastAsia" w:ascii="仿宋" w:hAnsi="仿宋" w:eastAsia="仿宋" w:cs="仿宋"/>
                <w:color w:val="auto"/>
                <w:szCs w:val="21"/>
                <w:highlight w:val="none"/>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ind w:left="40" w:leftChars="19"/>
              <w:jc w:val="center"/>
              <w:rPr>
                <w:color w:val="auto"/>
                <w:highlight w:val="none"/>
              </w:rPr>
            </w:pPr>
            <w:r>
              <w:rPr>
                <w:rFonts w:hint="eastAsia" w:ascii="仿宋" w:hAnsi="仿宋" w:eastAsia="仿宋" w:cs="仿宋"/>
                <w:color w:val="auto"/>
                <w:szCs w:val="21"/>
                <w:highlight w:val="none"/>
              </w:rPr>
              <w:t>法定代表人/负责人资格证明书及授权委托书</w:t>
            </w:r>
          </w:p>
        </w:tc>
        <w:tc>
          <w:tcPr>
            <w:tcW w:w="5760" w:type="dxa"/>
            <w:vAlign w:val="center"/>
          </w:tcPr>
          <w:p>
            <w:pPr>
              <w:ind w:left="40" w:leftChars="19"/>
              <w:jc w:val="left"/>
              <w:rPr>
                <w:color w:val="auto"/>
                <w:highlight w:val="none"/>
              </w:rPr>
            </w:pPr>
            <w:r>
              <w:rPr>
                <w:rFonts w:hint="eastAsia" w:ascii="仿宋" w:hAnsi="仿宋" w:eastAsia="仿宋" w:cs="仿宋"/>
                <w:color w:val="auto"/>
                <w:szCs w:val="21"/>
                <w:highlight w:val="none"/>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color w:val="auto"/>
                <w:highlight w:val="none"/>
              </w:rPr>
            </w:pPr>
            <w:r>
              <w:rPr>
                <w:rFonts w:hint="eastAsia" w:ascii="仿宋" w:hAnsi="仿宋" w:eastAsia="仿宋" w:cs="仿宋"/>
                <w:color w:val="auto"/>
                <w:szCs w:val="21"/>
                <w:highlight w:val="none"/>
              </w:rPr>
              <w:t>(关于资格的声明函)</w:t>
            </w:r>
          </w:p>
        </w:tc>
        <w:tc>
          <w:tcPr>
            <w:tcW w:w="5760" w:type="dxa"/>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3）比选截止时间前一年内任意一个月的依法缴纳税收证明材料（如依法免税，则须提供相应文件证明其依法免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6.本项目专门面向中小企业采购，本项目所属行业为：</w:t>
            </w:r>
            <w:r>
              <w:rPr>
                <w:rFonts w:hint="eastAsia" w:ascii="仿宋" w:hAnsi="仿宋" w:eastAsia="仿宋" w:cs="仿宋"/>
                <w:b/>
                <w:bCs/>
                <w:color w:val="auto"/>
                <w:sz w:val="24"/>
                <w:highlight w:val="none"/>
              </w:rPr>
              <w:t>工业</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7.已在招采办报名。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vAlign w:val="center"/>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spacing w:line="380" w:lineRule="exact"/>
              <w:ind w:left="-171"/>
              <w:jc w:val="center"/>
              <w:rPr>
                <w:color w:val="auto"/>
                <w:highlight w:val="none"/>
              </w:rPr>
            </w:pPr>
            <w:r>
              <w:rPr>
                <w:rFonts w:hint="eastAsia" w:ascii="仿宋" w:hAnsi="仿宋" w:eastAsia="仿宋" w:cs="仿宋"/>
                <w:color w:val="auto"/>
                <w:szCs w:val="21"/>
                <w:highlight w:val="none"/>
              </w:rPr>
              <w:t>其他要求</w:t>
            </w:r>
          </w:p>
        </w:tc>
        <w:tc>
          <w:tcPr>
            <w:tcW w:w="5760" w:type="dxa"/>
          </w:tcPr>
          <w:p>
            <w:pPr>
              <w:spacing w:line="380" w:lineRule="exact"/>
              <w:ind w:left="40" w:leftChars="19"/>
              <w:jc w:val="left"/>
              <w:rPr>
                <w:color w:val="auto"/>
                <w:highlight w:val="none"/>
              </w:rPr>
            </w:pPr>
            <w:r>
              <w:rPr>
                <w:rFonts w:hint="eastAsia" w:ascii="仿宋" w:hAnsi="仿宋" w:eastAsia="仿宋" w:cs="仿宋"/>
                <w:color w:val="auto"/>
                <w:szCs w:val="21"/>
                <w:highlight w:val="none"/>
              </w:rPr>
              <w:t>按响应资料清单中规定提供“必须提交”的文件资料。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vAlign w:val="center"/>
          </w:tcPr>
          <w:p>
            <w:pPr>
              <w:spacing w:line="380" w:lineRule="exact"/>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vAlign w:val="center"/>
          </w:tcPr>
          <w:p>
            <w:pPr>
              <w:tabs>
                <w:tab w:val="left" w:pos="2880"/>
              </w:tabs>
              <w:spacing w:line="380" w:lineRule="exact"/>
              <w:ind w:left="40" w:leftChars="19"/>
              <w:jc w:val="left"/>
              <w:rPr>
                <w:color w:val="auto"/>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vAlign w:val="center"/>
          </w:tcPr>
          <w:p>
            <w:pPr>
              <w:tabs>
                <w:tab w:val="left" w:pos="2880"/>
              </w:tabs>
              <w:spacing w:line="380" w:lineRule="exact"/>
              <w:jc w:val="left"/>
              <w:rPr>
                <w:color w:val="auto"/>
                <w:highlight w:val="none"/>
              </w:rPr>
            </w:pPr>
            <w:r>
              <w:rPr>
                <w:rFonts w:hint="eastAsia" w:ascii="仿宋" w:hAnsi="仿宋" w:eastAsia="仿宋" w:cs="仿宋"/>
                <w:color w:val="auto"/>
                <w:szCs w:val="21"/>
                <w:highlight w:val="none"/>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技术要求评审</w:t>
            </w:r>
          </w:p>
        </w:tc>
        <w:tc>
          <w:tcPr>
            <w:tcW w:w="576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 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80" w:lineRule="exact"/>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响应文件一式两份，其中正本一份和副本一份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380" w:lineRule="exact"/>
              <w:ind w:left="40" w:leftChars="19"/>
              <w:jc w:val="center"/>
              <w:rPr>
                <w:rFonts w:ascii="仿宋" w:hAnsi="仿宋" w:eastAsia="仿宋" w:cs="仿宋"/>
                <w:color w:val="auto"/>
                <w:szCs w:val="21"/>
                <w:highlight w:val="none"/>
              </w:rPr>
            </w:pPr>
          </w:p>
        </w:tc>
        <w:tc>
          <w:tcPr>
            <w:tcW w:w="7792" w:type="dxa"/>
            <w:gridSpan w:val="2"/>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无比选文件规定的其它无效响应情况</w:t>
            </w:r>
          </w:p>
        </w:tc>
      </w:tr>
    </w:tbl>
    <w:p>
      <w:pPr>
        <w:pStyle w:val="7"/>
        <w:adjustRightInd w:val="0"/>
        <w:snapToGrid w:val="0"/>
        <w:spacing w:line="360" w:lineRule="auto"/>
        <w:ind w:right="32"/>
        <w:rPr>
          <w:rFonts w:ascii="仿宋" w:hAnsi="仿宋" w:eastAsia="仿宋" w:cs="仿宋"/>
          <w:bCs/>
          <w:color w:val="auto"/>
          <w:sz w:val="24"/>
          <w:szCs w:val="24"/>
          <w:highlight w:val="none"/>
        </w:rPr>
      </w:pP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1"/>
        <w:tblW w:w="8384" w:type="dxa"/>
        <w:jc w:val="center"/>
        <w:tblLayout w:type="fixed"/>
        <w:tblCellMar>
          <w:top w:w="15" w:type="dxa"/>
          <w:left w:w="15" w:type="dxa"/>
          <w:bottom w:w="15" w:type="dxa"/>
          <w:right w:w="15" w:type="dxa"/>
        </w:tblCellMar>
      </w:tblPr>
      <w:tblGrid>
        <w:gridCol w:w="1005"/>
        <w:gridCol w:w="1215"/>
        <w:gridCol w:w="6164"/>
      </w:tblGrid>
      <w:tr>
        <w:tblPrEx>
          <w:tblCellMar>
            <w:top w:w="15" w:type="dxa"/>
            <w:left w:w="15" w:type="dxa"/>
            <w:bottom w:w="15" w:type="dxa"/>
            <w:right w:w="15" w:type="dxa"/>
          </w:tblCellMar>
        </w:tblPrEx>
        <w:trPr>
          <w:trHeight w:val="653" w:hRule="atLeast"/>
          <w:tblHeader/>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评分项目</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分值(分)</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评分细则</w:t>
            </w:r>
          </w:p>
        </w:tc>
      </w:tr>
      <w:tr>
        <w:tblPrEx>
          <w:tblCellMar>
            <w:top w:w="15" w:type="dxa"/>
            <w:left w:w="15" w:type="dxa"/>
            <w:bottom w:w="15" w:type="dxa"/>
            <w:right w:w="15" w:type="dxa"/>
          </w:tblCellMar>
        </w:tblPrEx>
        <w:trPr>
          <w:trHeight w:val="1223"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adjustRightInd w:val="0"/>
              <w:snapToGrid w:val="0"/>
              <w:ind w:right="32"/>
              <w:jc w:val="center"/>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价格</w:t>
            </w: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adjustRightInd w:val="0"/>
              <w:snapToGrid w:val="0"/>
              <w:ind w:right="32"/>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61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GB"/>
              </w:rPr>
              <w:t>报价得分=（基准价/响应报价）×价格权值×100（以最低报价为基准价）</w:t>
            </w:r>
          </w:p>
        </w:tc>
      </w:tr>
      <w:tr>
        <w:tblPrEx>
          <w:tblCellMar>
            <w:top w:w="15" w:type="dxa"/>
            <w:left w:w="15" w:type="dxa"/>
            <w:bottom w:w="15" w:type="dxa"/>
            <w:right w:w="15" w:type="dxa"/>
          </w:tblCellMar>
        </w:tblPrEx>
        <w:trPr>
          <w:trHeight w:val="90"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技术商务响应程度</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tabs>
                <w:tab w:val="left" w:pos="274"/>
                <w:tab w:val="center" w:pos="570"/>
              </w:tabs>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0" w:leftChars="0" w:firstLine="0" w:firstLineChars="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一般技术商务条款共计11条</w:t>
            </w:r>
            <w:r>
              <w:rPr>
                <w:rFonts w:hint="eastAsia" w:ascii="仿宋" w:hAnsi="仿宋" w:eastAsia="仿宋" w:cs="仿宋"/>
                <w:color w:val="auto"/>
                <w:sz w:val="24"/>
                <w:highlight w:val="none"/>
                <w:lang w:eastAsia="zh-CN"/>
              </w:rPr>
              <w:t>（对应第二部分</w:t>
            </w:r>
            <w:r>
              <w:rPr>
                <w:rFonts w:hint="eastAsia" w:ascii="仿宋" w:hAnsi="仿宋" w:eastAsia="仿宋" w:cs="仿宋"/>
                <w:color w:val="auto"/>
                <w:sz w:val="24"/>
                <w:highlight w:val="none"/>
                <w:lang w:val="en-US" w:eastAsia="zh-CN"/>
              </w:rPr>
              <w:t xml:space="preserve"> 采购项目内容</w:t>
            </w:r>
            <w:r>
              <w:rPr>
                <w:rFonts w:hint="eastAsia" w:ascii="仿宋" w:hAnsi="仿宋" w:eastAsia="仿宋" w:cs="仿宋"/>
                <w:color w:val="auto"/>
                <w:sz w:val="24"/>
                <w:highlight w:val="none"/>
                <w:lang w:eastAsia="zh-CN"/>
              </w:rPr>
              <w:t>第四、第五点内容）</w:t>
            </w:r>
            <w:r>
              <w:rPr>
                <w:rFonts w:hint="eastAsia" w:ascii="仿宋" w:hAnsi="仿宋" w:eastAsia="仿宋" w:cs="仿宋"/>
                <w:color w:val="auto"/>
                <w:sz w:val="24"/>
                <w:highlight w:val="none"/>
              </w:rPr>
              <w:t>，所投产品参数全部满足得22分，有一项不满足参数的得20分，有两项不满足参数的得18分，以此类推。</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注：①比选文件“第二部分 采购项目内容”中要求提供证明资料的，则比选文件应提供对应条款的证明资料，不提供不得分；②未要求提供证明资料的以响应供应商填写的技术和商务要求响应表为准。</w:t>
            </w:r>
          </w:p>
        </w:tc>
      </w:tr>
      <w:tr>
        <w:tblPrEx>
          <w:tblCellMar>
            <w:top w:w="15" w:type="dxa"/>
            <w:left w:w="15" w:type="dxa"/>
            <w:bottom w:w="15" w:type="dxa"/>
            <w:right w:w="15" w:type="dxa"/>
          </w:tblCellMar>
        </w:tblPrEx>
        <w:trPr>
          <w:trHeight w:val="3957"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服务方案</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tabs>
                <w:tab w:val="left" w:pos="274"/>
                <w:tab w:val="center" w:pos="570"/>
              </w:tabs>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根据各响应供应商提出的服务方案（包括人力投入、进度计划、具体操作等情况）进行综合评审：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服务方案</w:t>
            </w:r>
            <w:r>
              <w:rPr>
                <w:rFonts w:hint="eastAsia" w:ascii="仿宋" w:hAnsi="仿宋" w:eastAsia="仿宋" w:cs="仿宋"/>
                <w:color w:val="auto"/>
                <w:sz w:val="24"/>
                <w:highlight w:val="none"/>
              </w:rPr>
              <w:t>优于采购人的需求，完整包括以上评审内容，且科学可靠，完善、可行程度高，得9分；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服务方案</w:t>
            </w:r>
            <w:r>
              <w:rPr>
                <w:rFonts w:hint="eastAsia" w:ascii="仿宋" w:hAnsi="仿宋" w:eastAsia="仿宋" w:cs="仿宋"/>
                <w:color w:val="auto"/>
                <w:sz w:val="24"/>
                <w:highlight w:val="none"/>
              </w:rPr>
              <w:t>响应采购人的需求，基本包括以上评审内容，较科学可靠、完善、基本可行的，得6分；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服务方案</w:t>
            </w:r>
            <w:r>
              <w:rPr>
                <w:rFonts w:hint="eastAsia" w:ascii="仿宋" w:hAnsi="仿宋" w:eastAsia="仿宋" w:cs="仿宋"/>
                <w:color w:val="auto"/>
                <w:sz w:val="24"/>
                <w:highlight w:val="none"/>
              </w:rPr>
              <w:t>基本响应采购人的需求，对以上评审内容有缺失，科学可靠、完善、可行性程度一般，得3分；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4.无提供方案不得分。</w:t>
            </w:r>
          </w:p>
        </w:tc>
      </w:tr>
      <w:tr>
        <w:tblPrEx>
          <w:tblCellMar>
            <w:top w:w="15" w:type="dxa"/>
            <w:left w:w="15" w:type="dxa"/>
            <w:bottom w:w="15" w:type="dxa"/>
            <w:right w:w="15" w:type="dxa"/>
          </w:tblCellMar>
        </w:tblPrEx>
        <w:trPr>
          <w:trHeight w:val="3710"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管理方案</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7</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根据各响应供应商提供的管理方案、实施细则等情况</w:t>
            </w:r>
            <w:r>
              <w:rPr>
                <w:rFonts w:hint="eastAsia" w:ascii="仿宋" w:hAnsi="仿宋" w:eastAsia="仿宋" w:cs="仿宋"/>
                <w:color w:val="auto"/>
                <w:kern w:val="0"/>
                <w:sz w:val="24"/>
                <w:highlight w:val="none"/>
                <w:lang w:val="en-GB"/>
              </w:rPr>
              <w:t>进行综合评审：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管理</w:t>
            </w:r>
            <w:r>
              <w:rPr>
                <w:rFonts w:hint="eastAsia" w:ascii="仿宋" w:hAnsi="仿宋" w:eastAsia="仿宋" w:cs="仿宋"/>
                <w:color w:val="auto"/>
                <w:sz w:val="24"/>
                <w:highlight w:val="none"/>
              </w:rPr>
              <w:t>方案优于采购人的需求，完整包括以上评审内容，且科学可靠，完善、可行程度高，得7 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管理</w:t>
            </w:r>
            <w:r>
              <w:rPr>
                <w:rFonts w:hint="eastAsia" w:ascii="仿宋" w:hAnsi="仿宋" w:eastAsia="仿宋" w:cs="仿宋"/>
                <w:color w:val="auto"/>
                <w:sz w:val="24"/>
                <w:highlight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管理</w:t>
            </w:r>
            <w:r>
              <w:rPr>
                <w:rFonts w:hint="eastAsia" w:ascii="仿宋" w:hAnsi="仿宋" w:eastAsia="仿宋" w:cs="仿宋"/>
                <w:color w:val="auto"/>
                <w:sz w:val="24"/>
                <w:highlight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4.无提供方案不得分。</w:t>
            </w:r>
          </w:p>
        </w:tc>
      </w:tr>
      <w:tr>
        <w:tblPrEx>
          <w:tblCellMar>
            <w:top w:w="15" w:type="dxa"/>
            <w:left w:w="15" w:type="dxa"/>
            <w:bottom w:w="15" w:type="dxa"/>
            <w:right w:w="15" w:type="dxa"/>
          </w:tblCellMar>
        </w:tblPrEx>
        <w:trPr>
          <w:trHeight w:val="3837"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突发事件处理</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根据各响应供应商提供的突发事件处理方案（包括人员到位时间、处置措施等情况）进行综合评审，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处理</w:t>
            </w:r>
            <w:r>
              <w:rPr>
                <w:rFonts w:hint="eastAsia" w:ascii="仿宋" w:hAnsi="仿宋" w:eastAsia="仿宋" w:cs="仿宋"/>
                <w:color w:val="auto"/>
                <w:sz w:val="24"/>
                <w:highlight w:val="none"/>
              </w:rPr>
              <w:t>方案优于采购人的需求，完整包括以上评审内容，且科学可靠，完善、可行程度高，得 7分；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处理</w:t>
            </w:r>
            <w:r>
              <w:rPr>
                <w:rFonts w:hint="eastAsia" w:ascii="仿宋" w:hAnsi="仿宋" w:eastAsia="仿宋" w:cs="仿宋"/>
                <w:color w:val="auto"/>
                <w:sz w:val="24"/>
                <w:highlight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处理</w:t>
            </w:r>
            <w:r>
              <w:rPr>
                <w:rFonts w:hint="eastAsia" w:ascii="仿宋" w:hAnsi="仿宋" w:eastAsia="仿宋" w:cs="仿宋"/>
                <w:color w:val="auto"/>
                <w:sz w:val="24"/>
                <w:highlight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4.无提供方案不得分。</w:t>
            </w:r>
          </w:p>
        </w:tc>
      </w:tr>
      <w:tr>
        <w:tblPrEx>
          <w:tblCellMar>
            <w:top w:w="15" w:type="dxa"/>
            <w:left w:w="15" w:type="dxa"/>
            <w:bottom w:w="15" w:type="dxa"/>
            <w:right w:w="15" w:type="dxa"/>
          </w:tblCellMar>
        </w:tblPrEx>
        <w:trPr>
          <w:trHeight w:val="1452"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拟派负责人员</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根据各响应供应商拟派1名人员作为本项目负责人情况进行评审：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项目负责人</w:t>
            </w:r>
            <w:r>
              <w:rPr>
                <w:rFonts w:hint="eastAsia" w:ascii="仿宋" w:hAnsi="仿宋" w:eastAsia="仿宋" w:cs="仿宋"/>
                <w:color w:val="auto"/>
                <w:kern w:val="0"/>
                <w:sz w:val="24"/>
                <w:highlight w:val="none"/>
                <w:lang w:val="en-US" w:eastAsia="zh-CN"/>
              </w:rPr>
              <w:t>:①</w:t>
            </w:r>
            <w:r>
              <w:rPr>
                <w:rFonts w:hint="eastAsia" w:ascii="仿宋" w:hAnsi="仿宋" w:eastAsia="仿宋" w:cs="仿宋"/>
                <w:color w:val="auto"/>
                <w:kern w:val="0"/>
                <w:sz w:val="24"/>
                <w:highlight w:val="none"/>
              </w:rPr>
              <w:t>具有电工证的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得3分；</w:t>
            </w:r>
            <w:r>
              <w:rPr>
                <w:rFonts w:hint="eastAsia" w:ascii="仿宋" w:hAnsi="仿宋" w:eastAsia="仿宋" w:cs="仿宋"/>
                <w:color w:val="auto"/>
                <w:kern w:val="0"/>
                <w:sz w:val="24"/>
                <w:highlight w:val="none"/>
                <w:lang w:eastAsia="zh-CN"/>
              </w:rPr>
              <w:t>②</w:t>
            </w:r>
            <w:r>
              <w:rPr>
                <w:rFonts w:hint="eastAsia" w:ascii="仿宋" w:hAnsi="仿宋" w:eastAsia="仿宋" w:cs="仿宋"/>
                <w:color w:val="auto"/>
                <w:kern w:val="0"/>
                <w:sz w:val="24"/>
                <w:highlight w:val="none"/>
              </w:rPr>
              <w:t>具备特种设备作业证的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得3分</w:t>
            </w:r>
            <w:r>
              <w:rPr>
                <w:rFonts w:hint="eastAsia" w:ascii="仿宋" w:hAnsi="仿宋" w:eastAsia="仿宋" w:cs="仿宋"/>
                <w:color w:val="auto"/>
                <w:kern w:val="0"/>
                <w:sz w:val="24"/>
                <w:highlight w:val="none"/>
                <w:lang w:eastAsia="zh-CN"/>
              </w:rPr>
              <w:t>；③</w:t>
            </w:r>
            <w:r>
              <w:rPr>
                <w:rFonts w:hint="eastAsia" w:ascii="仿宋" w:hAnsi="仿宋" w:eastAsia="仿宋" w:cs="仿宋"/>
                <w:color w:val="auto"/>
                <w:kern w:val="0"/>
                <w:sz w:val="24"/>
                <w:highlight w:val="none"/>
              </w:rPr>
              <w:t>具备高工作业证的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得3分，最高得9分。（须提供拟派负责人员相关证明文件复印件和近六个月内响应供应商为其购买的任意一个月社保证明并加盖公章，不提供或不满足条件的均不得分。）</w:t>
            </w:r>
          </w:p>
        </w:tc>
      </w:tr>
      <w:tr>
        <w:tblPrEx>
          <w:tblCellMar>
            <w:top w:w="15" w:type="dxa"/>
            <w:left w:w="15" w:type="dxa"/>
            <w:bottom w:w="15" w:type="dxa"/>
            <w:right w:w="15" w:type="dxa"/>
          </w:tblCellMar>
        </w:tblPrEx>
        <w:trPr>
          <w:trHeight w:val="1236"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同类业绩情况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根据各响应供应商提供自2021年至今同类业绩进行评审，每提供一个得4分，本项最高得16分，不提供或不满足条件的均不得分。</w:t>
            </w:r>
          </w:p>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注：同类业绩证明文件是中标/成交通知书或合同关键页的复印件或扫描件（合同关键页是指包括：①能显示</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kern w:val="0"/>
                <w:sz w:val="24"/>
                <w:highlight w:val="none"/>
              </w:rPr>
              <w:t>相关信息；②签订合同双方的单位名称、合同项目名称；③签订合同双方的签章、盖章及签订日期），无提供不得分。</w:t>
            </w:r>
          </w:p>
        </w:tc>
      </w:tr>
      <w:tr>
        <w:tblPrEx>
          <w:tblCellMar>
            <w:top w:w="15" w:type="dxa"/>
            <w:left w:w="15" w:type="dxa"/>
            <w:bottom w:w="15" w:type="dxa"/>
            <w:right w:w="15" w:type="dxa"/>
          </w:tblCellMar>
        </w:tblPrEx>
        <w:trPr>
          <w:trHeight w:val="588"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100</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仿宋"/>
                <w:color w:val="auto"/>
                <w:sz w:val="24"/>
                <w:highlight w:val="none"/>
              </w:rPr>
            </w:pPr>
          </w:p>
        </w:tc>
      </w:tr>
    </w:tbl>
    <w:p>
      <w:pPr>
        <w:autoSpaceDE w:val="0"/>
        <w:autoSpaceDN w:val="0"/>
        <w:adjustRightInd w:val="0"/>
        <w:snapToGrid w:val="0"/>
        <w:spacing w:line="360" w:lineRule="auto"/>
        <w:ind w:right="32"/>
        <w:rPr>
          <w:rFonts w:ascii="仿宋" w:hAnsi="仿宋" w:eastAsia="仿宋" w:cs="仿宋"/>
          <w:color w:val="auto"/>
          <w:kern w:val="0"/>
          <w:sz w:val="24"/>
          <w:highlight w:val="none"/>
        </w:rPr>
      </w:pP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pPr>
        <w:autoSpaceDE w:val="0"/>
        <w:autoSpaceDN w:val="0"/>
        <w:adjustRightInd w:val="0"/>
        <w:snapToGrid w:val="0"/>
        <w:spacing w:line="360" w:lineRule="auto"/>
        <w:ind w:right="32" w:firstLine="458" w:firstLineChars="191"/>
        <w:rPr>
          <w:rFonts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pP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pPr>
        <w:autoSpaceDE w:val="0"/>
        <w:autoSpaceDN w:val="0"/>
        <w:adjustRightInd w:val="0"/>
        <w:snapToGrid w:val="0"/>
        <w:spacing w:line="360" w:lineRule="auto"/>
        <w:ind w:right="32"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评审完成确定成交候选供应商后，招采办发布成交公告，并向成交人发出《成交通知书》。</w:t>
      </w:r>
    </w:p>
    <w:p>
      <w:pPr>
        <w:autoSpaceDE w:val="0"/>
        <w:autoSpaceDN w:val="0"/>
        <w:adjustRightInd w:val="0"/>
        <w:snapToGrid w:val="0"/>
        <w:spacing w:line="360" w:lineRule="auto"/>
        <w:ind w:right="32"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招采办提出合理的质疑。公告期限内未收到书面质疑，视为潜在供应商认同比选文件的全部内容，招采办不再受理供应商对比选公告或文件的质疑。</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2、招采办应当在接收到质疑函后起七个工作日内进行答复，并以书面形式通知质疑供应商和其他有关供应商。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招采办通过澄清或者修改，并以书面形式告知潜在的供应商后可以继续开展采购活动的，澄清或者修改比选文件后继续开展采购活动；否则应当修改比选文件后重新开展采购活动。</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1、供应商认为评审过程、成交结果使自己的权益受到损害的，可以在知道或者应知其权益受到损害之日起7个工作日内，以书面形式向招采办提出质疑。</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2、招采办应于收到质疑函后起7个工作日内组织原评审小组协助答复质疑，并以书面形式通知质疑供应商和其他有关供应商。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1、供应商对招采办的质疑答复不满意或在规定时间内未得到答复的，可以在答复期满后15个工作日内，按如下联系方式向</w:t>
      </w:r>
      <w:r>
        <w:rPr>
          <w:rFonts w:hint="eastAsia" w:ascii="仿宋" w:hAnsi="仿宋" w:eastAsia="仿宋" w:cs="仿宋"/>
          <w:color w:val="auto"/>
          <w:sz w:val="24"/>
          <w:szCs w:val="24"/>
          <w:highlight w:val="none"/>
        </w:rPr>
        <w:t>医院招标采购工作监督小组</w:t>
      </w:r>
      <w:r>
        <w:rPr>
          <w:rFonts w:hint="eastAsia" w:ascii="仿宋" w:hAnsi="仿宋" w:eastAsia="仿宋" w:cs="仿宋"/>
          <w:color w:val="auto"/>
          <w:sz w:val="24"/>
          <w:highlight w:val="none"/>
        </w:rPr>
        <w:t>提出书面投诉。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（五）质疑供应商未按以上规定进行质疑的，招采办将不予接收。</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（七）招采办受理质疑后，质疑人书面申请撤回质疑的，应当终止质疑处理程序。</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7"/>
        <w:adjustRightInd w:val="0"/>
        <w:snapToGrid w:val="0"/>
        <w:spacing w:line="360" w:lineRule="auto"/>
        <w:ind w:firstLine="482" w:firstLineChars="200"/>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bookmarkStart w:id="8" w:name="_Hlk66180132"/>
      <w:r>
        <w:rPr>
          <w:rFonts w:hint="eastAsia" w:ascii="仿宋" w:hAnsi="仿宋" w:eastAsia="仿宋" w:cs="仿宋"/>
          <w:color w:val="auto"/>
          <w:kern w:val="0"/>
          <w:sz w:val="24"/>
          <w:highlight w:val="none"/>
        </w:rPr>
        <w:t>1、合同的订立</w:t>
      </w:r>
    </w:p>
    <w:p>
      <w:pPr>
        <w:autoSpaceDE w:val="0"/>
        <w:autoSpaceDN w:val="0"/>
        <w:adjustRightInd w:val="0"/>
        <w:snapToGrid w:val="0"/>
        <w:spacing w:line="360" w:lineRule="auto"/>
        <w:ind w:right="32" w:firstLine="480" w:firstLineChars="2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（1）采购合同订立后，合同各方不得擅自变更、中止或者终止合同。合同确需要变更的，应以书面形式报招采办审批。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8"/>
    <w:p>
      <w:pPr>
        <w:adjustRightInd w:val="0"/>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9" w:name="_Hlk66180218"/>
      <w:r>
        <w:rPr>
          <w:rFonts w:hint="eastAsia" w:ascii="仿宋" w:hAnsi="仿宋" w:eastAsia="仿宋" w:cs="仿宋"/>
          <w:b/>
          <w:bCs/>
          <w:color w:val="auto"/>
          <w:sz w:val="24"/>
          <w:highlight w:val="none"/>
        </w:rPr>
        <w:t>适用法律及规定</w:t>
      </w:r>
      <w:bookmarkEnd w:id="9"/>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pPr>
        <w:autoSpaceDE w:val="0"/>
        <w:autoSpaceDN w:val="0"/>
        <w:adjustRightInd w:val="0"/>
        <w:snapToGrid w:val="0"/>
        <w:spacing w:line="360" w:lineRule="auto"/>
        <w:ind w:right="32" w:firstLine="480" w:firstLineChars="200"/>
        <w:jc w:val="center"/>
        <w:rPr>
          <w:rFonts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pPr>
        <w:jc w:val="right"/>
        <w:rPr>
          <w:rFonts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tbl>
      <w:tblPr>
        <w:tblStyle w:val="11"/>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tcPr>
          <w:p>
            <w:pPr>
              <w:pStyle w:val="7"/>
              <w:spacing w:line="800" w:lineRule="exact"/>
              <w:jc w:val="left"/>
              <w:rPr>
                <w:rFonts w:hAnsi="宋体"/>
                <w:b/>
                <w:color w:val="auto"/>
                <w:sz w:val="30"/>
                <w:szCs w:val="30"/>
                <w:highlight w:val="none"/>
              </w:rPr>
            </w:pPr>
          </w:p>
          <w:p>
            <w:pPr>
              <w:pStyle w:val="7"/>
              <w:spacing w:line="800" w:lineRule="exact"/>
              <w:jc w:val="left"/>
              <w:rPr>
                <w:rFonts w:hAnsi="宋体"/>
                <w:b/>
                <w:color w:val="auto"/>
                <w:sz w:val="30"/>
                <w:szCs w:val="30"/>
                <w:highlight w:val="none"/>
              </w:rPr>
            </w:pPr>
            <w:r>
              <w:rPr>
                <w:rFonts w:hint="eastAsia" w:hAnsi="宋体"/>
                <w:b/>
                <w:color w:val="auto"/>
                <w:sz w:val="30"/>
                <w:szCs w:val="30"/>
                <w:highlight w:val="none"/>
              </w:rPr>
              <w:t>采购编号：</w:t>
            </w:r>
          </w:p>
          <w:p>
            <w:pPr>
              <w:pStyle w:val="7"/>
              <w:spacing w:line="800" w:lineRule="exact"/>
              <w:jc w:val="left"/>
              <w:rPr>
                <w:rFonts w:hAnsi="宋体"/>
                <w:b/>
                <w:color w:val="auto"/>
                <w:sz w:val="30"/>
                <w:szCs w:val="30"/>
                <w:highlight w:val="none"/>
              </w:rPr>
            </w:pPr>
            <w:r>
              <w:rPr>
                <w:rFonts w:hint="eastAsia" w:hAnsi="宋体"/>
                <w:b/>
                <w:color w:val="auto"/>
                <w:sz w:val="30"/>
                <w:szCs w:val="30"/>
                <w:highlight w:val="none"/>
              </w:rPr>
              <w:t>项目名称：</w:t>
            </w:r>
          </w:p>
          <w:p>
            <w:pPr>
              <w:pStyle w:val="7"/>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    方：</w:t>
            </w:r>
          </w:p>
          <w:p>
            <w:pPr>
              <w:pStyle w:val="7"/>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乙    方：</w:t>
            </w:r>
          </w:p>
          <w:p>
            <w:pPr>
              <w:pStyle w:val="7"/>
              <w:spacing w:line="800" w:lineRule="exact"/>
              <w:jc w:val="left"/>
              <w:rPr>
                <w:rFonts w:hAnsi="宋体" w:cs="Times New Roman"/>
                <w:b/>
                <w:bCs/>
                <w:color w:val="auto"/>
                <w:sz w:val="30"/>
                <w:szCs w:val="30"/>
                <w:highlight w:val="none"/>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color w:val="auto"/>
          <w:highlight w:val="none"/>
        </w:rPr>
      </w:pPr>
      <w:r>
        <w:rPr>
          <w:rFonts w:hint="eastAsia" w:ascii="仿宋" w:hAnsi="仿宋" w:eastAsia="仿宋" w:cs="仿宋"/>
          <w:b/>
          <w:bCs/>
          <w:color w:val="auto"/>
          <w:sz w:val="48"/>
          <w:szCs w:val="48"/>
          <w:highlight w:val="none"/>
        </w:rPr>
        <w:t>合同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甲方：惠州市第一妇幼保健院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                采购项目（项目编号:            ）的成交结果，按照《中华人民共和国政府采购法》、《中华人民共和国民法典》的规定，经双方协商，本着平等互利和诚实信用的原则，一致同意签订本合同如下。</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第一条工程名称及概况：</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1.工程名称：惠州市第一妇幼保健院检验科冷库建设项目</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2.工程地址：甲方指定地址</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第二条合同及工程范围</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完成院方检验科冷库建设项目的安装，保证冷库的稳定安全运行。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第三条合同价款（人民币）</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1、合同含税总价人民币：6.5万元（陆万伍仟元整）</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2、其他：   无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3、乙方须开具 13% 税率的增值税专用发票给甲方。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第四条付款方式：</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合同签订生效后1个月内，</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向</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支付合同总额的30%预付款（第一笔）；</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项目验收合格当天计算1个月内，</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向</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 xml:space="preserve">支付合同总额的70（第二笔）%； </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通过银行转账的方式支付给</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，且</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应向</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出具合法有效完整的完税发票及凭证进行支付结算。</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第五条甲方驻现场安装代表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甲方委派驻项目安装现场总代表及其委托的现场管理协调人员，必须是甲方书面指定的人员。若甲方代表换人，必须提前通知乙方，后任也必须全面继承前任应担负的责任，不得以换人为由推脱责任。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第六条甲方工作</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协调处理安装现场有关事宜，避免乙方产生待工或误工。协助安排安装场所及施工时段、协调处理有关突发事件，让工程进度顺利进行；同时甲方对工程质量享有最高的监督权和纠正权，确保安全施工、文明施工，直至总项目验收。</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第七条乙方驻</w:t>
      </w:r>
      <w:r>
        <w:rPr>
          <w:rFonts w:hint="eastAsia" w:ascii="仿宋" w:hAnsi="仿宋" w:eastAsia="仿宋" w:cs="仿宋"/>
          <w:color w:val="auto"/>
          <w:kern w:val="0"/>
          <w:szCs w:val="21"/>
          <w:highlight w:val="none"/>
        </w:rPr>
        <w:t>项目</w:t>
      </w:r>
      <w:r>
        <w:rPr>
          <w:rFonts w:hint="eastAsia" w:ascii="仿宋" w:hAnsi="仿宋" w:eastAsia="仿宋" w:cs="仿宋"/>
          <w:color w:val="auto"/>
          <w:kern w:val="0"/>
          <w:sz w:val="24"/>
          <w:highlight w:val="none"/>
        </w:rPr>
        <w:t>代表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1、乙方委派驻项目的总负责人或总代表，应书面通知甲方，若乙方代表换人，须提前1天通知甲方，其后任必须全面继承承担前任应负的责任，不得以换人为由推脱责任。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2、乙方代表按合同约定履行职责。</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3、乙方代表统一结算领取该项目货物款，并向所有施工人员结算发放工资及劳务费。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第八条乙方工作</w:t>
      </w:r>
    </w:p>
    <w:p>
      <w:pPr>
        <w:autoSpaceDE w:val="0"/>
        <w:autoSpaceDN w:val="0"/>
        <w:adjustRightInd w:val="0"/>
        <w:snapToGrid w:val="0"/>
        <w:spacing w:line="360" w:lineRule="auto"/>
        <w:ind w:right="32"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乙方须提供符合甲方要求的设备及材料，具体内容如下：</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1、对施工现场进行全面勘察，确定项目设备的设计及安装方案；出具相应的技术图纸；</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2、根据双方确定的方案、安装方案，按业主方和甲方现场人员要求进行安装进行安装。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3、工程所涉及设备和工具，由乙方负责提供并自行保管；</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4、乙方遵循甲方指令，并遵循业主方的安装要求。</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5、乙方应对安装步骤进行合理规划，并提前报甲方和业主方审核备案，以尽量不影响业主方生产为原则。施工过程中，严禁私自拉线、接电，否则，由此给业主方带来的损失将全部由乙方承担。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第九条工期保证</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1、乙方须于合同签订后三天内将具体项目安装计划、工期安排、人员安排报甲方备案；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2、甲乙双方商议定的工期，乙方必须按甲方要求时间完成，如果造成工程验收延时，每延迟一天，甲方按照总工程款1‰的金额扣除乙方货物款项（不可抗力除外）。</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第十条货物质量</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对其提供的材料设备质量负责。乙方提供的材料设备须有合格证、出厂检测资料、样本、说明书等。所有资料须及时分类建档，保证做到完整齐全。本项目使用到的乙方提供的所有设备、材料货到项目现场后，均需通过甲方的审查通过，方可投入使用，否则甲方有权不予以接受，并保留要求乙方拆除并更换的权利。甲方的审查通过并不解除乙方对设备、材料质量、规格应承担的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提供的全部材料设备的包装须有良好的防潮、防震、防锈、防爆炸和利于装卸等保护措施，以确保材料设备安全无损运抵指定交货地点。一旦发现包装有损坏，甲方有权拒绝接收，由此产生的所有损失和费用将由乙方承担。重新交付导致材料设备的包装物由乙方提供。</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3、乙方采购的材料设备与设计标准要求、合同要求或甲方要求不符时，乙方应按甲方项目负责人或工程师要求的时间运出现场场地，重新采购符合要求的产品，承担由此发生的费用。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4、乙方采购的材料设备在使用前，乙方应按甲方项目负责人或工程师的要求进行检验或试验，不合格的不得使用，检验或试验费用由乙方承担。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5、乙方需要使用代用材料时，应经甲方项目负责人认可后才能使用。由此增减的合同价款经甲方书面确认同意后方为有效。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6、乙方对系统的货物均需符合国家标准，如因乙方设计或安装不符合验收标准，直接导致验收延期的，乙方应立即组织人员返工，甲方按照工期保证条款中的金额扣除乙方工程款项。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项目安装完工后，乙方应将所有工地废料杂物及临时设备及时清理完毕，并将所有剩余材料及设备运离工地，且试车合格后，应向甲方提报完整的竣工资料(包含图纸及其他相关资料)及验收报告，经甲方查核无未完成的工作项目后，方得申报验收。</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8、本项目进度在符合完工或阶段性验收标准时，乙方应书面报请最终验收，由甲方进行初验。验收时，乙方应派员会同办理。如乙方未到场，甲方亦可进行验收，乙方事后对验收结果不得表示异议。</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9、初验结果发现本项目有缺点或乙方工作有不符合本合同规定之处，乙方应在甲方的规定期限内无偿修改完毕。</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10、项目最终验收以符合本合同、本次招标技术要求为前提，以甲方的验收为最终验收，且需甲方项目经理签字方为有效。最终验收完成之日为项目最终验收合格之日。</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11、乙方应在工程最终验收后7日内提供1套完整的纸质图纸、1套完整的电子版图纸和其它竣工资料给甲方。工程最终验收合格后，乙方应立即按甲方要求将各种资料交付给甲方，甲乙双方办理交接手续。</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安装货物质保期为工程竣工后1年，在质保期内如果发现安装质量问题，乙方接到甲方通知后，应当8小时以内组织施工人员到现场维修或返工。乙方在保修过程中如更换设备、配件、材料的，应经甲方确认，且其质量标准不低于施工时所使用的相应设备、配件和材料。</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第十一条安全施工</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1、安装现场安全工作达标率100%，优良率95%以上。财产及人员损伤、损失为零。</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2、施工纪律</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（1）乙方每天进场施工时间严格按照甲方与业主方协调沟通时间，安装施工不得影响业主方正常工作和生产活动。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（2）乙方应对其在施工场地的工作人员进行安全教育、安全技术交底，对他们的安全负责，乙方应保存相关书面记录供甲方审查，特殊作业人员必须持证上岗</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进入施工现场，必须严格遵守业主方场所内的所有规定，乙方应随时接受行业安全检查人员依法实施的监督检查，采取必要的安全防护措施，消除事故隐患。因乙方安全管理不善、安全措施不力或安全防护不规范等而造成安全事故的，由乙方承担全部责任，包括但不限于甲方、任何第三方的一切损失及行政处罚。（4）安装时必须严格执行交底中的安全技术措施（标示牌、警示牌、安全绳等等），未经交底严禁作业；</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（5）乙方从事特种作业人员必须持有特种作业操作证（如电工证等），并且证件需报甲方备案，未备案人员禁止进行特种作业施工，否则造成的人身财产损失由乙方承担；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（6）现场人员必须服从双方及业主方现场管理人员的指挥和管理；</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（7）安装过程禁止任何违规操作，若造成任何一方人身安全及财产损失的，一切由乙方承担损失；</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（8）任何特种作业乙方需有必要的安全措施，否则造成的人身财产损失由乙方承担；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乙方在施工现场危险范围需有明显的安全警示标识；如因乙方的疏忽、设备故障、材料瑕疵或施工不良，损害他人人身或财产，致使甲方负担赔偿责任、受到损害或支出费用时，乙方需负责赔偿甲方之损害。</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（10）所有拆卸、安装均需按要求操作，小心轻放，确保拆卸设备的完好，并且按要求对拆卸设备进行包装堆放，按安装区域整理标清，并移交运送甲方和业主方作入库确认。</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（11）安装现场业主方财产安全，施工期间，禁止擅自挪动、动用、偷窃业甲方和主方的任何办公设备、物料、产品、文件资料等设备财产。</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（12）乙方需保证安装现场环境的清洁，做好施工卫生保护措施。施工完后，按要求对现场进行清理，现场不得留有任何废弃物。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第十二条工程分包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本工程乙方不得分包或转包给其他方，否则乙方将承担单方违约的责任，一切后果责任由乙方承担。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第十三条不可抗力</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1、不可抗力原因和因素的认定标准：</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（1）六级以上地震；</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（2）六级以上的持续24小时大风；</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（3）30mm以上持续24小时的大雨、暴雨；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（4）15年以上未发生过、持续二天的高温天气；</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（5）自然原因发生的火灾；</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（6）其它不可抗力原因（包括因战争、动乱、空中飞行物体坠落或非甲、乙双方责任造成的爆炸等）。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（7）因雷雨或大风天气因素不可施工，故须延长施工时间或延长停气时间，乙方需尽力配合，乙方不承担任何责任。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上述不可抗拒因素出现，乙方应立即采取措施并向甲方通报受灾情况，在上述因素引起的损害终止后两日内向甲方报告损失情况和清理、修复的费用。若灾害间歇形式继续发生，乙方应每隔一天向甲方报告一次灾害情况，直到灾害结束。</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因13.1所列灾害发生的费用由双方分别承担：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人员伤亡由乙方负责并承担相应费用；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造成安装现场乙方临时设施损坏和修复费用，由乙方承担；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乙方设备、机械、车辆等现场施工用具及人员停工、窝工、机械、设备停置损失，由乙方承担；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 造成已安装货物损坏的，由乙方负责返修，返修费用由甲方承担。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 清理、修理工作的责任与费用的承担，双方商议后另签补充协议。</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第十四条  保险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1、乙方必须对安装工程、进场设备与材料及与其施工工程有关者办理以下保险并支付相应费用：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（1）、为安装人员办理意外伤害险及惠州市政府要求的社会保险；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（2）、为机械设备、机动车辆办理保险；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（3）、第三者责任险。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所有人员和设备财产保险，在施工进场前出具保险单据，在甲方备案。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第十五条  工程暂停或缓建</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因甲方内部政策调整、不可抗力及甲、乙双方之外原因导致工程停止、使合同不能继续履行，甲方需提前以书面方式通知乙方，双方签订工程停、缓建协议备查。</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2、工作停、缓建后，乙方应妥善做好已完项目和已购材料、设备保护及保管工作，并按甲方要求将自有机械、设备、人员撤出施工现场。甲方应为乙方撤离提供相关条件，并按合约定内容支付已完工程价款。</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第十六条 违约责任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1、甲方违约责任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甲方无故不按合同约定履行付款义务，逾期超过一个月的，甲方须承担违约责任，每逾期一天按照应付金额的千分之一支付乙方违约金，并且乙方不承担因此而造成的工期延误责任。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2、乙方违约责任：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不履行合同义务或不按合同约定履行义务的其他情况，应按照合同承担违约责任，并赔偿因其违约造成的损失。乙方向甲方保证其提供的设备是全新的、已经正确安装的、能够正常运行并达到其说明书所述的使用目的，且不会给甲方项目人员的人身和财产安全造成损害。</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第十七条  合同的生效与终止</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1、本合同自甲、乙双方法人代表或其委托代理人签字并加盖单位公章之日起生效。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2、本合同可经由甲乙双方协商一致后书面解除。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3、本合同的解除不影响任意一方根据本合同或者相关的法律法规向对方寻求赔偿的权利。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第十八条   其它</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本协议在履行过程中如出现纠纷，由甲乙双方协商解决，协商不成由甲方所在地人民法院裁决。</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2、本合同如有未尽事宜，由甲乙双方共同协商，做出补充规定，补充规定与本合同具有同等法律效力。</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3、本合同所列明的联系方式是经各自确认过的有效联系方式，如有变更，应在变更后当日书面通知对方。联系方式适用于与本合同有关的一切送达。</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3、本合同一式贰份，双方各执壹份，各份具有同等法律效力。本合同自甲乙双方法定代表人或授权代理人签字盖章之日起生效。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4、本合同以下附件是合同的组成部分。</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p>
    <w:p>
      <w:pPr>
        <w:pStyle w:val="14"/>
        <w:rPr>
          <w:rFonts w:ascii="仿宋" w:hAnsi="仿宋" w:eastAsia="仿宋" w:cs="仿宋"/>
          <w:bCs/>
          <w:color w:val="auto"/>
          <w:sz w:val="24"/>
          <w:highlight w:val="none"/>
        </w:rPr>
      </w:pPr>
    </w:p>
    <w:p>
      <w:pPr>
        <w:snapToGrid w:val="0"/>
        <w:spacing w:line="360" w:lineRule="auto"/>
        <w:ind w:left="5880" w:hanging="5880" w:hangingChars="245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甲方（签章）：</w:t>
      </w:r>
      <w:r>
        <w:rPr>
          <w:rFonts w:hint="eastAsia" w:ascii="仿宋" w:hAnsi="仿宋" w:eastAsia="仿宋" w:cs="Arial Unicode MS"/>
          <w:color w:val="auto"/>
          <w:sz w:val="24"/>
          <w:highlight w:val="none"/>
        </w:rPr>
        <w:t xml:space="preserve">                         乙方（签章）：</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                            法定代表人或授权代表：</w:t>
      </w:r>
    </w:p>
    <w:p>
      <w:pPr>
        <w:snapToGrid w:val="0"/>
        <w:spacing w:line="360" w:lineRule="auto"/>
        <w:rPr>
          <w:rFonts w:ascii="仿宋" w:hAnsi="仿宋" w:eastAsia="仿宋" w:cs="仿宋"/>
          <w:color w:val="auto"/>
          <w:sz w:val="24"/>
          <w:highlight w:val="none"/>
        </w:rPr>
      </w:pPr>
    </w:p>
    <w:p>
      <w:pPr>
        <w:snapToGrid w:val="0"/>
        <w:spacing w:line="360" w:lineRule="auto"/>
        <w:ind w:left="5760" w:hanging="5760" w:hangingChars="2400"/>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惠城区演达四路5号 </w:t>
      </w: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rPr>
        <w:t xml:space="preserve">           </w:t>
      </w:r>
    </w:p>
    <w:p>
      <w:pPr>
        <w:snapToGrid w:val="0"/>
        <w:spacing w:line="360" w:lineRule="auto"/>
        <w:ind w:left="5760" w:hanging="5760" w:hangingChars="2400"/>
        <w:rPr>
          <w:rFonts w:ascii="仿宋" w:hAnsi="仿宋" w:eastAsia="仿宋" w:cs="仿宋"/>
          <w:color w:val="auto"/>
          <w:sz w:val="24"/>
          <w:highlight w:val="none"/>
          <w:u w:val="singl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电话：</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签约日期：   年     月     日         签约日期：    年    月   日</w:t>
      </w:r>
    </w:p>
    <w:p>
      <w:pPr>
        <w:snapToGrid w:val="0"/>
        <w:spacing w:line="360" w:lineRule="auto"/>
        <w:rPr>
          <w:rFonts w:ascii="仿宋" w:hAnsi="仿宋" w:eastAsia="仿宋" w:cs="仿宋"/>
          <w:color w:val="auto"/>
          <w:sz w:val="36"/>
          <w:highlight w:val="none"/>
          <w:u w:val="single"/>
        </w:rPr>
        <w:sectPr>
          <w:footerReference r:id="rId6" w:type="default"/>
          <w:pgSz w:w="11906" w:h="16838"/>
          <w:pgMar w:top="1440" w:right="1800" w:bottom="1440" w:left="1800" w:header="851" w:footer="992" w:gutter="0"/>
          <w:cols w:space="720" w:num="1"/>
          <w:docGrid w:type="lines" w:linePitch="312" w:charSpace="0"/>
        </w:sectPr>
      </w:pPr>
    </w:p>
    <w:p>
      <w:pPr>
        <w:pStyle w:val="7"/>
        <w:adjustRightInd w:val="0"/>
        <w:snapToGrid w:val="0"/>
        <w:spacing w:line="440" w:lineRule="exact"/>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7"/>
        <w:adjustRightInd w:val="0"/>
        <w:snapToGrid w:val="0"/>
        <w:spacing w:line="440" w:lineRule="exact"/>
        <w:jc w:val="center"/>
        <w:rPr>
          <w:rFonts w:ascii="仿宋" w:hAnsi="仿宋" w:eastAsia="仿宋" w:cs="仿宋"/>
          <w:b/>
          <w:color w:val="auto"/>
          <w:kern w:val="0"/>
          <w:sz w:val="28"/>
          <w:szCs w:val="28"/>
          <w:highlight w:val="none"/>
        </w:rPr>
      </w:pPr>
    </w:p>
    <w:p>
      <w:pPr>
        <w:spacing w:line="360" w:lineRule="auto"/>
        <w:ind w:left="-930"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一式两份。</w:t>
      </w:r>
    </w:p>
    <w:p>
      <w:pPr>
        <w:spacing w:line="360" w:lineRule="auto"/>
        <w:ind w:left="-930"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7"/>
        <w:adjustRightInd w:val="0"/>
        <w:snapToGrid w:val="0"/>
        <w:spacing w:line="360" w:lineRule="auto"/>
        <w:jc w:val="center"/>
        <w:rPr>
          <w:rFonts w:ascii="仿宋" w:hAnsi="仿宋" w:eastAsia="仿宋" w:cs="仿宋"/>
          <w:b/>
          <w:color w:val="auto"/>
          <w:kern w:val="0"/>
          <w:sz w:val="72"/>
          <w:szCs w:val="72"/>
          <w:highlight w:val="none"/>
        </w:rPr>
      </w:pPr>
    </w:p>
    <w:p>
      <w:pPr>
        <w:pStyle w:val="7"/>
        <w:adjustRightInd w:val="0"/>
        <w:snapToGrid w:val="0"/>
        <w:spacing w:line="360" w:lineRule="auto"/>
        <w:rPr>
          <w:rFonts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7"/>
        <w:adjustRightInd w:val="0"/>
        <w:snapToGrid w:val="0"/>
        <w:spacing w:line="360" w:lineRule="auto"/>
        <w:jc w:val="center"/>
        <w:rPr>
          <w:rFonts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7"/>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7"/>
        <w:adjustRightInd w:val="0"/>
        <w:snapToGrid w:val="0"/>
        <w:spacing w:line="360" w:lineRule="auto"/>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（惠州市第一妇幼保健院院内比选）</w:t>
      </w:r>
    </w:p>
    <w:p>
      <w:pPr>
        <w:pStyle w:val="7"/>
        <w:spacing w:line="360" w:lineRule="auto"/>
        <w:rPr>
          <w:rFonts w:ascii="仿宋" w:hAnsi="仿宋" w:eastAsia="仿宋" w:cs="仿宋"/>
          <w:b/>
          <w:color w:val="auto"/>
          <w:sz w:val="28"/>
          <w:szCs w:val="28"/>
          <w:highlight w:val="none"/>
        </w:rPr>
      </w:pPr>
    </w:p>
    <w:p>
      <w:pPr>
        <w:pStyle w:val="7"/>
        <w:spacing w:line="360" w:lineRule="auto"/>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7"/>
        <w:adjustRightInd w:val="0"/>
        <w:snapToGrid w:val="0"/>
        <w:spacing w:line="44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7"/>
        <w:adjustRightInd w:val="0"/>
        <w:snapToGrid w:val="0"/>
        <w:spacing w:line="44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7"/>
        <w:adjustRightInd w:val="0"/>
        <w:snapToGrid w:val="0"/>
        <w:spacing w:line="440" w:lineRule="exact"/>
        <w:rPr>
          <w:color w:val="auto"/>
          <w:highlight w:val="none"/>
        </w:rPr>
      </w:pPr>
      <w:bookmarkStart w:id="10" w:name="_Toc202252033"/>
      <w:bookmarkStart w:id="11" w:name="_Toc202251699"/>
      <w:bookmarkStart w:id="12" w:name="_Toc202816995"/>
      <w:bookmarkStart w:id="13" w:name="_Toc202254104"/>
      <w:bookmarkStart w:id="14" w:name="_Toc202820350"/>
      <w:bookmarkStart w:id="15" w:name="_Toc202251074"/>
      <w:bookmarkStart w:id="16" w:name="_Toc202819877"/>
      <w:r>
        <w:rPr>
          <w:color w:val="auto"/>
          <w:highlight w:val="none"/>
        </w:rPr>
        <w:br w:type="page"/>
      </w:r>
      <w:r>
        <w:rPr>
          <w:rFonts w:hint="eastAsia" w:ascii="仿宋" w:hAnsi="仿宋" w:eastAsia="仿宋" w:cs="仿宋"/>
          <w:b/>
          <w:bCs/>
          <w:color w:val="auto"/>
          <w:sz w:val="28"/>
          <w:highlight w:val="none"/>
        </w:rPr>
        <w:t xml:space="preserve">1 </w:t>
      </w:r>
      <w:bookmarkEnd w:id="10"/>
      <w:bookmarkEnd w:id="11"/>
      <w:bookmarkEnd w:id="12"/>
      <w:bookmarkEnd w:id="13"/>
      <w:bookmarkEnd w:id="14"/>
      <w:bookmarkEnd w:id="15"/>
      <w:bookmarkEnd w:id="16"/>
      <w:r>
        <w:rPr>
          <w:rFonts w:hint="eastAsia" w:ascii="仿宋" w:hAnsi="仿宋" w:eastAsia="仿宋" w:cs="仿宋"/>
          <w:b/>
          <w:bCs/>
          <w:color w:val="auto"/>
          <w:sz w:val="28"/>
          <w:highlight w:val="none"/>
        </w:rPr>
        <w:t>资格性/符合性自查表</w:t>
      </w:r>
    </w:p>
    <w:tbl>
      <w:tblPr>
        <w:tblStyle w:val="11"/>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7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tcPr>
          <w:p>
            <w:pPr>
              <w:jc w:val="center"/>
              <w:rPr>
                <w:color w:val="auto"/>
                <w:highlight w:val="none"/>
              </w:rPr>
            </w:pPr>
            <w:r>
              <w:rPr>
                <w:rFonts w:hint="eastAsia" w:ascii="仿宋" w:hAnsi="仿宋" w:eastAsia="仿宋" w:cs="仿宋"/>
                <w:b/>
                <w:bCs/>
                <w:color w:val="auto"/>
                <w:szCs w:val="21"/>
                <w:highlight w:val="none"/>
              </w:rPr>
              <w:t>评审内容</w:t>
            </w:r>
          </w:p>
        </w:tc>
        <w:tc>
          <w:tcPr>
            <w:tcW w:w="3787" w:type="dxa"/>
            <w:vAlign w:val="center"/>
          </w:tcPr>
          <w:p>
            <w:pPr>
              <w:ind w:left="-171"/>
              <w:jc w:val="center"/>
              <w:rPr>
                <w:color w:val="auto"/>
                <w:highlight w:val="none"/>
              </w:rPr>
            </w:pPr>
            <w:r>
              <w:rPr>
                <w:rFonts w:hint="eastAsia" w:ascii="仿宋" w:hAnsi="仿宋" w:eastAsia="仿宋" w:cs="仿宋"/>
                <w:b/>
                <w:bCs/>
                <w:color w:val="auto"/>
                <w:szCs w:val="21"/>
                <w:highlight w:val="none"/>
              </w:rPr>
              <w:t>采购文件要求</w:t>
            </w:r>
          </w:p>
        </w:tc>
        <w:tc>
          <w:tcPr>
            <w:tcW w:w="1777" w:type="dxa"/>
            <w:vAlign w:val="center"/>
          </w:tcPr>
          <w:p>
            <w:pPr>
              <w:ind w:left="-171"/>
              <w:jc w:val="center"/>
              <w:rPr>
                <w:color w:val="auto"/>
                <w:highlight w:val="none"/>
              </w:rPr>
            </w:pPr>
            <w:r>
              <w:rPr>
                <w:rFonts w:hint="eastAsia" w:ascii="仿宋" w:hAnsi="仿宋" w:eastAsia="仿宋" w:cs="仿宋"/>
                <w:b/>
                <w:bCs/>
                <w:color w:val="auto"/>
                <w:szCs w:val="21"/>
                <w:highlight w:val="none"/>
              </w:rPr>
              <w:t>自查结论</w:t>
            </w:r>
          </w:p>
        </w:tc>
        <w:tc>
          <w:tcPr>
            <w:tcW w:w="1276" w:type="dxa"/>
            <w:vAlign w:val="center"/>
          </w:tcPr>
          <w:p>
            <w:pPr>
              <w:ind w:left="-171"/>
              <w:jc w:val="center"/>
              <w:rPr>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ind w:left="40" w:leftChars="19"/>
              <w:jc w:val="center"/>
              <w:rPr>
                <w:color w:val="auto"/>
                <w:highlight w:val="none"/>
              </w:rPr>
            </w:pPr>
            <w:r>
              <w:rPr>
                <w:rFonts w:hint="eastAsia" w:ascii="仿宋" w:hAnsi="仿宋" w:eastAsia="仿宋" w:cs="仿宋"/>
                <w:color w:val="auto"/>
                <w:szCs w:val="21"/>
                <w:highlight w:val="none"/>
              </w:rPr>
              <w:t>资格性审查</w:t>
            </w:r>
          </w:p>
        </w:tc>
        <w:tc>
          <w:tcPr>
            <w:tcW w:w="1529" w:type="dxa"/>
            <w:vAlign w:val="center"/>
          </w:tcPr>
          <w:p>
            <w:pPr>
              <w:ind w:left="40" w:leftChars="19"/>
              <w:jc w:val="center"/>
              <w:rPr>
                <w:color w:val="auto"/>
                <w:highlight w:val="none"/>
              </w:rPr>
            </w:pPr>
            <w:r>
              <w:rPr>
                <w:rFonts w:hint="eastAsia" w:ascii="仿宋" w:hAnsi="仿宋" w:eastAsia="仿宋" w:cs="仿宋"/>
                <w:color w:val="auto"/>
                <w:szCs w:val="21"/>
                <w:highlight w:val="none"/>
              </w:rPr>
              <w:t>响应函</w:t>
            </w:r>
          </w:p>
        </w:tc>
        <w:tc>
          <w:tcPr>
            <w:tcW w:w="3787" w:type="dxa"/>
            <w:vAlign w:val="center"/>
          </w:tcPr>
          <w:p>
            <w:pPr>
              <w:ind w:left="40" w:leftChars="19"/>
              <w:jc w:val="left"/>
              <w:rPr>
                <w:color w:val="auto"/>
                <w:highlight w:val="none"/>
              </w:rPr>
            </w:pPr>
            <w:r>
              <w:rPr>
                <w:rFonts w:hint="eastAsia" w:ascii="仿宋" w:hAnsi="仿宋" w:eastAsia="仿宋" w:cs="仿宋"/>
                <w:color w:val="auto"/>
                <w:szCs w:val="21"/>
                <w:highlight w:val="none"/>
              </w:rPr>
              <w:t>按对应格式文件填写、签署、盖章</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color w:val="auto"/>
                <w:highlight w:val="none"/>
              </w:rPr>
            </w:pPr>
          </w:p>
        </w:tc>
        <w:tc>
          <w:tcPr>
            <w:tcW w:w="1529" w:type="dxa"/>
            <w:vAlign w:val="center"/>
          </w:tcPr>
          <w:p>
            <w:pPr>
              <w:ind w:left="40" w:leftChars="19"/>
              <w:jc w:val="center"/>
              <w:rPr>
                <w:color w:val="auto"/>
                <w:highlight w:val="none"/>
              </w:rPr>
            </w:pPr>
            <w:r>
              <w:rPr>
                <w:rFonts w:hint="eastAsia" w:ascii="仿宋" w:hAnsi="仿宋" w:eastAsia="仿宋" w:cs="仿宋"/>
                <w:color w:val="auto"/>
                <w:szCs w:val="21"/>
                <w:highlight w:val="none"/>
              </w:rPr>
              <w:t>法定代表人/负责人资格证明书及授权委托书</w:t>
            </w:r>
          </w:p>
        </w:tc>
        <w:tc>
          <w:tcPr>
            <w:tcW w:w="3787" w:type="dxa"/>
            <w:vAlign w:val="center"/>
          </w:tcPr>
          <w:p>
            <w:pPr>
              <w:ind w:left="40" w:leftChars="19"/>
              <w:jc w:val="left"/>
              <w:rPr>
                <w:color w:val="auto"/>
                <w:highlight w:val="none"/>
              </w:rPr>
            </w:pPr>
            <w:r>
              <w:rPr>
                <w:rFonts w:hint="eastAsia" w:ascii="仿宋" w:hAnsi="仿宋" w:eastAsia="仿宋" w:cs="仿宋"/>
                <w:color w:val="auto"/>
                <w:szCs w:val="21"/>
                <w:highlight w:val="none"/>
              </w:rPr>
              <w:t>按对应格式文件签署、盖章</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trPr>
        <w:tc>
          <w:tcPr>
            <w:tcW w:w="846" w:type="dxa"/>
            <w:vMerge w:val="continue"/>
            <w:vAlign w:val="center"/>
          </w:tcPr>
          <w:p>
            <w:pPr>
              <w:jc w:val="center"/>
              <w:rPr>
                <w:color w:val="auto"/>
                <w:highlight w:val="none"/>
              </w:rPr>
            </w:pPr>
          </w:p>
        </w:tc>
        <w:tc>
          <w:tcPr>
            <w:tcW w:w="1529" w:type="dxa"/>
            <w:vAlign w:val="center"/>
          </w:tcPr>
          <w:p>
            <w:pPr>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color w:val="auto"/>
                <w:highlight w:val="none"/>
              </w:rPr>
            </w:pPr>
            <w:r>
              <w:rPr>
                <w:rFonts w:hint="eastAsia" w:ascii="仿宋" w:hAnsi="仿宋" w:eastAsia="仿宋" w:cs="仿宋"/>
                <w:color w:val="auto"/>
                <w:szCs w:val="21"/>
                <w:highlight w:val="none"/>
              </w:rPr>
              <w:t>(关于资格的声明函)</w:t>
            </w:r>
          </w:p>
        </w:tc>
        <w:tc>
          <w:tcPr>
            <w:tcW w:w="3787" w:type="dxa"/>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3）比选截止时间前一年内任意一个月的依法缴纳税收证明材料（如依法免税，则须提供相应文件证明其依法免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6.本项目专门面向中小企业采购，本项目所属行业为：</w:t>
            </w:r>
            <w:r>
              <w:rPr>
                <w:rFonts w:hint="eastAsia" w:ascii="仿宋" w:hAnsi="仿宋" w:eastAsia="仿宋" w:cs="仿宋"/>
                <w:b/>
                <w:bCs/>
                <w:color w:val="auto"/>
                <w:sz w:val="24"/>
                <w:highlight w:val="none"/>
              </w:rPr>
              <w:t>工业</w:t>
            </w:r>
          </w:p>
          <w:p>
            <w:pPr>
              <w:spacing w:line="380" w:lineRule="exact"/>
              <w:ind w:left="40" w:leftChars="19"/>
              <w:jc w:val="left"/>
              <w:rPr>
                <w:color w:val="auto"/>
                <w:highlight w:val="none"/>
              </w:rPr>
            </w:pPr>
            <w:r>
              <w:rPr>
                <w:rFonts w:hint="eastAsia" w:ascii="仿宋" w:hAnsi="仿宋" w:eastAsia="仿宋" w:cs="仿宋"/>
                <w:color w:val="auto"/>
                <w:szCs w:val="21"/>
                <w:highlight w:val="none"/>
              </w:rPr>
              <w:t>7.已在招采办报名。</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color w:val="auto"/>
                <w:highlight w:val="none"/>
              </w:rPr>
            </w:pPr>
          </w:p>
        </w:tc>
        <w:tc>
          <w:tcPr>
            <w:tcW w:w="1529" w:type="dxa"/>
            <w:vAlign w:val="center"/>
          </w:tcPr>
          <w:p>
            <w:pPr>
              <w:ind w:left="-171"/>
              <w:jc w:val="center"/>
              <w:rPr>
                <w:color w:val="auto"/>
                <w:highlight w:val="none"/>
              </w:rPr>
            </w:pPr>
            <w:r>
              <w:rPr>
                <w:rFonts w:hint="eastAsia" w:ascii="仿宋" w:hAnsi="仿宋" w:eastAsia="仿宋" w:cs="仿宋"/>
                <w:color w:val="auto"/>
                <w:szCs w:val="21"/>
                <w:highlight w:val="none"/>
              </w:rPr>
              <w:t>其他要求</w:t>
            </w:r>
          </w:p>
        </w:tc>
        <w:tc>
          <w:tcPr>
            <w:tcW w:w="3787" w:type="dxa"/>
          </w:tcPr>
          <w:p>
            <w:pPr>
              <w:spacing w:line="380" w:lineRule="exact"/>
              <w:ind w:left="40" w:leftChars="19"/>
              <w:jc w:val="left"/>
              <w:rPr>
                <w:color w:val="auto"/>
                <w:highlight w:val="none"/>
              </w:rPr>
            </w:pPr>
            <w:r>
              <w:rPr>
                <w:rFonts w:hint="eastAsia" w:ascii="仿宋" w:hAnsi="仿宋" w:eastAsia="仿宋" w:cs="仿宋"/>
                <w:color w:val="auto"/>
                <w:szCs w:val="21"/>
                <w:highlight w:val="none"/>
              </w:rPr>
              <w:t>按响应资料清单中规定提供“必须提交”的文件资料。</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vAlign w:val="center"/>
          </w:tcPr>
          <w:p>
            <w:pPr>
              <w:spacing w:line="380" w:lineRule="exact"/>
              <w:ind w:left="40" w:leftChars="19"/>
              <w:jc w:val="center"/>
              <w:rPr>
                <w:color w:val="auto"/>
                <w:highlight w:val="none"/>
              </w:rPr>
            </w:pPr>
            <w:r>
              <w:rPr>
                <w:rFonts w:hint="eastAsia" w:ascii="仿宋" w:hAnsi="仿宋" w:eastAsia="仿宋" w:cs="仿宋"/>
                <w:color w:val="auto"/>
                <w:szCs w:val="21"/>
                <w:highlight w:val="none"/>
              </w:rPr>
              <w:t>符合性审查</w:t>
            </w:r>
          </w:p>
        </w:tc>
        <w:tc>
          <w:tcPr>
            <w:tcW w:w="1529" w:type="dxa"/>
            <w:vAlign w:val="center"/>
          </w:tcPr>
          <w:p>
            <w:pPr>
              <w:ind w:left="-171"/>
              <w:jc w:val="center"/>
              <w:rPr>
                <w:color w:val="auto"/>
                <w:highlight w:val="none"/>
              </w:rPr>
            </w:pPr>
            <w:r>
              <w:rPr>
                <w:rFonts w:hint="eastAsia" w:ascii="仿宋" w:hAnsi="仿宋" w:eastAsia="仿宋" w:cs="仿宋"/>
                <w:color w:val="auto"/>
                <w:szCs w:val="21"/>
                <w:highlight w:val="none"/>
              </w:rPr>
              <w:t>商务要求评审</w:t>
            </w:r>
          </w:p>
        </w:tc>
        <w:tc>
          <w:tcPr>
            <w:tcW w:w="3787" w:type="dxa"/>
            <w:vAlign w:val="center"/>
          </w:tcPr>
          <w:p>
            <w:pPr>
              <w:tabs>
                <w:tab w:val="left" w:pos="2880"/>
              </w:tabs>
              <w:jc w:val="left"/>
              <w:rPr>
                <w:color w:val="auto"/>
                <w:highlight w:val="none"/>
              </w:rPr>
            </w:pPr>
            <w:r>
              <w:rPr>
                <w:rFonts w:hint="eastAsia" w:ascii="仿宋" w:hAnsi="仿宋" w:eastAsia="仿宋" w:cs="仿宋"/>
                <w:color w:val="auto"/>
                <w:szCs w:val="21"/>
                <w:highlight w:val="none"/>
              </w:rPr>
              <w:t>实质性（“★”项）商务条款是否全部完全响应</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tcPr>
          <w:p>
            <w:pPr>
              <w:rPr>
                <w:color w:val="auto"/>
                <w:highlight w:val="none"/>
              </w:rPr>
            </w:pPr>
          </w:p>
        </w:tc>
        <w:tc>
          <w:tcPr>
            <w:tcW w:w="1529" w:type="dxa"/>
            <w:vAlign w:val="center"/>
          </w:tcPr>
          <w:p>
            <w:pPr>
              <w:ind w:left="-171"/>
              <w:jc w:val="center"/>
              <w:rPr>
                <w:color w:val="auto"/>
                <w:highlight w:val="none"/>
              </w:rPr>
            </w:pPr>
            <w:r>
              <w:rPr>
                <w:rFonts w:hint="eastAsia" w:ascii="仿宋" w:hAnsi="仿宋" w:eastAsia="仿宋" w:cs="仿宋"/>
                <w:color w:val="auto"/>
                <w:szCs w:val="21"/>
                <w:highlight w:val="none"/>
              </w:rPr>
              <w:t>技术要求评审</w:t>
            </w:r>
          </w:p>
        </w:tc>
        <w:tc>
          <w:tcPr>
            <w:tcW w:w="3787"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实质性（“★”项）技术要求条款是否全部完全响应</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tcPr>
          <w:p>
            <w:pPr>
              <w:rPr>
                <w:color w:val="auto"/>
                <w:highlight w:val="none"/>
              </w:rPr>
            </w:pPr>
          </w:p>
        </w:tc>
        <w:tc>
          <w:tcPr>
            <w:tcW w:w="1529" w:type="dxa"/>
            <w:vAlign w:val="center"/>
          </w:tcPr>
          <w:p>
            <w:pPr>
              <w:ind w:left="-171"/>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报价方案是唯一确定、报价合理。如有分项报价要求，各分项报价不得高于各分项最高预算单价，合计总报价是固定唯一价且无超出采购预算或最高限价</w:t>
            </w:r>
          </w:p>
        </w:tc>
        <w:tc>
          <w:tcPr>
            <w:tcW w:w="1777" w:type="dxa"/>
            <w:vAlign w:val="center"/>
          </w:tcPr>
          <w:p>
            <w:pPr>
              <w:ind w:left="-171"/>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color w:val="auto"/>
          <w:highlight w:val="none"/>
        </w:rPr>
      </w:pPr>
    </w:p>
    <w:p>
      <w:pPr>
        <w:pStyle w:val="5"/>
        <w:spacing w:line="360" w:lineRule="exact"/>
        <w:ind w:firstLine="560"/>
        <w:rPr>
          <w:rFonts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7"/>
        <w:adjustRightInd w:val="0"/>
        <w:snapToGrid w:val="0"/>
        <w:spacing w:line="440" w:lineRule="exact"/>
        <w:rPr>
          <w:rFonts w:ascii="仿宋" w:hAnsi="仿宋" w:eastAsia="仿宋" w:cs="仿宋"/>
          <w:b/>
          <w:bCs/>
          <w:color w:val="auto"/>
          <w:sz w:val="28"/>
          <w:highlight w:val="none"/>
        </w:rPr>
      </w:pPr>
      <w:r>
        <w:rPr>
          <w:rFonts w:hint="eastAsia" w:ascii="仿宋" w:hAnsi="仿宋" w:eastAsia="仿宋" w:cs="仿宋"/>
          <w:b/>
          <w:bCs/>
          <w:color w:val="auto"/>
          <w:sz w:val="28"/>
          <w:highlight w:val="none"/>
        </w:rPr>
        <w:t>2 评审项目响应资料表</w:t>
      </w:r>
    </w:p>
    <w:p>
      <w:pPr>
        <w:pStyle w:val="7"/>
        <w:adjustRightInd w:val="0"/>
        <w:snapToGrid w:val="0"/>
        <w:spacing w:line="440" w:lineRule="exact"/>
        <w:ind w:firstLine="1968" w:firstLineChars="700"/>
        <w:rPr>
          <w:rFonts w:ascii="仿宋" w:hAnsi="仿宋" w:eastAsia="仿宋" w:cs="仿宋"/>
          <w:b/>
          <w:bCs/>
          <w:color w:val="auto"/>
          <w:sz w:val="28"/>
          <w:highlight w:val="none"/>
        </w:rPr>
      </w:pPr>
    </w:p>
    <w:tbl>
      <w:tblPr>
        <w:tblStyle w:val="11"/>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9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15"/>
              <w:adjustRightInd/>
              <w:ind w:firstLine="211" w:firstLineChars="10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5"/>
              <w:adjustRightInd/>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4925" w:type="dxa"/>
            <w:vAlign w:val="center"/>
          </w:tcPr>
          <w:p>
            <w:pPr>
              <w:pStyle w:val="15"/>
              <w:adjustRightInd/>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710" w:type="dxa"/>
            <w:vAlign w:val="center"/>
          </w:tcPr>
          <w:p>
            <w:pPr>
              <w:pStyle w:val="15"/>
              <w:adjustRightInd/>
              <w:ind w:firstLine="422"/>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 w:val="24"/>
                <w:highlight w:val="none"/>
                <w:lang w:val="en-GB"/>
              </w:rPr>
              <w:t>价格</w:t>
            </w:r>
          </w:p>
        </w:tc>
        <w:tc>
          <w:tcPr>
            <w:tcW w:w="4925" w:type="dxa"/>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sz w:val="24"/>
                <w:highlight w:val="none"/>
                <w:lang w:val="en-GB"/>
              </w:rPr>
              <w:t>报价得分=（基准价/响应报价）×价格权值×100（以最低报价为基准价）</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widowControl/>
              <w:rPr>
                <w:rFonts w:ascii="仿宋" w:hAnsi="仿宋" w:eastAsia="仿宋" w:cs="仿宋"/>
                <w:b w:val="0"/>
                <w:bCs w:val="0"/>
                <w:color w:val="auto"/>
                <w:szCs w:val="21"/>
                <w:highlight w:val="none"/>
                <w:u w:val="none"/>
              </w:rPr>
            </w:pPr>
            <w:r>
              <w:rPr>
                <w:rFonts w:hint="eastAsia" w:ascii="仿宋" w:hAnsi="仿宋" w:eastAsia="仿宋" w:cs="仿宋"/>
                <w:b w:val="0"/>
                <w:bCs w:val="0"/>
                <w:color w:val="auto"/>
                <w:sz w:val="24"/>
                <w:highlight w:val="none"/>
                <w:u w:val="none"/>
              </w:rPr>
              <w:t>技术商务响应程度</w:t>
            </w:r>
          </w:p>
        </w:tc>
        <w:tc>
          <w:tcPr>
            <w:tcW w:w="4925" w:type="dxa"/>
            <w:vAlign w:val="center"/>
          </w:tcPr>
          <w:p>
            <w:pPr>
              <w:widowControl/>
              <w:spacing w:line="400" w:lineRule="exact"/>
              <w:ind w:left="0" w:leftChars="0" w:firstLine="0" w:firstLineChars="0"/>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lang w:eastAsia="zh-CN"/>
              </w:rPr>
              <w:t>根据各响应供应商提供</w:t>
            </w:r>
            <w:r>
              <w:rPr>
                <w:rFonts w:hint="eastAsia" w:ascii="仿宋" w:hAnsi="仿宋" w:eastAsia="仿宋" w:cs="仿宋"/>
                <w:b w:val="0"/>
                <w:bCs w:val="0"/>
                <w:color w:val="auto"/>
                <w:sz w:val="24"/>
                <w:highlight w:val="none"/>
                <w:u w:val="none"/>
              </w:rPr>
              <w:t>一般技术商务条款共计11条</w:t>
            </w:r>
            <w:r>
              <w:rPr>
                <w:rFonts w:hint="eastAsia" w:ascii="仿宋" w:hAnsi="仿宋" w:eastAsia="仿宋" w:cs="仿宋"/>
                <w:b w:val="0"/>
                <w:bCs w:val="0"/>
                <w:color w:val="auto"/>
                <w:sz w:val="24"/>
                <w:highlight w:val="none"/>
                <w:u w:val="none"/>
                <w:lang w:eastAsia="zh-CN"/>
              </w:rPr>
              <w:t>（对应第二部分</w:t>
            </w:r>
            <w:r>
              <w:rPr>
                <w:rFonts w:hint="eastAsia" w:ascii="仿宋" w:hAnsi="仿宋" w:eastAsia="仿宋" w:cs="仿宋"/>
                <w:b w:val="0"/>
                <w:bCs w:val="0"/>
                <w:color w:val="auto"/>
                <w:sz w:val="24"/>
                <w:highlight w:val="none"/>
                <w:u w:val="none"/>
                <w:lang w:val="en-US" w:eastAsia="zh-CN"/>
              </w:rPr>
              <w:t xml:space="preserve"> 采购项目内容</w:t>
            </w:r>
            <w:r>
              <w:rPr>
                <w:rFonts w:hint="eastAsia" w:ascii="仿宋" w:hAnsi="仿宋" w:eastAsia="仿宋" w:cs="仿宋"/>
                <w:b w:val="0"/>
                <w:bCs w:val="0"/>
                <w:color w:val="auto"/>
                <w:sz w:val="24"/>
                <w:highlight w:val="none"/>
                <w:u w:val="none"/>
                <w:lang w:eastAsia="zh-CN"/>
              </w:rPr>
              <w:t>第四、第五点内容）</w:t>
            </w:r>
            <w:r>
              <w:rPr>
                <w:rFonts w:hint="eastAsia" w:ascii="仿宋" w:hAnsi="仿宋" w:eastAsia="仿宋" w:cs="仿宋"/>
                <w:b w:val="0"/>
                <w:bCs w:val="0"/>
                <w:color w:val="auto"/>
                <w:sz w:val="24"/>
                <w:highlight w:val="none"/>
                <w:u w:val="none"/>
              </w:rPr>
              <w:t>，所投产品参数全部满足得22分，有一项不满足参数的得20分，有两项不满足参数的得18分，以此类推。</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sz w:val="24"/>
                <w:highlight w:val="none"/>
                <w:u w:val="none"/>
              </w:rPr>
              <w:t>注：①比选文件“第二部分 采购项目内容”中要求提供证明资料的，则比选文件应提供对应条款的证明资料，不提供不得分；②未要求提供证明资料的以响应供应商填写的技术和商务要求响应表为准。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服务方案</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根据各响应供应商提出的服务方案（包括人力投入、进度计划、具体操作等情况）进行综合评审：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1.</w:t>
            </w:r>
            <w:r>
              <w:rPr>
                <w:rFonts w:hint="eastAsia" w:ascii="仿宋" w:hAnsi="仿宋" w:eastAsia="仿宋" w:cs="仿宋"/>
                <w:b w:val="0"/>
                <w:bCs w:val="0"/>
                <w:color w:val="auto"/>
                <w:kern w:val="0"/>
                <w:sz w:val="24"/>
                <w:highlight w:val="none"/>
                <w:u w:val="none"/>
              </w:rPr>
              <w:t>服务方案</w:t>
            </w:r>
            <w:r>
              <w:rPr>
                <w:rFonts w:hint="eastAsia" w:ascii="仿宋" w:hAnsi="仿宋" w:eastAsia="仿宋" w:cs="仿宋"/>
                <w:b w:val="0"/>
                <w:bCs w:val="0"/>
                <w:color w:val="auto"/>
                <w:sz w:val="24"/>
                <w:highlight w:val="none"/>
                <w:u w:val="none"/>
              </w:rPr>
              <w:t>优于采购人的需求，完整包括以上评审内容，且科学可靠，完善、可行程度高，得9分；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2.</w:t>
            </w:r>
            <w:r>
              <w:rPr>
                <w:rFonts w:hint="eastAsia" w:ascii="仿宋" w:hAnsi="仿宋" w:eastAsia="仿宋" w:cs="仿宋"/>
                <w:b w:val="0"/>
                <w:bCs w:val="0"/>
                <w:color w:val="auto"/>
                <w:kern w:val="0"/>
                <w:sz w:val="24"/>
                <w:highlight w:val="none"/>
                <w:u w:val="none"/>
              </w:rPr>
              <w:t>服务方案</w:t>
            </w:r>
            <w:r>
              <w:rPr>
                <w:rFonts w:hint="eastAsia" w:ascii="仿宋" w:hAnsi="仿宋" w:eastAsia="仿宋" w:cs="仿宋"/>
                <w:b w:val="0"/>
                <w:bCs w:val="0"/>
                <w:color w:val="auto"/>
                <w:sz w:val="24"/>
                <w:highlight w:val="none"/>
                <w:u w:val="none"/>
              </w:rPr>
              <w:t>响应采购人的需求，基本包括以上评审内容，较科学可靠、完善、基本可行的，得6分；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3.</w:t>
            </w:r>
            <w:r>
              <w:rPr>
                <w:rFonts w:hint="eastAsia" w:ascii="仿宋" w:hAnsi="仿宋" w:eastAsia="仿宋" w:cs="仿宋"/>
                <w:b w:val="0"/>
                <w:bCs w:val="0"/>
                <w:color w:val="auto"/>
                <w:kern w:val="0"/>
                <w:sz w:val="24"/>
                <w:highlight w:val="none"/>
                <w:u w:val="none"/>
              </w:rPr>
              <w:t>服务方案</w:t>
            </w:r>
            <w:r>
              <w:rPr>
                <w:rFonts w:hint="eastAsia" w:ascii="仿宋" w:hAnsi="仿宋" w:eastAsia="仿宋" w:cs="仿宋"/>
                <w:b w:val="0"/>
                <w:bCs w:val="0"/>
                <w:color w:val="auto"/>
                <w:sz w:val="24"/>
                <w:highlight w:val="none"/>
                <w:u w:val="none"/>
              </w:rPr>
              <w:t>基本响应采购人的需求，对以上评审内容有缺失，科学可靠、完善、可行性程度一般，得3分；</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sz w:val="24"/>
                <w:highlight w:val="none"/>
                <w:u w:val="none"/>
              </w:rPr>
              <w:t>4.无提供方案不得分。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管理方案</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根据各响应供应商提供的管理方案、实施细则等情况</w:t>
            </w:r>
            <w:r>
              <w:rPr>
                <w:rFonts w:hint="eastAsia" w:ascii="仿宋" w:hAnsi="仿宋" w:eastAsia="仿宋" w:cs="仿宋"/>
                <w:b w:val="0"/>
                <w:bCs w:val="0"/>
                <w:color w:val="auto"/>
                <w:kern w:val="0"/>
                <w:sz w:val="24"/>
                <w:highlight w:val="none"/>
                <w:u w:val="none"/>
                <w:lang w:val="en-GB"/>
              </w:rPr>
              <w:t>进行综合评审：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1.</w:t>
            </w:r>
            <w:r>
              <w:rPr>
                <w:rFonts w:hint="eastAsia" w:ascii="仿宋" w:hAnsi="仿宋" w:eastAsia="仿宋" w:cs="仿宋"/>
                <w:b w:val="0"/>
                <w:bCs w:val="0"/>
                <w:color w:val="auto"/>
                <w:kern w:val="0"/>
                <w:sz w:val="24"/>
                <w:highlight w:val="none"/>
                <w:u w:val="none"/>
              </w:rPr>
              <w:t>管理</w:t>
            </w:r>
            <w:r>
              <w:rPr>
                <w:rFonts w:hint="eastAsia" w:ascii="仿宋" w:hAnsi="仿宋" w:eastAsia="仿宋" w:cs="仿宋"/>
                <w:b w:val="0"/>
                <w:bCs w:val="0"/>
                <w:color w:val="auto"/>
                <w:sz w:val="24"/>
                <w:highlight w:val="none"/>
                <w:u w:val="none"/>
              </w:rPr>
              <w:t>方案优于采购人的需求，完整包括以上评审内容，且科学可靠，完善、可行程度高，得7 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2.</w:t>
            </w:r>
            <w:r>
              <w:rPr>
                <w:rFonts w:hint="eastAsia" w:ascii="仿宋" w:hAnsi="仿宋" w:eastAsia="仿宋" w:cs="仿宋"/>
                <w:b w:val="0"/>
                <w:bCs w:val="0"/>
                <w:color w:val="auto"/>
                <w:kern w:val="0"/>
                <w:sz w:val="24"/>
                <w:highlight w:val="none"/>
                <w:u w:val="none"/>
              </w:rPr>
              <w:t>管理</w:t>
            </w:r>
            <w:r>
              <w:rPr>
                <w:rFonts w:hint="eastAsia" w:ascii="仿宋" w:hAnsi="仿宋" w:eastAsia="仿宋" w:cs="仿宋"/>
                <w:b w:val="0"/>
                <w:bCs w:val="0"/>
                <w:color w:val="auto"/>
                <w:sz w:val="24"/>
                <w:highlight w:val="none"/>
                <w:u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3.</w:t>
            </w:r>
            <w:r>
              <w:rPr>
                <w:rFonts w:hint="eastAsia" w:ascii="仿宋" w:hAnsi="仿宋" w:eastAsia="仿宋" w:cs="仿宋"/>
                <w:b w:val="0"/>
                <w:bCs w:val="0"/>
                <w:color w:val="auto"/>
                <w:kern w:val="0"/>
                <w:sz w:val="24"/>
                <w:highlight w:val="none"/>
                <w:u w:val="none"/>
              </w:rPr>
              <w:t>管理</w:t>
            </w:r>
            <w:r>
              <w:rPr>
                <w:rFonts w:hint="eastAsia" w:ascii="仿宋" w:hAnsi="仿宋" w:eastAsia="仿宋" w:cs="仿宋"/>
                <w:b w:val="0"/>
                <w:bCs w:val="0"/>
                <w:color w:val="auto"/>
                <w:sz w:val="24"/>
                <w:highlight w:val="none"/>
                <w:u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sz w:val="24"/>
                <w:highlight w:val="none"/>
                <w:u w:val="none"/>
              </w:rPr>
              <w:t>4.无提供方案不得分。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突发事件处理</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根据各响应供应商提供的突发事件处理方案（包括人员到位时间、处置措施等情况）进行综合评审，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1.</w:t>
            </w:r>
            <w:r>
              <w:rPr>
                <w:rFonts w:hint="eastAsia" w:ascii="仿宋" w:hAnsi="仿宋" w:eastAsia="仿宋" w:cs="仿宋"/>
                <w:b w:val="0"/>
                <w:bCs w:val="0"/>
                <w:color w:val="auto"/>
                <w:kern w:val="0"/>
                <w:sz w:val="24"/>
                <w:highlight w:val="none"/>
                <w:u w:val="none"/>
              </w:rPr>
              <w:t>处理</w:t>
            </w:r>
            <w:r>
              <w:rPr>
                <w:rFonts w:hint="eastAsia" w:ascii="仿宋" w:hAnsi="仿宋" w:eastAsia="仿宋" w:cs="仿宋"/>
                <w:b w:val="0"/>
                <w:bCs w:val="0"/>
                <w:color w:val="auto"/>
                <w:sz w:val="24"/>
                <w:highlight w:val="none"/>
                <w:u w:val="none"/>
              </w:rPr>
              <w:t>方案优于采购人的需求，完整包括以上评审内容，且科学可靠，完善、可行程度高，得 7分；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2</w:t>
            </w:r>
            <w:r>
              <w:rPr>
                <w:rFonts w:hint="eastAsia" w:ascii="仿宋" w:hAnsi="仿宋" w:eastAsia="仿宋" w:cs="仿宋"/>
                <w:b w:val="0"/>
                <w:bCs w:val="0"/>
                <w:color w:val="auto"/>
                <w:sz w:val="24"/>
                <w:highlight w:val="none"/>
                <w:u w:val="none"/>
                <w:lang w:val="en-US" w:eastAsia="zh-CN"/>
              </w:rPr>
              <w:t>.</w:t>
            </w:r>
            <w:r>
              <w:rPr>
                <w:rFonts w:hint="eastAsia" w:ascii="仿宋" w:hAnsi="仿宋" w:eastAsia="仿宋" w:cs="仿宋"/>
                <w:b w:val="0"/>
                <w:bCs w:val="0"/>
                <w:color w:val="auto"/>
                <w:kern w:val="0"/>
                <w:sz w:val="24"/>
                <w:highlight w:val="none"/>
                <w:u w:val="none"/>
              </w:rPr>
              <w:t>处理</w:t>
            </w:r>
            <w:r>
              <w:rPr>
                <w:rFonts w:hint="eastAsia" w:ascii="仿宋" w:hAnsi="仿宋" w:eastAsia="仿宋" w:cs="仿宋"/>
                <w:b w:val="0"/>
                <w:bCs w:val="0"/>
                <w:color w:val="auto"/>
                <w:sz w:val="24"/>
                <w:highlight w:val="none"/>
                <w:u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3.</w:t>
            </w:r>
            <w:r>
              <w:rPr>
                <w:rFonts w:hint="eastAsia" w:ascii="仿宋" w:hAnsi="仿宋" w:eastAsia="仿宋" w:cs="仿宋"/>
                <w:b w:val="0"/>
                <w:bCs w:val="0"/>
                <w:color w:val="auto"/>
                <w:kern w:val="0"/>
                <w:sz w:val="24"/>
                <w:highlight w:val="none"/>
                <w:u w:val="none"/>
              </w:rPr>
              <w:t>处理</w:t>
            </w:r>
            <w:r>
              <w:rPr>
                <w:rFonts w:hint="eastAsia" w:ascii="仿宋" w:hAnsi="仿宋" w:eastAsia="仿宋" w:cs="仿宋"/>
                <w:b w:val="0"/>
                <w:bCs w:val="0"/>
                <w:color w:val="auto"/>
                <w:sz w:val="24"/>
                <w:highlight w:val="none"/>
                <w:u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4.无提供方案不得分。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拟派负责人员</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根据各响应供应商拟派1名人员作为本项目负责人情况进行评审：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项目负责人</w:t>
            </w:r>
            <w:r>
              <w:rPr>
                <w:rFonts w:hint="eastAsia" w:ascii="仿宋" w:hAnsi="仿宋" w:eastAsia="仿宋" w:cs="仿宋"/>
                <w:b w:val="0"/>
                <w:bCs w:val="0"/>
                <w:color w:val="auto"/>
                <w:kern w:val="0"/>
                <w:sz w:val="24"/>
                <w:highlight w:val="none"/>
                <w:u w:val="none"/>
                <w:lang w:val="en-US" w:eastAsia="zh-CN"/>
              </w:rPr>
              <w:t>:①</w:t>
            </w:r>
            <w:r>
              <w:rPr>
                <w:rFonts w:hint="eastAsia" w:ascii="仿宋" w:hAnsi="仿宋" w:eastAsia="仿宋" w:cs="仿宋"/>
                <w:b w:val="0"/>
                <w:bCs w:val="0"/>
                <w:color w:val="auto"/>
                <w:kern w:val="0"/>
                <w:sz w:val="24"/>
                <w:highlight w:val="none"/>
                <w:u w:val="none"/>
              </w:rPr>
              <w:t>具有电工证的</w:t>
            </w:r>
            <w:r>
              <w:rPr>
                <w:rFonts w:hint="eastAsia" w:ascii="仿宋" w:hAnsi="仿宋" w:eastAsia="仿宋" w:cs="仿宋"/>
                <w:b w:val="0"/>
                <w:bCs w:val="0"/>
                <w:color w:val="auto"/>
                <w:kern w:val="0"/>
                <w:sz w:val="24"/>
                <w:highlight w:val="none"/>
                <w:u w:val="none"/>
                <w:lang w:eastAsia="zh-CN"/>
              </w:rPr>
              <w:t>，</w:t>
            </w:r>
            <w:r>
              <w:rPr>
                <w:rFonts w:hint="eastAsia" w:ascii="仿宋" w:hAnsi="仿宋" w:eastAsia="仿宋" w:cs="仿宋"/>
                <w:b w:val="0"/>
                <w:bCs w:val="0"/>
                <w:color w:val="auto"/>
                <w:kern w:val="0"/>
                <w:sz w:val="24"/>
                <w:highlight w:val="none"/>
                <w:u w:val="none"/>
              </w:rPr>
              <w:t>得3分；</w:t>
            </w:r>
            <w:r>
              <w:rPr>
                <w:rFonts w:hint="eastAsia" w:ascii="仿宋" w:hAnsi="仿宋" w:eastAsia="仿宋" w:cs="仿宋"/>
                <w:b w:val="0"/>
                <w:bCs w:val="0"/>
                <w:color w:val="auto"/>
                <w:kern w:val="0"/>
                <w:sz w:val="24"/>
                <w:highlight w:val="none"/>
                <w:u w:val="none"/>
                <w:lang w:eastAsia="zh-CN"/>
              </w:rPr>
              <w:t>②</w:t>
            </w:r>
            <w:r>
              <w:rPr>
                <w:rFonts w:hint="eastAsia" w:ascii="仿宋" w:hAnsi="仿宋" w:eastAsia="仿宋" w:cs="仿宋"/>
                <w:b w:val="0"/>
                <w:bCs w:val="0"/>
                <w:color w:val="auto"/>
                <w:kern w:val="0"/>
                <w:sz w:val="24"/>
                <w:highlight w:val="none"/>
                <w:u w:val="none"/>
              </w:rPr>
              <w:t>具备特种设备作业证的</w:t>
            </w:r>
            <w:r>
              <w:rPr>
                <w:rFonts w:hint="eastAsia" w:ascii="仿宋" w:hAnsi="仿宋" w:eastAsia="仿宋" w:cs="仿宋"/>
                <w:b w:val="0"/>
                <w:bCs w:val="0"/>
                <w:color w:val="auto"/>
                <w:kern w:val="0"/>
                <w:sz w:val="24"/>
                <w:highlight w:val="none"/>
                <w:u w:val="none"/>
                <w:lang w:eastAsia="zh-CN"/>
              </w:rPr>
              <w:t>，</w:t>
            </w:r>
            <w:r>
              <w:rPr>
                <w:rFonts w:hint="eastAsia" w:ascii="仿宋" w:hAnsi="仿宋" w:eastAsia="仿宋" w:cs="仿宋"/>
                <w:b w:val="0"/>
                <w:bCs w:val="0"/>
                <w:color w:val="auto"/>
                <w:kern w:val="0"/>
                <w:sz w:val="24"/>
                <w:highlight w:val="none"/>
                <w:u w:val="none"/>
              </w:rPr>
              <w:t>得3分</w:t>
            </w:r>
            <w:r>
              <w:rPr>
                <w:rFonts w:hint="eastAsia" w:ascii="仿宋" w:hAnsi="仿宋" w:eastAsia="仿宋" w:cs="仿宋"/>
                <w:b w:val="0"/>
                <w:bCs w:val="0"/>
                <w:color w:val="auto"/>
                <w:kern w:val="0"/>
                <w:sz w:val="24"/>
                <w:highlight w:val="none"/>
                <w:u w:val="none"/>
                <w:lang w:eastAsia="zh-CN"/>
              </w:rPr>
              <w:t>；③</w:t>
            </w:r>
            <w:r>
              <w:rPr>
                <w:rFonts w:hint="eastAsia" w:ascii="仿宋" w:hAnsi="仿宋" w:eastAsia="仿宋" w:cs="仿宋"/>
                <w:b w:val="0"/>
                <w:bCs w:val="0"/>
                <w:color w:val="auto"/>
                <w:kern w:val="0"/>
                <w:sz w:val="24"/>
                <w:highlight w:val="none"/>
                <w:u w:val="none"/>
              </w:rPr>
              <w:t>具备高工作业证的</w:t>
            </w:r>
            <w:r>
              <w:rPr>
                <w:rFonts w:hint="eastAsia" w:ascii="仿宋" w:hAnsi="仿宋" w:eastAsia="仿宋" w:cs="仿宋"/>
                <w:b w:val="0"/>
                <w:bCs w:val="0"/>
                <w:color w:val="auto"/>
                <w:kern w:val="0"/>
                <w:sz w:val="24"/>
                <w:highlight w:val="none"/>
                <w:u w:val="none"/>
                <w:lang w:eastAsia="zh-CN"/>
              </w:rPr>
              <w:t>，</w:t>
            </w:r>
            <w:r>
              <w:rPr>
                <w:rFonts w:hint="eastAsia" w:ascii="仿宋" w:hAnsi="仿宋" w:eastAsia="仿宋" w:cs="仿宋"/>
                <w:b w:val="0"/>
                <w:bCs w:val="0"/>
                <w:color w:val="auto"/>
                <w:kern w:val="0"/>
                <w:sz w:val="24"/>
                <w:highlight w:val="none"/>
                <w:u w:val="none"/>
              </w:rPr>
              <w:t>得3分，最高得9分。（须提供拟派负责人员相关证明文件复印件和近六个月内响应供应商为其购买的任意一个月社保证明并加盖公章，不提供或不满足条件的均不得分。）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 xml:space="preserve">同类业绩情况 </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根据各响应供应商提供自2021年至今同类业绩进行评审，每提供一个得4分，本项最高得16分，不提供或不满足条件的均不得分。</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注：同类业绩证明文件是中标/成交通知书或合同关键页的复印件或扫描件（合同关键页是指包括：①能显示</w:t>
            </w:r>
            <w:r>
              <w:rPr>
                <w:rFonts w:hint="eastAsia" w:ascii="仿宋" w:hAnsi="仿宋" w:eastAsia="仿宋" w:cs="仿宋"/>
                <w:b w:val="0"/>
                <w:bCs w:val="0"/>
                <w:color w:val="auto"/>
                <w:kern w:val="0"/>
                <w:sz w:val="24"/>
                <w:highlight w:val="none"/>
                <w:u w:val="none"/>
                <w:lang w:eastAsia="zh-CN"/>
              </w:rPr>
              <w:t>项目</w:t>
            </w:r>
            <w:r>
              <w:rPr>
                <w:rFonts w:hint="eastAsia" w:ascii="仿宋" w:hAnsi="仿宋" w:eastAsia="仿宋" w:cs="仿宋"/>
                <w:b w:val="0"/>
                <w:bCs w:val="0"/>
                <w:color w:val="auto"/>
                <w:kern w:val="0"/>
                <w:sz w:val="24"/>
                <w:highlight w:val="none"/>
                <w:u w:val="none"/>
              </w:rPr>
              <w:t>相关信息；②签订合同双方的单位名称、合同项目名称；③签订合同双方的签章、盖章及签订日期），无提供不得分。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sz w:val="24"/>
          <w:highlight w:val="none"/>
        </w:rPr>
      </w:pPr>
    </w:p>
    <w:p>
      <w:pPr>
        <w:rPr>
          <w:rFonts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7" w:name="_Toc202251075"/>
      <w:bookmarkStart w:id="18" w:name="_Toc202816996"/>
      <w:bookmarkStart w:id="19" w:name="_Toc202819878"/>
      <w:bookmarkStart w:id="20" w:name="_Toc202251700"/>
      <w:bookmarkStart w:id="21" w:name="_Toc202252034"/>
      <w:bookmarkStart w:id="22" w:name="_Toc202820351"/>
      <w:bookmarkStart w:id="23" w:name="_Toc202254105"/>
      <w:r>
        <w:rPr>
          <w:rFonts w:hint="eastAsia" w:ascii="仿宋" w:hAnsi="仿宋" w:eastAsia="仿宋" w:cs="仿宋"/>
          <w:b/>
          <w:bCs/>
          <w:color w:val="auto"/>
          <w:sz w:val="28"/>
          <w:szCs w:val="28"/>
          <w:highlight w:val="none"/>
        </w:rPr>
        <w:t>3 资格性文件</w:t>
      </w:r>
      <w:bookmarkEnd w:id="17"/>
      <w:bookmarkEnd w:id="18"/>
      <w:bookmarkEnd w:id="19"/>
      <w:bookmarkEnd w:id="20"/>
      <w:bookmarkEnd w:id="21"/>
      <w:bookmarkEnd w:id="22"/>
      <w:bookmarkEnd w:id="23"/>
    </w:p>
    <w:p>
      <w:pPr>
        <w:pStyle w:val="3"/>
        <w:spacing w:before="0" w:after="0"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2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rPr>
          <w:rFonts w:ascii="仿宋" w:hAnsi="仿宋" w:eastAsia="仿宋" w:cs="仿宋"/>
          <w:color w:val="auto"/>
          <w:sz w:val="24"/>
          <w:highlight w:val="none"/>
        </w:rPr>
      </w:pP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ascii="仿宋" w:hAnsi="仿宋" w:eastAsia="仿宋" w:cs="仿宋"/>
          <w:b/>
          <w:color w:val="auto"/>
          <w:sz w:val="28"/>
          <w:szCs w:val="28"/>
          <w:highlight w:val="none"/>
        </w:rPr>
      </w:pPr>
    </w:p>
    <w:p>
      <w:pPr>
        <w:rPr>
          <w:rFonts w:ascii="仿宋" w:hAnsi="仿宋" w:eastAsia="仿宋" w:cs="仿宋"/>
          <w:b/>
          <w:color w:val="auto"/>
          <w:sz w:val="28"/>
          <w:szCs w:val="28"/>
          <w:highlight w:val="none"/>
        </w:rPr>
      </w:pPr>
      <w:r>
        <w:rPr>
          <w:rFonts w:ascii="仿宋" w:hAnsi="仿宋" w:eastAsia="仿宋" w:cs="仿宋"/>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3360;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61312;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80" w:lineRule="exact"/>
        <w:ind w:firstLine="720" w:firstLineChars="300"/>
        <w:rPr>
          <w:rFonts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pacing w:line="48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pPr>
        <w:spacing w:line="440" w:lineRule="exact"/>
        <w:ind w:firstLine="736" w:firstLineChars="307"/>
        <w:rPr>
          <w:rFonts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
          <w:bCs/>
          <w:color w:val="auto"/>
          <w:sz w:val="24"/>
          <w:highlight w:val="none"/>
        </w:rPr>
        <w:t>有效期限：必须超出响应文件中标注的响应有效期，自本单位盖公章之日起生效。</w:t>
      </w:r>
    </w:p>
    <w:p>
      <w:pPr>
        <w:spacing w:line="440" w:lineRule="exact"/>
        <w:ind w:firstLine="736" w:firstLineChars="307"/>
        <w:rPr>
          <w:rFonts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pPr>
        <w:spacing w:line="360" w:lineRule="auto"/>
        <w:ind w:firstLine="420"/>
        <w:rPr>
          <w:rFonts w:ascii="仿宋" w:hAnsi="仿宋" w:eastAsia="仿宋" w:cs="仿宋"/>
          <w:color w:val="auto"/>
          <w:sz w:val="28"/>
          <w:szCs w:val="28"/>
          <w:highlight w:val="none"/>
          <w:u w:val="single"/>
        </w:rPr>
      </w:pPr>
      <w:r>
        <w:rPr>
          <w:rFonts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2336;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ascii="仿宋" w:hAnsi="仿宋" w:eastAsia="仿宋" w:cs="仿宋"/>
          <w:color w:val="auto"/>
          <w:sz w:val="28"/>
          <w:szCs w:val="28"/>
          <w:highlight w:val="none"/>
          <w:u w:val="single"/>
        </w:rPr>
        <mc:AlternateContent>
          <mc:Choice Requires="wps">
            <w:drawing>
              <wp:anchor distT="0" distB="0" distL="114300" distR="114300" simplePos="0" relativeHeight="251665408"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5408;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ascii="仿宋" w:hAnsi="仿宋" w:eastAsia="仿宋" w:cs="仿宋"/>
          <w:color w:val="auto"/>
          <w:sz w:val="28"/>
          <w:szCs w:val="28"/>
          <w:highlight w:val="none"/>
          <w:u w:val="single"/>
        </w:rPr>
        <mc:AlternateContent>
          <mc:Choice Requires="wps">
            <w:drawing>
              <wp:anchor distT="0" distB="0" distL="114300" distR="114300" simplePos="0" relativeHeight="251664384"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4384;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ascii="仿宋" w:hAnsi="仿宋" w:eastAsia="仿宋" w:cs="仿宋"/>
          <w:b/>
          <w:color w:val="auto"/>
          <w:sz w:val="28"/>
          <w:szCs w:val="28"/>
          <w:highlight w:val="none"/>
        </w:rPr>
      </w:pPr>
    </w:p>
    <w:p>
      <w:pPr>
        <w:spacing w:line="300" w:lineRule="auto"/>
        <w:jc w:val="center"/>
        <w:rPr>
          <w:rFonts w:ascii="仿宋" w:hAnsi="仿宋" w:eastAsia="仿宋" w:cs="仿宋"/>
          <w:b/>
          <w:color w:val="auto"/>
          <w:sz w:val="28"/>
          <w:szCs w:val="28"/>
          <w:highlight w:val="none"/>
        </w:rPr>
      </w:pPr>
    </w:p>
    <w:p>
      <w:pPr>
        <w:spacing w:line="30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惠州市第一妇幼保健院：</w:t>
      </w:r>
    </w:p>
    <w:p>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3）比选截止时间前一年内任意一个月的依法缴纳税收证明材料（如依法免税，则须提供相应文件证明其依法免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6.本项目专门面向中小企业采购，本项目中小企业划分标准所属行业为：</w:t>
      </w:r>
      <w:r>
        <w:rPr>
          <w:rFonts w:hint="eastAsia" w:ascii="仿宋" w:hAnsi="仿宋" w:eastAsia="仿宋" w:cs="仿宋"/>
          <w:b/>
          <w:bCs/>
          <w:color w:val="auto"/>
          <w:sz w:val="24"/>
          <w:highlight w:val="none"/>
        </w:rPr>
        <w:t>工业</w:t>
      </w:r>
    </w:p>
    <w:p>
      <w:pPr>
        <w:spacing w:line="4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7.已在招采办报名。</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4" w:name="_Toc202254106"/>
      <w:bookmarkStart w:id="25" w:name="_Toc202251701"/>
      <w:bookmarkStart w:id="26" w:name="_Toc202820352"/>
      <w:bookmarkStart w:id="27" w:name="_Toc202252035"/>
      <w:bookmarkStart w:id="28" w:name="_Toc202816997"/>
      <w:bookmarkStart w:id="29" w:name="_Toc202251076"/>
      <w:bookmarkStart w:id="30" w:name="_Toc202819879"/>
    </w:p>
    <w:p>
      <w:pPr>
        <w:pStyle w:val="2"/>
        <w:rPr>
          <w:color w:val="auto"/>
          <w:sz w:val="24"/>
          <w:szCs w:val="24"/>
          <w:highlight w:val="none"/>
        </w:rPr>
      </w:pPr>
      <w:r>
        <w:rPr>
          <w:color w:val="auto"/>
          <w:sz w:val="24"/>
          <w:highlight w:val="none"/>
        </w:rPr>
        <w:br w:type="page"/>
      </w:r>
      <w:r>
        <w:rPr>
          <w:rFonts w:hint="eastAsia"/>
          <w:color w:val="auto"/>
          <w:highlight w:val="none"/>
        </w:rPr>
        <w:t>4 商务部分</w:t>
      </w:r>
      <w:bookmarkEnd w:id="24"/>
      <w:bookmarkEnd w:id="25"/>
      <w:bookmarkEnd w:id="26"/>
      <w:bookmarkEnd w:id="27"/>
      <w:bookmarkEnd w:id="28"/>
      <w:bookmarkEnd w:id="29"/>
      <w:bookmarkEnd w:id="30"/>
    </w:p>
    <w:p>
      <w:pPr>
        <w:pStyle w:val="3"/>
        <w:spacing w:before="0" w:after="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pPr>
        <w:tabs>
          <w:tab w:val="left" w:pos="180"/>
        </w:tabs>
        <w:rPr>
          <w:rFonts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108"/>
        <w:gridCol w:w="1306"/>
        <w:gridCol w:w="202"/>
        <w:gridCol w:w="1246"/>
        <w:gridCol w:w="228"/>
        <w:gridCol w:w="898"/>
        <w:gridCol w:w="704"/>
        <w:gridCol w:w="26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172" w:type="dxa"/>
            <w:gridSpan w:val="9"/>
            <w:vAlign w:val="center"/>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172" w:type="dxa"/>
            <w:gridSpan w:val="9"/>
            <w:vAlign w:val="center"/>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08" w:type="dxa"/>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50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474"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602"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08" w:type="dxa"/>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50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474"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602"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08" w:type="dxa"/>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50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474"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602"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480"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172" w:type="dxa"/>
            <w:gridSpan w:val="9"/>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172" w:type="dxa"/>
            <w:gridSpan w:val="9"/>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restart"/>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306" w:type="dxa"/>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310" w:type="dxa"/>
            <w:gridSpan w:val="5"/>
          </w:tcPr>
          <w:p>
            <w:pPr>
              <w:tabs>
                <w:tab w:val="left" w:pos="540"/>
              </w:tabs>
              <w:ind w:left="-134" w:leftChars="-64" w:right="-105" w:rightChars="-50" w:firstLine="3045" w:firstLineChars="14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306" w:type="dxa"/>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310" w:type="dxa"/>
            <w:gridSpan w:val="5"/>
          </w:tcPr>
          <w:p>
            <w:pPr>
              <w:tabs>
                <w:tab w:val="left" w:pos="540"/>
              </w:tabs>
              <w:ind w:left="-134" w:leftChars="-64" w:right="-105" w:rightChars="-50" w:firstLine="3045" w:firstLineChars="14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vMerge w:val="restart"/>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448" w:type="dxa"/>
            <w:gridSpan w:val="2"/>
            <w:vAlign w:val="center"/>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448" w:type="dxa"/>
            <w:gridSpan w:val="2"/>
            <w:vAlign w:val="center"/>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67" w:type="dxa"/>
            <w:vMerge w:val="restart"/>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306"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主营收入</w:t>
            </w:r>
          </w:p>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收入总额</w:t>
            </w:r>
          </w:p>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p>
        </w:tc>
      </w:tr>
    </w:tbl>
    <w:p>
      <w:pPr>
        <w:pStyle w:val="16"/>
        <w:spacing w:line="360" w:lineRule="auto"/>
        <w:ind w:left="973" w:hanging="960" w:hangingChars="400"/>
        <w:rPr>
          <w:rFonts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pPr>
        <w:pStyle w:val="16"/>
        <w:ind w:firstLine="480" w:firstLineChars="200"/>
        <w:rPr>
          <w:rFonts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pPr>
        <w:pStyle w:val="16"/>
        <w:rPr>
          <w:rFonts w:ascii="仿宋" w:hAnsi="仿宋" w:eastAsia="仿宋" w:cs="仿宋"/>
          <w:color w:val="auto"/>
          <w:kern w:val="2"/>
          <w:szCs w:val="24"/>
          <w:highlight w:val="none"/>
          <w:lang w:val="en-GB"/>
        </w:rPr>
      </w:pPr>
    </w:p>
    <w:p>
      <w:pPr>
        <w:pStyle w:val="16"/>
        <w:ind w:firstLine="520" w:firstLineChars="200"/>
        <w:rPr>
          <w:rFonts w:ascii="仿宋" w:hAnsi="仿宋" w:eastAsia="仿宋" w:cs="仿宋"/>
          <w:color w:val="auto"/>
          <w:kern w:val="2"/>
          <w:szCs w:val="24"/>
          <w:highlight w:val="none"/>
          <w:lang w:val="en-GB"/>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16"/>
        <w:ind w:firstLine="520" w:firstLineChars="200"/>
        <w:rPr>
          <w:rFonts w:ascii="仿宋" w:hAnsi="仿宋" w:eastAsia="仿宋" w:cs="仿宋"/>
          <w:color w:val="auto"/>
          <w:kern w:val="2"/>
          <w:szCs w:val="24"/>
          <w:highlight w:val="none"/>
          <w:lang w:val="en-GB"/>
        </w:rPr>
      </w:pPr>
    </w:p>
    <w:p>
      <w:pPr>
        <w:pStyle w:val="16"/>
        <w:rPr>
          <w:rFonts w:ascii="仿宋" w:hAnsi="仿宋" w:eastAsia="仿宋" w:cs="仿宋"/>
          <w:b/>
          <w:color w:val="auto"/>
          <w:highlight w:val="none"/>
        </w:rPr>
      </w:pPr>
    </w:p>
    <w:p>
      <w:pPr>
        <w:tabs>
          <w:tab w:val="left" w:pos="540"/>
        </w:tabs>
        <w:spacing w:line="400" w:lineRule="exact"/>
        <w:rPr>
          <w:rFonts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pPr>
        <w:adjustRightInd w:val="0"/>
        <w:snapToGrid w:val="0"/>
        <w:spacing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0" w:leftChars="-257"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致：惠州市第一妇幼保健院</w:t>
      </w:r>
    </w:p>
    <w:p>
      <w:pPr>
        <w:adjustRightInd w:val="0"/>
        <w:snapToGrid w:val="0"/>
        <w:spacing w:line="400" w:lineRule="exact"/>
        <w:ind w:firstLine="555"/>
        <w:rPr>
          <w:rFonts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ascii="仿宋" w:hAnsi="仿宋" w:eastAsia="仿宋" w:cs="仿宋"/>
          <w:color w:val="auto"/>
          <w:sz w:val="24"/>
          <w:highlight w:val="none"/>
        </w:rPr>
      </w:pP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0" w:leftChars="-257"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致：惠州市第一妇幼保健院</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备注：附上国家企业信用信息公示系统/信用中国/中国政府采购网查询的征信情况。</w:t>
      </w:r>
    </w:p>
    <w:p>
      <w:pPr>
        <w:rPr>
          <w:rFonts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4"/>
        </w:numPr>
        <w:rPr>
          <w:rFonts w:ascii="仿宋" w:hAnsi="仿宋" w:eastAsia="仿宋" w:cs="仿宋"/>
          <w:color w:val="auto"/>
          <w:sz w:val="24"/>
          <w:highlight w:val="none"/>
        </w:rPr>
      </w:pPr>
      <w:r>
        <w:rPr>
          <w:rFonts w:hint="eastAsia" w:ascii="仿宋" w:hAnsi="仿宋" w:eastAsia="仿宋" w:cs="仿宋"/>
          <w:color w:val="auto"/>
          <w:sz w:val="24"/>
          <w:highlight w:val="none"/>
        </w:rPr>
        <w:t>中小企业声明函。</w:t>
      </w: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rPr>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w:t>
      </w:r>
      <w:r>
        <w:rPr>
          <w:rFonts w:hint="eastAsia" w:ascii="仿宋" w:hAnsi="仿宋" w:eastAsia="仿宋" w:cs="仿宋"/>
          <w:color w:val="auto"/>
          <w:sz w:val="24"/>
          <w:highlight w:val="none"/>
          <w:u w:val="single"/>
        </w:rPr>
        <w:t>单</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w:t>
      </w:r>
      <w:r>
        <w:rPr>
          <w:rFonts w:hint="eastAsia" w:ascii="仿宋" w:hAnsi="仿宋" w:eastAsia="仿宋" w:cs="仿宋"/>
          <w:color w:val="auto"/>
          <w:sz w:val="24"/>
          <w:highlight w:val="none"/>
        </w:rPr>
        <w:t>称），属于（</w:t>
      </w:r>
      <w:r>
        <w:rPr>
          <w:rFonts w:hint="eastAsia" w:ascii="仿宋" w:hAnsi="仿宋" w:eastAsia="仿宋" w:cs="仿宋"/>
          <w:b/>
          <w:bCs/>
          <w:color w:val="auto"/>
          <w:sz w:val="30"/>
          <w:szCs w:val="30"/>
          <w:highlight w:val="none"/>
        </w:rPr>
        <w:t>工业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企业名称），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企业名称（盖章）：__________________</w:t>
      </w:r>
    </w:p>
    <w:p>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00" w:lineRule="exact"/>
        <w:ind w:firstLine="480" w:firstLineChars="200"/>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spacing w:line="400" w:lineRule="exact"/>
        <w:ind w:firstLine="480" w:firstLineChars="200"/>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color w:val="auto"/>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）行业；承建（承接）企业为（企业名称），从业人员__________________人，营业收入为__________________万元，资产总额为__________________万元1，属于（中型企业、小型企业、微型企业）；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企业名称），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企业名称（盖章）：__________________</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2：投标人应当自行核实是否属于小微企业，并认真填写声明函，若有虚假将追究其责任。</w:t>
      </w:r>
    </w:p>
    <w:p>
      <w:pPr>
        <w:spacing w:line="400" w:lineRule="exact"/>
        <w:ind w:firstLine="480" w:firstLineChars="200"/>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（以下格式文件由供应商根据需要选用）</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spacing w:line="400" w:lineRule="exact"/>
        <w:jc w:val="center"/>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00" w:lineRule="exact"/>
        <w:ind w:firstLine="480" w:firstLineChars="200"/>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单位名称（盖章）：__________________</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color w:val="auto"/>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pStyle w:val="2"/>
        <w:rPr>
          <w:color w:val="auto"/>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vAlign w:val="center"/>
          </w:tcPr>
          <w:p>
            <w:pPr>
              <w:spacing w:after="120"/>
              <w:jc w:val="center"/>
              <w:rPr>
                <w:rFonts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vAlign w:val="center"/>
          </w:tcPr>
          <w:p>
            <w:pPr>
              <w:rPr>
                <w:rFonts w:ascii="仿宋" w:hAnsi="仿宋" w:eastAsia="仿宋" w:cs="仿宋"/>
                <w:color w:val="auto"/>
                <w:szCs w:val="21"/>
                <w:highlight w:val="none"/>
              </w:rPr>
            </w:pPr>
          </w:p>
        </w:tc>
        <w:tc>
          <w:tcPr>
            <w:tcW w:w="1077" w:type="dxa"/>
            <w:vAlign w:val="center"/>
          </w:tcPr>
          <w:p>
            <w:pPr>
              <w:spacing w:line="380" w:lineRule="exact"/>
              <w:ind w:left="40" w:leftChars="19"/>
              <w:jc w:val="left"/>
              <w:rPr>
                <w:rFonts w:ascii="仿宋" w:hAnsi="仿宋" w:eastAsia="仿宋" w:cs="仿宋"/>
                <w:color w:val="auto"/>
                <w:szCs w:val="21"/>
                <w:highlight w:val="none"/>
              </w:rPr>
            </w:pPr>
          </w:p>
        </w:tc>
        <w:tc>
          <w:tcPr>
            <w:tcW w:w="3651" w:type="dxa"/>
          </w:tcPr>
          <w:p>
            <w:pPr>
              <w:spacing w:line="380" w:lineRule="exact"/>
              <w:ind w:left="40" w:leftChars="19"/>
              <w:jc w:val="left"/>
              <w:rPr>
                <w:rFonts w:ascii="仿宋" w:hAnsi="仿宋" w:eastAsia="仿宋" w:cs="仿宋"/>
                <w:color w:val="auto"/>
                <w:szCs w:val="21"/>
                <w:highlight w:val="none"/>
              </w:rPr>
            </w:pPr>
          </w:p>
        </w:tc>
        <w:tc>
          <w:tcPr>
            <w:tcW w:w="736" w:type="dxa"/>
            <w:vAlign w:val="center"/>
          </w:tcPr>
          <w:p>
            <w:pPr>
              <w:spacing w:line="380" w:lineRule="exact"/>
              <w:ind w:left="40" w:leftChars="19"/>
              <w:jc w:val="left"/>
              <w:rPr>
                <w:rFonts w:ascii="仿宋" w:hAnsi="仿宋" w:eastAsia="仿宋" w:cs="仿宋"/>
                <w:color w:val="auto"/>
                <w:szCs w:val="21"/>
                <w:highlight w:val="none"/>
                <w:lang w:val="zh-CN"/>
              </w:rPr>
            </w:pPr>
          </w:p>
        </w:tc>
        <w:tc>
          <w:tcPr>
            <w:tcW w:w="1430" w:type="dxa"/>
            <w:vAlign w:val="center"/>
          </w:tcPr>
          <w:p>
            <w:pPr>
              <w:spacing w:line="380" w:lineRule="exact"/>
              <w:ind w:left="40" w:leftChars="19"/>
              <w:jc w:val="left"/>
              <w:rPr>
                <w:rFonts w:ascii="仿宋" w:hAnsi="仿宋" w:eastAsia="仿宋" w:cs="仿宋"/>
                <w:color w:val="auto"/>
                <w:szCs w:val="21"/>
                <w:highlight w:val="none"/>
                <w:lang w:val="zh-CN"/>
              </w:rPr>
            </w:pPr>
          </w:p>
        </w:tc>
        <w:tc>
          <w:tcPr>
            <w:tcW w:w="1030" w:type="dxa"/>
            <w:vAlign w:val="center"/>
          </w:tcPr>
          <w:p>
            <w:pPr>
              <w:spacing w:line="380" w:lineRule="exact"/>
              <w:ind w:left="40" w:leftChars="19"/>
              <w:jc w:val="left"/>
              <w:rPr>
                <w:rFonts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vAlign w:val="center"/>
          </w:tcPr>
          <w:p>
            <w:pPr>
              <w:rPr>
                <w:rFonts w:ascii="仿宋" w:hAnsi="仿宋" w:eastAsia="仿宋" w:cs="仿宋"/>
                <w:color w:val="auto"/>
                <w:szCs w:val="21"/>
                <w:highlight w:val="none"/>
              </w:rPr>
            </w:pPr>
          </w:p>
        </w:tc>
        <w:tc>
          <w:tcPr>
            <w:tcW w:w="1077" w:type="dxa"/>
            <w:vAlign w:val="center"/>
          </w:tcPr>
          <w:p>
            <w:pPr>
              <w:jc w:val="center"/>
              <w:rPr>
                <w:rFonts w:ascii="仿宋" w:hAnsi="仿宋" w:eastAsia="仿宋" w:cs="仿宋"/>
                <w:color w:val="auto"/>
                <w:szCs w:val="21"/>
                <w:highlight w:val="none"/>
              </w:rPr>
            </w:pPr>
          </w:p>
        </w:tc>
        <w:tc>
          <w:tcPr>
            <w:tcW w:w="3651" w:type="dxa"/>
          </w:tcPr>
          <w:p>
            <w:pPr>
              <w:jc w:val="left"/>
              <w:rPr>
                <w:rFonts w:ascii="仿宋" w:hAnsi="仿宋" w:eastAsia="仿宋" w:cs="仿宋"/>
                <w:color w:val="auto"/>
                <w:szCs w:val="21"/>
                <w:highlight w:val="none"/>
              </w:rPr>
            </w:pPr>
          </w:p>
        </w:tc>
        <w:tc>
          <w:tcPr>
            <w:tcW w:w="736" w:type="dxa"/>
          </w:tcPr>
          <w:p>
            <w:pPr>
              <w:rPr>
                <w:rFonts w:ascii="仿宋" w:hAnsi="仿宋" w:eastAsia="仿宋" w:cs="仿宋"/>
                <w:color w:val="auto"/>
                <w:szCs w:val="21"/>
                <w:highlight w:val="none"/>
              </w:rPr>
            </w:pPr>
          </w:p>
        </w:tc>
        <w:tc>
          <w:tcPr>
            <w:tcW w:w="1430" w:type="dxa"/>
          </w:tcPr>
          <w:p>
            <w:pPr>
              <w:rPr>
                <w:rFonts w:ascii="仿宋" w:hAnsi="仿宋" w:eastAsia="仿宋" w:cs="仿宋"/>
                <w:color w:val="auto"/>
                <w:szCs w:val="21"/>
                <w:highlight w:val="none"/>
              </w:rPr>
            </w:pPr>
          </w:p>
        </w:tc>
        <w:tc>
          <w:tcPr>
            <w:tcW w:w="1030" w:type="dxa"/>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rPr>
                <w:rFonts w:ascii="仿宋" w:hAnsi="仿宋" w:eastAsia="仿宋" w:cs="仿宋"/>
                <w:color w:val="auto"/>
                <w:szCs w:val="21"/>
                <w:highlight w:val="none"/>
              </w:rPr>
            </w:pPr>
          </w:p>
        </w:tc>
        <w:tc>
          <w:tcPr>
            <w:tcW w:w="1077" w:type="dxa"/>
            <w:vAlign w:val="center"/>
          </w:tcPr>
          <w:p>
            <w:pPr>
              <w:jc w:val="center"/>
              <w:rPr>
                <w:rFonts w:ascii="仿宋" w:hAnsi="仿宋" w:eastAsia="仿宋" w:cs="仿宋"/>
                <w:b/>
                <w:bCs/>
                <w:color w:val="auto"/>
                <w:kern w:val="0"/>
                <w:sz w:val="22"/>
                <w:szCs w:val="22"/>
                <w:highlight w:val="none"/>
              </w:rPr>
            </w:pPr>
          </w:p>
        </w:tc>
        <w:tc>
          <w:tcPr>
            <w:tcW w:w="3651" w:type="dxa"/>
          </w:tcPr>
          <w:p>
            <w:pPr>
              <w:jc w:val="center"/>
              <w:rPr>
                <w:rFonts w:ascii="仿宋" w:hAnsi="仿宋" w:eastAsia="仿宋" w:cs="仿宋"/>
                <w:b/>
                <w:bCs/>
                <w:color w:val="auto"/>
                <w:kern w:val="0"/>
                <w:sz w:val="22"/>
                <w:szCs w:val="22"/>
                <w:highlight w:val="none"/>
              </w:rPr>
            </w:pPr>
          </w:p>
        </w:tc>
        <w:tc>
          <w:tcPr>
            <w:tcW w:w="736" w:type="dxa"/>
          </w:tcPr>
          <w:p>
            <w:pPr>
              <w:rPr>
                <w:rFonts w:ascii="仿宋" w:hAnsi="仿宋" w:eastAsia="仿宋" w:cs="仿宋"/>
                <w:color w:val="auto"/>
                <w:szCs w:val="21"/>
                <w:highlight w:val="none"/>
              </w:rPr>
            </w:pPr>
          </w:p>
        </w:tc>
        <w:tc>
          <w:tcPr>
            <w:tcW w:w="1430" w:type="dxa"/>
          </w:tcPr>
          <w:p>
            <w:pPr>
              <w:rPr>
                <w:rFonts w:ascii="仿宋" w:hAnsi="仿宋" w:eastAsia="仿宋" w:cs="仿宋"/>
                <w:color w:val="auto"/>
                <w:szCs w:val="21"/>
                <w:highlight w:val="none"/>
              </w:rPr>
            </w:pPr>
          </w:p>
        </w:tc>
        <w:tc>
          <w:tcPr>
            <w:tcW w:w="1030" w:type="dxa"/>
          </w:tcPr>
          <w:p>
            <w:pPr>
              <w:rPr>
                <w:rFonts w:ascii="仿宋" w:hAnsi="仿宋" w:eastAsia="仿宋" w:cs="仿宋"/>
                <w:color w:val="auto"/>
                <w:szCs w:val="21"/>
                <w:highlight w:val="none"/>
              </w:rPr>
            </w:pPr>
          </w:p>
        </w:tc>
      </w:tr>
    </w:tbl>
    <w:p>
      <w:pPr>
        <w:adjustRightInd w:val="0"/>
        <w:snapToGrid w:val="0"/>
        <w:spacing w:line="300" w:lineRule="auto"/>
        <w:rPr>
          <w:rFonts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ascii="仿宋" w:hAnsi="仿宋" w:eastAsia="仿宋" w:cs="仿宋"/>
          <w:color w:val="auto"/>
          <w:sz w:val="24"/>
          <w:highlight w:val="none"/>
        </w:rPr>
      </w:pPr>
    </w:p>
    <w:p>
      <w:pPr>
        <w:pStyle w:val="3"/>
        <w:spacing w:before="0" w:after="0"/>
        <w:jc w:val="left"/>
        <w:rPr>
          <w:rFonts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110"/>
        <w:gridCol w:w="1186"/>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10"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186"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完全理解并接受合同条款要求</w:t>
            </w:r>
          </w:p>
        </w:tc>
        <w:tc>
          <w:tcPr>
            <w:tcW w:w="1186"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22" w:type="dxa"/>
            <w:vAlign w:val="center"/>
          </w:tcPr>
          <w:p>
            <w:pPr>
              <w:jc w:val="center"/>
              <w:rPr>
                <w:rFonts w:ascii="仿宋" w:hAnsi="仿宋" w:eastAsia="仿宋" w:cs="仿宋"/>
                <w:color w:val="auto"/>
                <w:szCs w:val="21"/>
                <w:highlight w:val="none"/>
              </w:rPr>
            </w:pPr>
          </w:p>
        </w:tc>
        <w:tc>
          <w:tcPr>
            <w:tcW w:w="1391"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完全理解并接受对合格响应供应商、合格的货物、工程和服务要求</w:t>
            </w:r>
          </w:p>
        </w:tc>
        <w:tc>
          <w:tcPr>
            <w:tcW w:w="1186"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22" w:type="dxa"/>
            <w:vAlign w:val="center"/>
          </w:tcPr>
          <w:p>
            <w:pPr>
              <w:jc w:val="center"/>
              <w:rPr>
                <w:rFonts w:ascii="仿宋" w:hAnsi="仿宋" w:eastAsia="仿宋" w:cs="仿宋"/>
                <w:color w:val="auto"/>
                <w:szCs w:val="21"/>
                <w:highlight w:val="none"/>
              </w:rPr>
            </w:pPr>
          </w:p>
        </w:tc>
        <w:tc>
          <w:tcPr>
            <w:tcW w:w="1391"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完全理解并接受对响应供应商的各项须知、规约要求和责任义务</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4</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响应有效期：响应有效期为自递交响应文件起至确定正式成交人止不少于90 天，成交单位有效期至项目验收之日</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同意接受合同范本所列述的各项条款</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同意采购方以任何形式对我方响应文件内容的真实性和有效性进行审查、验证</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温度2℃-8℃的制冷机组</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全密闭的彩钢板材质冷藏库</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冷链监测报警系统</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rPr>
              <w:t>安装要求：配合医院冷库安装的进度安排，确保后期正常的供冷需求；</w:t>
            </w:r>
            <w:r>
              <w:rPr>
                <w:rFonts w:hint="eastAsia" w:ascii="仿宋" w:hAnsi="仿宋" w:eastAsia="仿宋" w:cs="仿宋"/>
                <w:color w:val="auto"/>
                <w:sz w:val="24"/>
                <w:highlight w:val="none"/>
                <w:lang w:val="zh-CN"/>
              </w:rPr>
              <w:t>严格遵守</w:t>
            </w:r>
            <w:r>
              <w:rPr>
                <w:rFonts w:hint="eastAsia" w:ascii="仿宋" w:hAnsi="仿宋" w:eastAsia="仿宋" w:cs="仿宋"/>
                <w:color w:val="auto"/>
                <w:sz w:val="24"/>
                <w:highlight w:val="none"/>
              </w:rPr>
              <w:t>有关</w:t>
            </w:r>
            <w:r>
              <w:rPr>
                <w:rFonts w:hint="eastAsia" w:ascii="仿宋" w:hAnsi="仿宋" w:eastAsia="仿宋" w:cs="仿宋"/>
                <w:color w:val="auto"/>
                <w:sz w:val="24"/>
                <w:highlight w:val="none"/>
                <w:lang w:val="zh-CN"/>
              </w:rPr>
              <w:t>安全规定，制定安全措施，保证设备及建筑物内人员的安全，并保护好环境；遵守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规章制度、遵守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保密规定；服务态度好，职业道德好。</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1.服务要求</w:t>
            </w:r>
          </w:p>
          <w:p>
            <w:pPr>
              <w:rPr>
                <w:rFonts w:ascii="仿宋" w:hAnsi="仿宋" w:eastAsia="仿宋" w:cs="仿宋"/>
                <w:color w:val="auto"/>
                <w:sz w:val="24"/>
                <w:highlight w:val="none"/>
              </w:rPr>
            </w:pPr>
            <w:r>
              <w:rPr>
                <w:rFonts w:hint="eastAsia" w:ascii="仿宋" w:hAnsi="仿宋" w:eastAsia="仿宋" w:cs="仿宋"/>
                <w:color w:val="auto"/>
                <w:sz w:val="24"/>
                <w:highlight w:val="none"/>
              </w:rPr>
              <w:t>（1）安装期限：签订合同，收预付款后15个工作日全部完成并交付。</w:t>
            </w:r>
          </w:p>
          <w:p>
            <w:pPr>
              <w:rPr>
                <w:rFonts w:ascii="仿宋" w:hAnsi="仿宋" w:eastAsia="仿宋" w:cs="仿宋"/>
                <w:color w:val="auto"/>
                <w:sz w:val="24"/>
                <w:highlight w:val="none"/>
              </w:rPr>
            </w:pPr>
            <w:r>
              <w:rPr>
                <w:rFonts w:hint="eastAsia" w:ascii="仿宋" w:hAnsi="仿宋" w:eastAsia="仿宋" w:cs="仿宋"/>
                <w:color w:val="auto"/>
                <w:sz w:val="24"/>
                <w:highlight w:val="none"/>
              </w:rPr>
              <w:t>（2）安装地点：采购人指定地点。</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报价方式：总价报价。</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付款及结算方式：</w:t>
            </w:r>
          </w:p>
          <w:p>
            <w:pPr>
              <w:rPr>
                <w:rFonts w:ascii="仿宋" w:hAnsi="仿宋" w:eastAsia="仿宋" w:cs="仿宋"/>
                <w:color w:val="auto"/>
                <w:sz w:val="24"/>
                <w:highlight w:val="none"/>
              </w:rPr>
            </w:pPr>
            <w:r>
              <w:rPr>
                <w:rFonts w:hint="eastAsia" w:ascii="仿宋" w:hAnsi="仿宋" w:eastAsia="仿宋" w:cs="仿宋"/>
                <w:color w:val="auto"/>
                <w:sz w:val="24"/>
                <w:highlight w:val="none"/>
              </w:rPr>
              <w:t>（1）合同签订生效后1个月内，采购人向成交供应商支付合同总额的30%预付款（第一笔）；</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（2）项目验收合格当天计算1个月内，采购人向成交供应商支付合同总额的70（第二笔）%； </w:t>
            </w:r>
          </w:p>
          <w:p>
            <w:pPr>
              <w:rPr>
                <w:rFonts w:ascii="仿宋" w:hAnsi="仿宋" w:eastAsia="仿宋" w:cs="仿宋"/>
                <w:color w:val="auto"/>
                <w:sz w:val="24"/>
                <w:highlight w:val="none"/>
              </w:rPr>
            </w:pPr>
            <w:r>
              <w:rPr>
                <w:rFonts w:hint="eastAsia" w:ascii="仿宋" w:hAnsi="仿宋" w:eastAsia="仿宋" w:cs="仿宋"/>
                <w:color w:val="auto"/>
                <w:sz w:val="24"/>
                <w:highlight w:val="none"/>
              </w:rPr>
              <w:t>（3）采购人通过银行转账的方式支付给中标人，且成交供应商应向采购人出具合法有效完整的完税发票及凭证进行支付结算。</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4110" w:type="dxa"/>
            <w:vAlign w:val="center"/>
          </w:tcPr>
          <w:p>
            <w:pPr>
              <w:rPr>
                <w:rFonts w:ascii="仿宋" w:hAnsi="仿宋" w:eastAsia="仿宋" w:cs="仿宋"/>
                <w:color w:val="auto"/>
                <w:sz w:val="24"/>
                <w:highlight w:val="none"/>
                <w:lang w:val="zh-CN"/>
              </w:rPr>
            </w:pPr>
            <w:r>
              <w:rPr>
                <w:rFonts w:hint="eastAsia" w:ascii="仿宋" w:hAnsi="仿宋" w:eastAsia="仿宋" w:cs="仿宋"/>
                <w:color w:val="auto"/>
                <w:sz w:val="24"/>
                <w:highlight w:val="none"/>
              </w:rPr>
              <w:t>维保期限：本项目所涉及到的所有货物（含系统）提供为期一年质保。成交供应商在质保期内提供货物三包以及,上门提供相应服务。质保期内非人为原因损坏的货物应无偿更换、修复。</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rPr>
              <w:t>维保要求：由于系统本身设备出现的问题,成交供应商提供远程技术支持,确实无法远程辅导解决的,则成交供应商在接到采购人通知的2小时做出响应,48 小时内到达现场,72小时内维修完毕,不能在规定时间内修好的,须在72小时内提供备品(机)备件,确保采购人正常使用。硬件质保期满后货物的维修、部件更换只收取材料成本费用。提供软件终生升级、维护服务，费用由成交供应商负责</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rPr>
              <w:t>验收方式：由项目归口部门牵头组织验收小组对照项目内容要求进行验收，检查设备设施功能的完整性，各项功能运行。验收标准：根据采购人冷库安装要求，实现冷库正常运行</w:t>
            </w:r>
            <w:r>
              <w:rPr>
                <w:rFonts w:hint="eastAsia"/>
                <w:color w:val="auto"/>
                <w:highlight w:val="none"/>
              </w:rPr>
              <w:t>。</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lang w:val="zh-CN"/>
              </w:rPr>
              <w:t>其他要求：</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需按时间要求，合理组织，因</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原因延误交付时间，每延迟一天扣罚人民币2000元。项目确因不可抗力需要延期的，双方应通过友好协商尽快解决。</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49" w:type="dxa"/>
            <w:vAlign w:val="center"/>
          </w:tcPr>
          <w:p>
            <w:pPr>
              <w:jc w:val="center"/>
              <w:rPr>
                <w:rFonts w:ascii="仿宋" w:hAnsi="仿宋" w:eastAsia="仿宋" w:cs="仿宋"/>
                <w:color w:val="auto"/>
                <w:szCs w:val="21"/>
                <w:highlight w:val="none"/>
              </w:rPr>
            </w:pPr>
          </w:p>
        </w:tc>
        <w:tc>
          <w:tcPr>
            <w:tcW w:w="6618" w:type="dxa"/>
            <w:gridSpan w:val="3"/>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vAlign w:val="center"/>
          </w:tcPr>
          <w:p>
            <w:pPr>
              <w:rPr>
                <w:rFonts w:ascii="仿宋" w:hAnsi="仿宋" w:eastAsia="仿宋" w:cs="仿宋"/>
                <w:color w:val="auto"/>
                <w:szCs w:val="21"/>
                <w:highlight w:val="none"/>
              </w:rPr>
            </w:pPr>
          </w:p>
        </w:tc>
      </w:tr>
    </w:tbl>
    <w:p>
      <w:pPr>
        <w:rPr>
          <w:rFonts w:ascii="仿宋" w:hAnsi="仿宋" w:eastAsia="仿宋" w:cs="仿宋"/>
          <w:color w:val="auto"/>
          <w:sz w:val="24"/>
          <w:highlight w:val="none"/>
        </w:rPr>
      </w:pPr>
    </w:p>
    <w:p>
      <w:pPr>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ascii="仿宋" w:hAnsi="仿宋" w:eastAsia="仿宋" w:cs="仿宋"/>
          <w:color w:val="auto"/>
          <w:szCs w:val="21"/>
          <w:highlight w:val="none"/>
          <w:lang w:val="en-GB"/>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1" w:name="_Toc202251702"/>
      <w:bookmarkStart w:id="32" w:name="_Toc202254107"/>
      <w:bookmarkStart w:id="33" w:name="_Toc202252036"/>
      <w:bookmarkStart w:id="34" w:name="_Toc202251077"/>
      <w:bookmarkStart w:id="35" w:name="_Toc202816998"/>
      <w:bookmarkStart w:id="36" w:name="_Toc202819880"/>
      <w:bookmarkStart w:id="37" w:name="_Toc202820353"/>
      <w:r>
        <w:rPr>
          <w:rFonts w:hint="eastAsia"/>
          <w:color w:val="auto"/>
          <w:highlight w:val="none"/>
        </w:rPr>
        <w:br w:type="page"/>
      </w:r>
      <w:r>
        <w:rPr>
          <w:rFonts w:hint="eastAsia" w:ascii="仿宋" w:hAnsi="仿宋" w:eastAsia="仿宋" w:cs="仿宋"/>
          <w:color w:val="auto"/>
          <w:sz w:val="24"/>
          <w:highlight w:val="none"/>
        </w:rPr>
        <w:t>5 服务部分</w:t>
      </w:r>
      <w:bookmarkEnd w:id="31"/>
      <w:bookmarkEnd w:id="32"/>
      <w:bookmarkEnd w:id="33"/>
      <w:bookmarkEnd w:id="34"/>
      <w:bookmarkEnd w:id="35"/>
      <w:bookmarkEnd w:id="36"/>
      <w:bookmarkEnd w:id="37"/>
    </w:p>
    <w:p>
      <w:pPr>
        <w:pStyle w:val="7"/>
        <w:adjustRightInd w:val="0"/>
        <w:snapToGrid w:val="0"/>
        <w:spacing w:line="44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8" w:name="_Hlk76398443"/>
      <w:r>
        <w:rPr>
          <w:rFonts w:hint="eastAsia" w:ascii="仿宋" w:hAnsi="仿宋" w:eastAsia="仿宋" w:cs="仿宋"/>
          <w:b/>
          <w:color w:val="auto"/>
          <w:sz w:val="24"/>
          <w:highlight w:val="none"/>
        </w:rPr>
        <w:t>服务要求</w:t>
      </w:r>
      <w:bookmarkEnd w:id="38"/>
      <w:r>
        <w:rPr>
          <w:rFonts w:hint="eastAsia" w:ascii="仿宋" w:hAnsi="仿宋" w:eastAsia="仿宋" w:cs="仿宋"/>
          <w:b/>
          <w:color w:val="auto"/>
          <w:sz w:val="24"/>
          <w:highlight w:val="none"/>
        </w:rPr>
        <w:t>响应表（单页填写）</w:t>
      </w:r>
    </w:p>
    <w:p>
      <w:pPr>
        <w:pStyle w:val="7"/>
        <w:adjustRightInd w:val="0"/>
        <w:snapToGrid w:val="0"/>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1"/>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tcPr>
          <w:p>
            <w:pPr>
              <w:ind w:firstLine="3120" w:firstLineChars="1300"/>
              <w:rPr>
                <w:rFonts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服务要求</w:t>
            </w:r>
          </w:p>
        </w:tc>
        <w:tc>
          <w:tcPr>
            <w:tcW w:w="170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42" w:type="dxa"/>
            <w:vAlign w:val="center"/>
          </w:tcPr>
          <w:p>
            <w:pPr>
              <w:spacing w:line="380" w:lineRule="exact"/>
              <w:ind w:left="40" w:leftChars="19"/>
              <w:jc w:val="center"/>
              <w:rPr>
                <w:rFonts w:ascii="仿宋" w:hAnsi="仿宋" w:eastAsia="仿宋" w:cs="仿宋"/>
                <w:color w:val="auto"/>
                <w:szCs w:val="21"/>
                <w:highlight w:val="none"/>
              </w:rPr>
            </w:pPr>
          </w:p>
        </w:tc>
        <w:tc>
          <w:tcPr>
            <w:tcW w:w="1241" w:type="dxa"/>
            <w:vAlign w:val="center"/>
          </w:tcPr>
          <w:p>
            <w:pPr>
              <w:spacing w:line="380" w:lineRule="exact"/>
              <w:ind w:left="40" w:leftChars="19"/>
              <w:jc w:val="left"/>
              <w:rPr>
                <w:rFonts w:ascii="仿宋" w:hAnsi="仿宋" w:eastAsia="仿宋" w:cs="仿宋"/>
                <w:color w:val="auto"/>
                <w:szCs w:val="21"/>
                <w:highlight w:val="none"/>
              </w:rPr>
            </w:pPr>
          </w:p>
        </w:tc>
        <w:tc>
          <w:tcPr>
            <w:tcW w:w="1897" w:type="dxa"/>
            <w:vAlign w:val="center"/>
          </w:tcPr>
          <w:p>
            <w:pPr>
              <w:spacing w:line="380" w:lineRule="exact"/>
              <w:ind w:left="40" w:leftChars="19"/>
              <w:jc w:val="left"/>
              <w:rPr>
                <w:rFonts w:ascii="仿宋" w:hAnsi="仿宋" w:eastAsia="仿宋" w:cs="仿宋"/>
                <w:color w:val="auto"/>
                <w:szCs w:val="21"/>
                <w:highlight w:val="none"/>
              </w:rPr>
            </w:pPr>
          </w:p>
        </w:tc>
        <w:tc>
          <w:tcPr>
            <w:tcW w:w="1701" w:type="dxa"/>
          </w:tcPr>
          <w:p>
            <w:pPr>
              <w:spacing w:line="380" w:lineRule="exact"/>
              <w:ind w:left="40" w:leftChars="19"/>
              <w:jc w:val="left"/>
              <w:rPr>
                <w:rFonts w:ascii="仿宋" w:hAnsi="仿宋" w:eastAsia="仿宋" w:cs="仿宋"/>
                <w:color w:val="auto"/>
                <w:szCs w:val="21"/>
                <w:highlight w:val="none"/>
                <w:lang w:val="zh-CN"/>
              </w:rPr>
            </w:pPr>
          </w:p>
        </w:tc>
        <w:tc>
          <w:tcPr>
            <w:tcW w:w="871" w:type="dxa"/>
          </w:tcPr>
          <w:p>
            <w:pPr>
              <w:spacing w:line="380" w:lineRule="exact"/>
              <w:ind w:left="40" w:leftChars="19"/>
              <w:jc w:val="left"/>
              <w:rPr>
                <w:rFonts w:ascii="仿宋" w:hAnsi="仿宋" w:eastAsia="仿宋" w:cs="仿宋"/>
                <w:color w:val="auto"/>
                <w:szCs w:val="21"/>
                <w:highlight w:val="none"/>
                <w:lang w:val="zh-CN"/>
              </w:rPr>
            </w:pPr>
          </w:p>
        </w:tc>
        <w:tc>
          <w:tcPr>
            <w:tcW w:w="912" w:type="dxa"/>
          </w:tcPr>
          <w:p>
            <w:pPr>
              <w:spacing w:line="380" w:lineRule="exact"/>
              <w:ind w:left="40" w:leftChars="19"/>
              <w:jc w:val="left"/>
              <w:rPr>
                <w:rFonts w:ascii="仿宋" w:hAnsi="仿宋" w:eastAsia="仿宋" w:cs="仿宋"/>
                <w:color w:val="auto"/>
                <w:szCs w:val="21"/>
                <w:highlight w:val="none"/>
                <w:lang w:val="zh-CN"/>
              </w:rPr>
            </w:pPr>
          </w:p>
        </w:tc>
        <w:tc>
          <w:tcPr>
            <w:tcW w:w="775" w:type="dxa"/>
          </w:tcPr>
          <w:p>
            <w:pPr>
              <w:spacing w:line="380" w:lineRule="exact"/>
              <w:ind w:left="40" w:leftChars="19"/>
              <w:jc w:val="left"/>
              <w:rPr>
                <w:rFonts w:ascii="仿宋" w:hAnsi="仿宋" w:eastAsia="仿宋" w:cs="仿宋"/>
                <w:color w:val="auto"/>
                <w:szCs w:val="21"/>
                <w:highlight w:val="none"/>
                <w:lang w:val="zh-CN"/>
              </w:rPr>
            </w:pPr>
          </w:p>
        </w:tc>
        <w:tc>
          <w:tcPr>
            <w:tcW w:w="1141" w:type="dxa"/>
          </w:tcPr>
          <w:p>
            <w:pPr>
              <w:spacing w:line="380" w:lineRule="exact"/>
              <w:ind w:left="40" w:leftChars="19"/>
              <w:jc w:val="left"/>
              <w:rPr>
                <w:rFonts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2" w:type="dxa"/>
            <w:vAlign w:val="center"/>
          </w:tcPr>
          <w:p>
            <w:pPr>
              <w:spacing w:line="380" w:lineRule="exact"/>
              <w:ind w:left="40" w:leftChars="19"/>
              <w:jc w:val="center"/>
              <w:rPr>
                <w:rFonts w:ascii="仿宋" w:hAnsi="仿宋" w:eastAsia="仿宋" w:cs="仿宋"/>
                <w:color w:val="auto"/>
                <w:szCs w:val="21"/>
                <w:highlight w:val="none"/>
              </w:rPr>
            </w:pPr>
          </w:p>
        </w:tc>
        <w:tc>
          <w:tcPr>
            <w:tcW w:w="1241" w:type="dxa"/>
            <w:vAlign w:val="center"/>
          </w:tcPr>
          <w:p>
            <w:pPr>
              <w:spacing w:line="380" w:lineRule="exact"/>
              <w:ind w:left="40" w:leftChars="19"/>
              <w:jc w:val="left"/>
              <w:rPr>
                <w:rFonts w:ascii="仿宋" w:hAnsi="仿宋" w:eastAsia="仿宋" w:cs="仿宋"/>
                <w:color w:val="auto"/>
                <w:szCs w:val="21"/>
                <w:highlight w:val="none"/>
              </w:rPr>
            </w:pPr>
          </w:p>
        </w:tc>
        <w:tc>
          <w:tcPr>
            <w:tcW w:w="1897" w:type="dxa"/>
          </w:tcPr>
          <w:p>
            <w:pPr>
              <w:spacing w:line="380" w:lineRule="exact"/>
              <w:ind w:left="40" w:leftChars="19"/>
              <w:jc w:val="left"/>
              <w:rPr>
                <w:rFonts w:ascii="仿宋" w:hAnsi="仿宋" w:eastAsia="仿宋" w:cs="仿宋"/>
                <w:color w:val="auto"/>
                <w:szCs w:val="21"/>
                <w:highlight w:val="none"/>
              </w:rPr>
            </w:pPr>
          </w:p>
        </w:tc>
        <w:tc>
          <w:tcPr>
            <w:tcW w:w="1701" w:type="dxa"/>
          </w:tcPr>
          <w:p>
            <w:pPr>
              <w:spacing w:line="380" w:lineRule="exact"/>
              <w:ind w:left="40" w:leftChars="19"/>
              <w:jc w:val="left"/>
              <w:rPr>
                <w:rFonts w:ascii="仿宋" w:hAnsi="仿宋" w:eastAsia="仿宋" w:cs="仿宋"/>
                <w:color w:val="auto"/>
                <w:szCs w:val="21"/>
                <w:highlight w:val="none"/>
                <w:lang w:val="zh-CN"/>
              </w:rPr>
            </w:pPr>
          </w:p>
        </w:tc>
        <w:tc>
          <w:tcPr>
            <w:tcW w:w="871" w:type="dxa"/>
          </w:tcPr>
          <w:p>
            <w:pPr>
              <w:spacing w:line="380" w:lineRule="exact"/>
              <w:ind w:left="40" w:leftChars="19"/>
              <w:jc w:val="left"/>
              <w:rPr>
                <w:rFonts w:ascii="仿宋" w:hAnsi="仿宋" w:eastAsia="仿宋" w:cs="仿宋"/>
                <w:color w:val="auto"/>
                <w:szCs w:val="21"/>
                <w:highlight w:val="none"/>
                <w:lang w:val="zh-CN"/>
              </w:rPr>
            </w:pPr>
          </w:p>
        </w:tc>
        <w:tc>
          <w:tcPr>
            <w:tcW w:w="912" w:type="dxa"/>
          </w:tcPr>
          <w:p>
            <w:pPr>
              <w:spacing w:line="380" w:lineRule="exact"/>
              <w:ind w:left="40" w:leftChars="19"/>
              <w:jc w:val="left"/>
              <w:rPr>
                <w:rFonts w:ascii="仿宋" w:hAnsi="仿宋" w:eastAsia="仿宋" w:cs="仿宋"/>
                <w:color w:val="auto"/>
                <w:szCs w:val="21"/>
                <w:highlight w:val="none"/>
                <w:lang w:val="zh-CN"/>
              </w:rPr>
            </w:pPr>
          </w:p>
        </w:tc>
        <w:tc>
          <w:tcPr>
            <w:tcW w:w="775" w:type="dxa"/>
          </w:tcPr>
          <w:p>
            <w:pPr>
              <w:spacing w:line="380" w:lineRule="exact"/>
              <w:ind w:left="40" w:leftChars="19"/>
              <w:jc w:val="left"/>
              <w:rPr>
                <w:rFonts w:ascii="仿宋" w:hAnsi="仿宋" w:eastAsia="仿宋" w:cs="仿宋"/>
                <w:color w:val="auto"/>
                <w:szCs w:val="21"/>
                <w:highlight w:val="none"/>
                <w:lang w:val="zh-CN"/>
              </w:rPr>
            </w:pPr>
          </w:p>
        </w:tc>
        <w:tc>
          <w:tcPr>
            <w:tcW w:w="1141" w:type="dxa"/>
          </w:tcPr>
          <w:p>
            <w:pPr>
              <w:spacing w:line="380" w:lineRule="exact"/>
              <w:ind w:left="40" w:leftChars="19"/>
              <w:jc w:val="left"/>
              <w:rPr>
                <w:rFonts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tcPr>
          <w:p>
            <w:pPr>
              <w:spacing w:line="20" w:lineRule="atLeast"/>
              <w:rPr>
                <w:rFonts w:ascii="仿宋" w:hAnsi="仿宋" w:eastAsia="仿宋" w:cs="仿宋"/>
                <w:color w:val="auto"/>
                <w:sz w:val="24"/>
                <w:highlight w:val="none"/>
              </w:rPr>
            </w:pPr>
          </w:p>
        </w:tc>
        <w:tc>
          <w:tcPr>
            <w:tcW w:w="1241" w:type="dxa"/>
          </w:tcPr>
          <w:p>
            <w:pPr>
              <w:spacing w:line="20" w:lineRule="atLeast"/>
              <w:rPr>
                <w:rFonts w:ascii="仿宋" w:hAnsi="仿宋" w:eastAsia="仿宋" w:cs="仿宋"/>
                <w:color w:val="auto"/>
                <w:sz w:val="24"/>
                <w:highlight w:val="none"/>
              </w:rPr>
            </w:pPr>
          </w:p>
        </w:tc>
        <w:tc>
          <w:tcPr>
            <w:tcW w:w="1897" w:type="dxa"/>
          </w:tcPr>
          <w:p>
            <w:pPr>
              <w:spacing w:line="20" w:lineRule="atLeast"/>
              <w:rPr>
                <w:rFonts w:ascii="仿宋" w:hAnsi="仿宋" w:eastAsia="仿宋" w:cs="仿宋"/>
                <w:color w:val="auto"/>
                <w:sz w:val="24"/>
                <w:highlight w:val="none"/>
              </w:rPr>
            </w:pPr>
          </w:p>
        </w:tc>
        <w:tc>
          <w:tcPr>
            <w:tcW w:w="1701" w:type="dxa"/>
          </w:tcPr>
          <w:p>
            <w:pPr>
              <w:spacing w:line="20" w:lineRule="atLeast"/>
              <w:rPr>
                <w:rFonts w:ascii="仿宋" w:hAnsi="仿宋" w:eastAsia="仿宋" w:cs="仿宋"/>
                <w:color w:val="auto"/>
                <w:sz w:val="24"/>
                <w:highlight w:val="none"/>
              </w:rPr>
            </w:pPr>
          </w:p>
        </w:tc>
        <w:tc>
          <w:tcPr>
            <w:tcW w:w="871" w:type="dxa"/>
          </w:tcPr>
          <w:p>
            <w:pPr>
              <w:spacing w:line="20" w:lineRule="atLeast"/>
              <w:rPr>
                <w:rFonts w:ascii="仿宋" w:hAnsi="仿宋" w:eastAsia="仿宋" w:cs="仿宋"/>
                <w:color w:val="auto"/>
                <w:sz w:val="24"/>
                <w:highlight w:val="none"/>
              </w:rPr>
            </w:pPr>
          </w:p>
        </w:tc>
        <w:tc>
          <w:tcPr>
            <w:tcW w:w="912" w:type="dxa"/>
          </w:tcPr>
          <w:p>
            <w:pPr>
              <w:spacing w:line="20" w:lineRule="atLeast"/>
              <w:rPr>
                <w:rFonts w:ascii="仿宋" w:hAnsi="仿宋" w:eastAsia="仿宋" w:cs="仿宋"/>
                <w:color w:val="auto"/>
                <w:sz w:val="24"/>
                <w:highlight w:val="none"/>
              </w:rPr>
            </w:pPr>
          </w:p>
        </w:tc>
        <w:tc>
          <w:tcPr>
            <w:tcW w:w="775" w:type="dxa"/>
          </w:tcPr>
          <w:p>
            <w:pPr>
              <w:spacing w:line="20" w:lineRule="atLeast"/>
              <w:rPr>
                <w:rFonts w:ascii="仿宋" w:hAnsi="仿宋" w:eastAsia="仿宋" w:cs="仿宋"/>
                <w:color w:val="auto"/>
                <w:sz w:val="24"/>
                <w:highlight w:val="none"/>
              </w:rPr>
            </w:pPr>
          </w:p>
        </w:tc>
        <w:tc>
          <w:tcPr>
            <w:tcW w:w="1141"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tcPr>
          <w:p>
            <w:pPr>
              <w:spacing w:line="20" w:lineRule="atLeast"/>
              <w:rPr>
                <w:rFonts w:ascii="仿宋" w:hAnsi="仿宋" w:eastAsia="仿宋" w:cs="仿宋"/>
                <w:color w:val="auto"/>
                <w:sz w:val="24"/>
                <w:highlight w:val="none"/>
              </w:rPr>
            </w:pPr>
          </w:p>
        </w:tc>
        <w:tc>
          <w:tcPr>
            <w:tcW w:w="1241" w:type="dxa"/>
          </w:tcPr>
          <w:p>
            <w:pPr>
              <w:spacing w:line="20" w:lineRule="atLeast"/>
              <w:rPr>
                <w:rFonts w:ascii="仿宋" w:hAnsi="仿宋" w:eastAsia="仿宋" w:cs="仿宋"/>
                <w:color w:val="auto"/>
                <w:sz w:val="24"/>
                <w:highlight w:val="none"/>
              </w:rPr>
            </w:pPr>
          </w:p>
        </w:tc>
        <w:tc>
          <w:tcPr>
            <w:tcW w:w="1897" w:type="dxa"/>
          </w:tcPr>
          <w:p>
            <w:pPr>
              <w:spacing w:line="20" w:lineRule="atLeast"/>
              <w:rPr>
                <w:rFonts w:ascii="仿宋" w:hAnsi="仿宋" w:eastAsia="仿宋" w:cs="仿宋"/>
                <w:color w:val="auto"/>
                <w:sz w:val="24"/>
                <w:highlight w:val="none"/>
              </w:rPr>
            </w:pPr>
          </w:p>
        </w:tc>
        <w:tc>
          <w:tcPr>
            <w:tcW w:w="1701" w:type="dxa"/>
          </w:tcPr>
          <w:p>
            <w:pPr>
              <w:spacing w:line="20" w:lineRule="atLeast"/>
              <w:rPr>
                <w:rFonts w:ascii="仿宋" w:hAnsi="仿宋" w:eastAsia="仿宋" w:cs="仿宋"/>
                <w:color w:val="auto"/>
                <w:sz w:val="24"/>
                <w:highlight w:val="none"/>
              </w:rPr>
            </w:pPr>
          </w:p>
        </w:tc>
        <w:tc>
          <w:tcPr>
            <w:tcW w:w="871" w:type="dxa"/>
          </w:tcPr>
          <w:p>
            <w:pPr>
              <w:spacing w:line="20" w:lineRule="atLeast"/>
              <w:rPr>
                <w:rFonts w:ascii="仿宋" w:hAnsi="仿宋" w:eastAsia="仿宋" w:cs="仿宋"/>
                <w:color w:val="auto"/>
                <w:sz w:val="24"/>
                <w:highlight w:val="none"/>
              </w:rPr>
            </w:pPr>
          </w:p>
        </w:tc>
        <w:tc>
          <w:tcPr>
            <w:tcW w:w="912" w:type="dxa"/>
          </w:tcPr>
          <w:p>
            <w:pPr>
              <w:spacing w:line="20" w:lineRule="atLeast"/>
              <w:rPr>
                <w:rFonts w:ascii="仿宋" w:hAnsi="仿宋" w:eastAsia="仿宋" w:cs="仿宋"/>
                <w:color w:val="auto"/>
                <w:sz w:val="24"/>
                <w:highlight w:val="none"/>
              </w:rPr>
            </w:pPr>
          </w:p>
        </w:tc>
        <w:tc>
          <w:tcPr>
            <w:tcW w:w="775" w:type="dxa"/>
          </w:tcPr>
          <w:p>
            <w:pPr>
              <w:spacing w:line="20" w:lineRule="atLeast"/>
              <w:rPr>
                <w:rFonts w:ascii="仿宋" w:hAnsi="仿宋" w:eastAsia="仿宋" w:cs="仿宋"/>
                <w:color w:val="auto"/>
                <w:sz w:val="24"/>
                <w:highlight w:val="none"/>
              </w:rPr>
            </w:pPr>
          </w:p>
        </w:tc>
        <w:tc>
          <w:tcPr>
            <w:tcW w:w="1141" w:type="dxa"/>
          </w:tcPr>
          <w:p>
            <w:pPr>
              <w:spacing w:line="20" w:lineRule="atLeast"/>
              <w:rPr>
                <w:rFonts w:ascii="仿宋" w:hAnsi="仿宋" w:eastAsia="仿宋" w:cs="仿宋"/>
                <w:color w:val="auto"/>
                <w:sz w:val="24"/>
                <w:highlight w:val="none"/>
              </w:rPr>
            </w:pPr>
          </w:p>
        </w:tc>
      </w:tr>
    </w:tbl>
    <w:p>
      <w:pPr>
        <w:adjustRightInd w:val="0"/>
        <w:snapToGrid w:val="0"/>
        <w:spacing w:line="300" w:lineRule="auto"/>
        <w:rPr>
          <w:rFonts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7"/>
        <w:adjustRightInd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7"/>
        <w:adjustRightInd w:val="0"/>
        <w:snapToGrid w:val="0"/>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1"/>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服务要求</w:t>
            </w:r>
          </w:p>
        </w:tc>
        <w:tc>
          <w:tcPr>
            <w:tcW w:w="162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380" w:lineRule="exact"/>
              <w:ind w:left="40" w:leftChars="19"/>
              <w:jc w:val="lef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380" w:lineRule="exact"/>
              <w:ind w:left="40" w:leftChars="19"/>
              <w:jc w:val="lef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20" w:lineRule="atLeas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bl>
    <w:p>
      <w:pPr>
        <w:adjustRightInd w:val="0"/>
        <w:snapToGrid w:val="0"/>
        <w:spacing w:line="300" w:lineRule="auto"/>
        <w:rPr>
          <w:rFonts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6.价格部分</w:t>
      </w: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ascii="仿宋" w:hAnsi="仿宋" w:eastAsia="仿宋" w:cs="仿宋"/>
          <w:color w:val="auto"/>
          <w:spacing w:val="20"/>
          <w:szCs w:val="21"/>
          <w:highlight w:val="none"/>
        </w:rPr>
      </w:pPr>
    </w:p>
    <w:tbl>
      <w:tblPr>
        <w:tblStyle w:val="11"/>
        <w:tblpPr w:leftFromText="180" w:rightFromText="180" w:vertAnchor="text" w:horzAnchor="page" w:tblpX="2117" w:tblpY="335"/>
        <w:tblOverlap w:val="never"/>
        <w:tblW w:w="476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30"/>
        <w:gridCol w:w="3222"/>
        <w:gridCol w:w="1078"/>
        <w:gridCol w:w="989"/>
        <w:gridCol w:w="22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327"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kern w:val="0"/>
                <w:sz w:val="24"/>
                <w:highlight w:val="none"/>
              </w:rPr>
              <w:t>序号</w:t>
            </w:r>
          </w:p>
        </w:tc>
        <w:tc>
          <w:tcPr>
            <w:tcW w:w="1985"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标的名称</w:t>
            </w:r>
          </w:p>
        </w:tc>
        <w:tc>
          <w:tcPr>
            <w:tcW w:w="664"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609"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413"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b/>
                <w:bCs/>
                <w:color w:val="auto"/>
                <w:sz w:val="24"/>
                <w:highlight w:val="none"/>
              </w:rPr>
              <w:t>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327"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1</w:t>
            </w:r>
          </w:p>
        </w:tc>
        <w:tc>
          <w:tcPr>
            <w:tcW w:w="1985" w:type="pct"/>
            <w:vAlign w:val="center"/>
          </w:tcPr>
          <w:p>
            <w:pPr>
              <w:widowControl/>
              <w:spacing w:line="340" w:lineRule="exact"/>
              <w:jc w:val="center"/>
              <w:rPr>
                <w:rFonts w:ascii="仿宋" w:hAnsi="仿宋" w:eastAsia="仿宋" w:cs="仿宋"/>
                <w:color w:val="auto"/>
                <w:kern w:val="0"/>
                <w:sz w:val="24"/>
                <w:highlight w:val="none"/>
              </w:rPr>
            </w:pPr>
          </w:p>
        </w:tc>
        <w:tc>
          <w:tcPr>
            <w:tcW w:w="664"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1</w:t>
            </w:r>
          </w:p>
        </w:tc>
        <w:tc>
          <w:tcPr>
            <w:tcW w:w="609"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项</w:t>
            </w:r>
          </w:p>
        </w:tc>
        <w:tc>
          <w:tcPr>
            <w:tcW w:w="1413" w:type="pct"/>
            <w:vAlign w:val="center"/>
          </w:tcPr>
          <w:p>
            <w:pPr>
              <w:jc w:val="center"/>
              <w:rPr>
                <w:rFonts w:ascii="仿宋" w:hAnsi="仿宋" w:eastAsia="仿宋" w:cs="仿宋"/>
                <w:color w:val="auto"/>
                <w:spacing w:val="20"/>
                <w:szCs w:val="21"/>
                <w:highlight w:val="none"/>
              </w:rPr>
            </w:pP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BB42"/>
    <w:multiLevelType w:val="singleLevel"/>
    <w:tmpl w:val="BE58BB42"/>
    <w:lvl w:ilvl="0" w:tentative="0">
      <w:start w:val="14"/>
      <w:numFmt w:val="decimal"/>
      <w:suff w:val="nothing"/>
      <w:lvlText w:val="%1、"/>
      <w:lvlJc w:val="left"/>
    </w:lvl>
  </w:abstractNum>
  <w:abstractNum w:abstractNumId="1">
    <w:nsid w:val="C5DD15A7"/>
    <w:multiLevelType w:val="singleLevel"/>
    <w:tmpl w:val="C5DD15A7"/>
    <w:lvl w:ilvl="0" w:tentative="0">
      <w:start w:val="3"/>
      <w:numFmt w:val="decimal"/>
      <w:suff w:val="nothing"/>
      <w:lvlText w:val="%1、"/>
      <w:lvlJc w:val="left"/>
    </w:lvl>
  </w:abstractNum>
  <w:abstractNum w:abstractNumId="2">
    <w:nsid w:val="0EDE5C80"/>
    <w:multiLevelType w:val="singleLevel"/>
    <w:tmpl w:val="0EDE5C80"/>
    <w:lvl w:ilvl="0" w:tentative="0">
      <w:start w:val="4"/>
      <w:numFmt w:val="chineseCounting"/>
      <w:suff w:val="nothing"/>
      <w:lvlText w:val="%1、"/>
      <w:lvlJc w:val="left"/>
      <w:rPr>
        <w:rFonts w:hint="eastAsia"/>
      </w:rPr>
    </w:lvl>
  </w:abstractNum>
  <w:abstractNum w:abstractNumId="3">
    <w:nsid w:val="569C8C25"/>
    <w:multiLevelType w:val="singleLevel"/>
    <w:tmpl w:val="569C8C25"/>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GE3OTM1NTk0MmRkMjU3MDhiNzVkMzYyY2Q5ZTEifQ=="/>
    <w:docVar w:name="KSO_WPS_MARK_KEY" w:val="5b755f9e-f00f-4f69-853f-0a276566b8d1"/>
  </w:docVars>
  <w:rsids>
    <w:rsidRoot w:val="00000000"/>
    <w:rsid w:val="01A61011"/>
    <w:rsid w:val="04B0479B"/>
    <w:rsid w:val="0E73429B"/>
    <w:rsid w:val="10091846"/>
    <w:rsid w:val="12E05476"/>
    <w:rsid w:val="1590618A"/>
    <w:rsid w:val="1A0A5221"/>
    <w:rsid w:val="267D22EB"/>
    <w:rsid w:val="29C00B38"/>
    <w:rsid w:val="3E2701FA"/>
    <w:rsid w:val="45003CB9"/>
    <w:rsid w:val="53D07CCF"/>
    <w:rsid w:val="5CE85CBE"/>
    <w:rsid w:val="63D32027"/>
    <w:rsid w:val="781D4E1A"/>
    <w:rsid w:val="7DEA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3"/>
    <w:basedOn w:val="1"/>
    <w:qFormat/>
    <w:uiPriority w:val="0"/>
    <w:pPr>
      <w:spacing w:after="120"/>
    </w:pPr>
    <w:rPr>
      <w:sz w:val="16"/>
      <w:szCs w:val="16"/>
    </w:rPr>
  </w:style>
  <w:style w:type="paragraph" w:styleId="6">
    <w:name w:val="Body Text"/>
    <w:basedOn w:val="1"/>
    <w:next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无间隔1"/>
    <w:qFormat/>
    <w:uiPriority w:val="0"/>
    <w:rPr>
      <w:rFonts w:ascii="Times New Roman" w:hAnsi="Times New Roman" w:eastAsia="宋体" w:cs="Times New Roman"/>
      <w:sz w:val="22"/>
      <w:szCs w:val="22"/>
      <w:lang w:val="en-US" w:eastAsia="zh-CN" w:bidi="ar-SA"/>
    </w:rPr>
  </w:style>
  <w:style w:type="paragraph" w:customStyle="1" w:styleId="15">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6">
    <w:name w:val="表格文字"/>
    <w:basedOn w:val="1"/>
    <w:qFormat/>
    <w:uiPriority w:val="0"/>
    <w:pPr>
      <w:spacing w:before="25" w:after="25"/>
      <w:jc w:val="left"/>
    </w:pPr>
    <w:rPr>
      <w:bCs/>
      <w:spacing w:val="10"/>
      <w:kern w:val="0"/>
      <w:sz w:val="24"/>
      <w:szCs w:val="20"/>
    </w:rPr>
  </w:style>
  <w:style w:type="paragraph" w:customStyle="1" w:styleId="1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29703</Words>
  <Characters>30592</Characters>
  <Lines>0</Lines>
  <Paragraphs>0</Paragraphs>
  <TotalTime>19</TotalTime>
  <ScaleCrop>false</ScaleCrop>
  <LinksUpToDate>false</LinksUpToDate>
  <CharactersWithSpaces>32442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2024-08-07T06:59:00Z</dcterms:created>
  <dc:creator>Administrator.WIN-H1Q3TP8FLHF</dc:creator>
  <cp:lastModifiedBy>郑巧琳</cp:lastModifiedBy>
  <dcterms:modified xsi:type="dcterms:W3CDTF">2024-09-05T02:41:42Z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69DB458F44494C248CCD5251B79DBD36_12</vt:lpwstr>
  </property>
</Properties>
</file>